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4EF91B" w14:textId="77777777" w:rsidR="00F231A7" w:rsidRDefault="00000000">
      <w:pPr>
        <w:pBdr>
          <w:top w:val="single" w:sz="8" w:space="10" w:color="005493"/>
          <w:bottom w:val="single" w:sz="8" w:space="10" w:color="005493"/>
        </w:pBdr>
        <w:spacing w:before="120" w:after="120" w:line="360" w:lineRule="auto"/>
        <w:jc w:val="center"/>
      </w:pPr>
      <w:r>
        <w:rPr>
          <w:b/>
          <w:bCs/>
          <w:sz w:val="40"/>
          <w:szCs w:val="40"/>
        </w:rPr>
        <w:t>Corporate Philanthropy vs. CSR: Legal and Ethical Perspectives in India</w:t>
      </w:r>
    </w:p>
    <w:p w14:paraId="05B747B2" w14:textId="77777777" w:rsidR="00F231A7" w:rsidRDefault="00000000">
      <w:pPr>
        <w:spacing w:before="60" w:after="60" w:line="360" w:lineRule="auto"/>
        <w:jc w:val="center"/>
        <w:rPr>
          <w:b/>
          <w:bCs/>
          <w:smallCaps/>
          <w:sz w:val="20"/>
          <w:szCs w:val="20"/>
        </w:rPr>
      </w:pPr>
      <w:r>
        <w:rPr>
          <w:b/>
          <w:bCs/>
          <w:smallCaps/>
          <w:sz w:val="20"/>
          <w:szCs w:val="20"/>
        </w:rPr>
        <w:t>Vedant Singh Solanki</w:t>
      </w:r>
    </w:p>
    <w:p w14:paraId="1A56EFD8" w14:textId="6B7D7628" w:rsidR="009A1741" w:rsidRDefault="009A1741">
      <w:pPr>
        <w:spacing w:before="60" w:after="60" w:line="360" w:lineRule="auto"/>
        <w:jc w:val="center"/>
      </w:pPr>
      <w:r>
        <w:rPr>
          <w:b/>
          <w:bCs/>
          <w:smallCaps/>
          <w:sz w:val="20"/>
          <w:szCs w:val="20"/>
        </w:rPr>
        <w:t>and Pratyaksha Mehrotra</w:t>
      </w:r>
    </w:p>
    <w:p w14:paraId="634624B2" w14:textId="77777777" w:rsidR="00F231A7" w:rsidRDefault="00000000">
      <w:pPr>
        <w:spacing w:before="60" w:after="60" w:line="360" w:lineRule="auto"/>
        <w:jc w:val="center"/>
      </w:pPr>
      <w:r>
        <w:rPr>
          <w:b/>
          <w:bCs/>
          <w:smallCaps/>
          <w:sz w:val="28"/>
          <w:szCs w:val="28"/>
        </w:rPr>
        <w:t>Abstract</w:t>
      </w:r>
    </w:p>
    <w:p w14:paraId="14FAA0E0" w14:textId="77777777" w:rsidR="00F231A7" w:rsidRDefault="00000000">
      <w:pPr>
        <w:spacing w:before="60" w:after="60" w:line="360" w:lineRule="auto"/>
        <w:jc w:val="both"/>
      </w:pPr>
      <w:r>
        <w:rPr>
          <w:i/>
          <w:iCs/>
        </w:rPr>
        <w:t>Corporate giving in India now runs on two tracks. One is philanthropy, which a company or its promoters undertake by choice. The other is corporate social responsibility, which section 135 of the Companies Act, 2013 makes a legal duty for companies above certain size and profit limits. This paper explains how the two differ in source, purpose, accountability and tax treatment. It studies the statute, the rules framed under it and the older company law on charitable gifts, and it tests the arrangement against the main ethical theories of corporate purpose. The paper argues that India should keep mandatory CSR as a regulated minimum, protect philanthropy as a free choice, and judge CSR by its results and not only by the amount spent.</w:t>
      </w:r>
    </w:p>
    <w:p w14:paraId="6DFA6D8A" w14:textId="77777777" w:rsidR="00F231A7" w:rsidRDefault="00F231A7">
      <w:pPr>
        <w:spacing w:before="60" w:after="60" w:line="360" w:lineRule="auto"/>
      </w:pPr>
    </w:p>
    <w:p w14:paraId="3B4941DE" w14:textId="77777777" w:rsidR="00F231A7" w:rsidRDefault="00000000">
      <w:pPr>
        <w:keepNext/>
        <w:spacing w:before="60" w:after="60" w:line="360" w:lineRule="auto"/>
        <w:jc w:val="both"/>
      </w:pPr>
      <w:r>
        <w:rPr>
          <w:b/>
          <w:bCs/>
          <w:sz w:val="28"/>
          <w:szCs w:val="28"/>
        </w:rPr>
        <w:t xml:space="preserve">I.  </w:t>
      </w:r>
      <w:r>
        <w:rPr>
          <w:b/>
          <w:bCs/>
          <w:smallCaps/>
          <w:sz w:val="28"/>
          <w:szCs w:val="28"/>
        </w:rPr>
        <w:t>Introduction</w:t>
      </w:r>
    </w:p>
    <w:p w14:paraId="0470A95C" w14:textId="77777777" w:rsidR="00F231A7" w:rsidRDefault="00000000">
      <w:pPr>
        <w:spacing w:before="60" w:after="60" w:line="360" w:lineRule="auto"/>
        <w:jc w:val="both"/>
      </w:pPr>
      <w:r>
        <w:t>A company in India can give money to society in more than one way. It may donate to a hospital because its founders believe in the cause. It may also spend a fixed share of its profit on schools, sanitation or skills training because the law says it must. From outside, the two acts look alike, since in both cases money leaves the company and reaches people in need. In law and in ethics, they are different acts.</w:t>
      </w:r>
    </w:p>
    <w:p w14:paraId="711DDB60" w14:textId="77777777" w:rsidR="00F231A7" w:rsidRDefault="00000000">
      <w:pPr>
        <w:spacing w:before="60" w:after="60" w:line="360" w:lineRule="auto"/>
        <w:jc w:val="both"/>
      </w:pPr>
      <w:r>
        <w:t>Until 2014, corporate giving in India was left mostly to the judgment of the board and the shareholders, within the limits of company law. The Companies Act, 2013 changed this position. Section 135 requires companies above stated size and profit limits to form a committee of the board, adopt a policy, and spend at least two percent of their average net profit on listed social causes.</w:t>
      </w:r>
      <w:r>
        <w:rPr>
          <w:rStyle w:val="FootnoteReference"/>
        </w:rPr>
        <w:footnoteReference w:id="1"/>
      </w:r>
      <w:r>
        <w:t xml:space="preserve"> Few countries have turned social spending into a statutory duty in this way, and the Indian experiment has drawn the attention of scholars abroad.</w:t>
      </w:r>
      <w:r>
        <w:rPr>
          <w:rStyle w:val="FootnoteReference"/>
        </w:rPr>
        <w:footnoteReference w:id="2"/>
      </w:r>
    </w:p>
    <w:p w14:paraId="2175F17B" w14:textId="77777777" w:rsidR="00F231A7" w:rsidRDefault="00000000">
      <w:pPr>
        <w:spacing w:before="60" w:after="60" w:line="360" w:lineRule="auto"/>
        <w:jc w:val="both"/>
      </w:pPr>
      <w:r>
        <w:t xml:space="preserve">The change has produced a practical confusion. Companies, the press and even officials use the words philanthropy and CSR as though they meant the same thing. They do not. Philanthropy is a gift. CSR </w:t>
      </w:r>
      <w:r>
        <w:lastRenderedPageBreak/>
        <w:t>in India is partly a compliance duty with penalties attached. When the two are mixed up, directors may treat a legal duty as an act of generosity, and the public may judge a company’s goodness by an amount it was required to spend.</w:t>
      </w:r>
    </w:p>
    <w:p w14:paraId="44BDBC0C" w14:textId="77777777" w:rsidR="00F231A7" w:rsidRDefault="00000000">
      <w:pPr>
        <w:spacing w:before="60" w:after="60" w:line="360" w:lineRule="auto"/>
        <w:jc w:val="both"/>
      </w:pPr>
      <w:r>
        <w:t>Part II explains the two ideas and Part III gives a short history. Part IV examines the law on CSR and Part V the law on philanthropy. Part VI covers the ethical arguments, Part VII problems in practice, and Part VIII suggestions and a conclusion. The method is doctrinal, and the paper relies on statutes, rules, judgments, committee reports and published scholarship.</w:t>
      </w:r>
    </w:p>
    <w:p w14:paraId="3DE3F353" w14:textId="77777777" w:rsidR="00F231A7" w:rsidRDefault="00000000">
      <w:pPr>
        <w:keepNext/>
        <w:spacing w:before="60" w:after="60" w:line="360" w:lineRule="auto"/>
        <w:jc w:val="both"/>
      </w:pPr>
      <w:r>
        <w:rPr>
          <w:b/>
          <w:bCs/>
          <w:sz w:val="28"/>
          <w:szCs w:val="28"/>
        </w:rPr>
        <w:t xml:space="preserve">II.  </w:t>
      </w:r>
      <w:r>
        <w:rPr>
          <w:b/>
          <w:bCs/>
          <w:smallCaps/>
          <w:sz w:val="28"/>
          <w:szCs w:val="28"/>
        </w:rPr>
        <w:t>Philanthropy and CSR: The Concepts</w:t>
      </w:r>
    </w:p>
    <w:p w14:paraId="6CFA7E42" w14:textId="77777777" w:rsidR="00F231A7" w:rsidRDefault="00000000">
      <w:pPr>
        <w:spacing w:before="60" w:after="60" w:line="360" w:lineRule="auto"/>
        <w:jc w:val="both"/>
      </w:pPr>
      <w:r>
        <w:t xml:space="preserve">Philanthropy means a voluntary gift for the benefit of others, made without legal compulsion and often without expecting anything in return. When a company </w:t>
      </w:r>
      <w:proofErr w:type="spellStart"/>
      <w:r>
        <w:t>practises</w:t>
      </w:r>
      <w:proofErr w:type="spellEnd"/>
      <w:r>
        <w:t xml:space="preserve"> it, the money comes from the company’s own funds or from the personal wealth of its promoters, usually through a trust or foundation. The donor decides who receives the money, how much, and when. No regulator measures the result.</w:t>
      </w:r>
    </w:p>
    <w:p w14:paraId="60CA9246" w14:textId="77777777" w:rsidR="00F231A7" w:rsidRDefault="00000000">
      <w:pPr>
        <w:spacing w:before="60" w:after="60" w:line="360" w:lineRule="auto"/>
        <w:jc w:val="both"/>
      </w:pPr>
      <w:r>
        <w:t>CSR is a wider idea. It asks a company to run its business with regard to the effect on workers, communities and the environment. Indian law has given the idea a narrow statutory meaning. Rule 2(1)(d) of the Companies (Corporate Social Responsibility Policy) Rules, 2014 describes CSR as activities carried out in line with Schedule VII to the Act, and it excludes ordinary business activity, political contributions, sponsorships done for marketing benefit, benefits to employees and spending that only satisfies another legal obligation.</w:t>
      </w:r>
      <w:r>
        <w:rPr>
          <w:rStyle w:val="FootnoteReference"/>
        </w:rPr>
        <w:footnoteReference w:id="3"/>
      </w:r>
      <w:r>
        <w:t xml:space="preserve"> The legal meaning of CSR is therefore a list of permitted causes and a list of excluded acts.</w:t>
      </w:r>
    </w:p>
    <w:p w14:paraId="565A81A3" w14:textId="77777777" w:rsidR="00F231A7" w:rsidRDefault="00000000">
      <w:pPr>
        <w:spacing w:before="60" w:after="60" w:line="360" w:lineRule="auto"/>
        <w:jc w:val="both"/>
      </w:pPr>
      <w:r>
        <w:t>Archie Carroll’s pyramid helps to see the gap. He placed economic and legal responsibilities at the base, ethical responsibilities above them, and philanthropy at the top, as something society hopes for but does not demand.</w:t>
      </w:r>
      <w:r>
        <w:rPr>
          <w:rStyle w:val="FootnoteReference"/>
        </w:rPr>
        <w:footnoteReference w:id="4"/>
      </w:r>
      <w:r>
        <w:t xml:space="preserve"> Section 135 has pulled a part of that top layer down into the legal layer. This is the central tension in Indian law. A duty that is charitable in content has been made compulsory in form.</w:t>
      </w:r>
    </w:p>
    <w:p w14:paraId="692C2DDE" w14:textId="77777777" w:rsidR="00F231A7" w:rsidRDefault="00000000">
      <w:pPr>
        <w:spacing w:before="60" w:after="60" w:line="360" w:lineRule="auto"/>
        <w:jc w:val="both"/>
      </w:pPr>
      <w:r>
        <w:t xml:space="preserve">The two can be compared on five points. The first is the source of the duty, which is choice in philanthropy and statute in CSR. The second is the money used, which may be promoter wealth in philanthropy but is company profit, measured by a formula, in CSR. The third is purpose. A philanthropic gift may serve any lawful charitable object, while CSR spending must fit Schedule VII. The fourth is accountability. A philanthropist answers to conscience and to tax law, but a company </w:t>
      </w:r>
      <w:r>
        <w:lastRenderedPageBreak/>
        <w:t>answers for CSR to its board, its shareholders, the Registrar of Companies and the public through mandatory disclosure. The fifth is the result of default. A donor who gives less than expected faces no penalty, but a company that fails to spend or transfer its CSR amount faces a penalty under section 135(7).</w:t>
      </w:r>
      <w:r>
        <w:rPr>
          <w:rStyle w:val="FootnoteReference"/>
        </w:rPr>
        <w:footnoteReference w:id="5"/>
      </w:r>
    </w:p>
    <w:p w14:paraId="5EE88DD1" w14:textId="77777777" w:rsidR="00F231A7" w:rsidRDefault="00000000">
      <w:pPr>
        <w:keepNext/>
        <w:spacing w:before="60" w:after="60" w:line="360" w:lineRule="auto"/>
        <w:jc w:val="both"/>
      </w:pPr>
      <w:r>
        <w:rPr>
          <w:b/>
          <w:bCs/>
          <w:sz w:val="28"/>
          <w:szCs w:val="28"/>
        </w:rPr>
        <w:t xml:space="preserve">III.  </w:t>
      </w:r>
      <w:r>
        <w:rPr>
          <w:b/>
          <w:bCs/>
          <w:smallCaps/>
          <w:sz w:val="28"/>
          <w:szCs w:val="28"/>
        </w:rPr>
        <w:t>Corporate Giving in India: A Short History</w:t>
      </w:r>
    </w:p>
    <w:p w14:paraId="1A95618C" w14:textId="77777777" w:rsidR="00F231A7" w:rsidRDefault="00000000">
      <w:pPr>
        <w:spacing w:before="60" w:after="60" w:line="360" w:lineRule="auto"/>
        <w:jc w:val="both"/>
      </w:pPr>
      <w:r>
        <w:t>Giving by business families has a long record in India. Industrial houses founded schools, hospitals, libraries and research institutions from the late nineteenth century onward, often through public trusts, and the practice continued after independence.</w:t>
      </w:r>
      <w:r>
        <w:rPr>
          <w:rStyle w:val="FootnoteReference"/>
        </w:rPr>
        <w:footnoteReference w:id="6"/>
      </w:r>
      <w:r>
        <w:t xml:space="preserve"> The motives were mixed, from religious duty and nationalist feeling to family reputation, but the law required none of it.</w:t>
      </w:r>
    </w:p>
    <w:p w14:paraId="6FCBEA6F" w14:textId="77777777" w:rsidR="00F231A7" w:rsidRDefault="00000000">
      <w:pPr>
        <w:spacing w:before="60" w:after="60" w:line="360" w:lineRule="auto"/>
        <w:jc w:val="both"/>
      </w:pPr>
      <w:r>
        <w:t>Company law dealt with corporate giving mainly as a question of power and approval. Under the Companies Act, 1956, a board could contribute to charitable and other funds not connected with the business only up to a limit, and a larger sum needed approval in general meeting.</w:t>
      </w:r>
      <w:r>
        <w:rPr>
          <w:rStyle w:val="FootnoteReference"/>
        </w:rPr>
        <w:footnoteReference w:id="7"/>
      </w:r>
    </w:p>
    <w:p w14:paraId="7CED9576" w14:textId="77777777" w:rsidR="00F231A7" w:rsidRDefault="00000000">
      <w:pPr>
        <w:spacing w:before="60" w:after="60" w:line="360" w:lineRule="auto"/>
        <w:jc w:val="both"/>
      </w:pPr>
      <w:r>
        <w:t>The State first tried persuasion. In 2009 the Ministry of Corporate Affairs issued its Corporate Social Responsibility Voluntary Guidelines, and in 2011 it issued the National Voluntary Guidelines on Social, Environmental and Economic Responsibilities of Business.</w:t>
      </w:r>
      <w:r>
        <w:rPr>
          <w:rStyle w:val="FootnoteReference"/>
        </w:rPr>
        <w:footnoteReference w:id="8"/>
      </w:r>
      <w:r>
        <w:t xml:space="preserve"> These documents created no legal duty. Parliament then chose to legislate, and section 135 applied from 1 April 2014.</w:t>
      </w:r>
      <w:r>
        <w:rPr>
          <w:rStyle w:val="FootnoteReference"/>
        </w:rPr>
        <w:footnoteReference w:id="9"/>
      </w:r>
      <w:r>
        <w:t xml:space="preserve"> The first version of the law worked on a comply or explain basis. A company could avoid trouble by stating its reasons for not spending.</w:t>
      </w:r>
    </w:p>
    <w:p w14:paraId="418BDAB6" w14:textId="77777777" w:rsidR="00F231A7" w:rsidRDefault="00000000">
      <w:pPr>
        <w:spacing w:before="60" w:after="60" w:line="360" w:lineRule="auto"/>
        <w:jc w:val="both"/>
      </w:pPr>
      <w:r>
        <w:t>Parliament tightened the position through the Companies (Amendment) Act, 2019 and the Companies (Amendment) Act, 2020, which were brought into force on 22 January 2021 together with amended rules.</w:t>
      </w:r>
      <w:r>
        <w:rPr>
          <w:rStyle w:val="FootnoteReference"/>
        </w:rPr>
        <w:footnoteReference w:id="10"/>
      </w:r>
      <w:r>
        <w:t xml:space="preserve"> A company that does not spend its CSR amount must now move it to a designated account or fund, and default is </w:t>
      </w:r>
      <w:proofErr w:type="spellStart"/>
      <w:r>
        <w:t>penalised</w:t>
      </w:r>
      <w:proofErr w:type="spellEnd"/>
      <w:r>
        <w:t>. In short, India moved from a model of disclosure to a model of enforcement.</w:t>
      </w:r>
    </w:p>
    <w:p w14:paraId="2D5241EC" w14:textId="77777777" w:rsidR="00F231A7" w:rsidRDefault="00000000">
      <w:pPr>
        <w:keepNext/>
        <w:spacing w:before="60" w:after="60" w:line="360" w:lineRule="auto"/>
        <w:jc w:val="both"/>
      </w:pPr>
      <w:r>
        <w:rPr>
          <w:b/>
          <w:bCs/>
          <w:sz w:val="28"/>
          <w:szCs w:val="28"/>
        </w:rPr>
        <w:t xml:space="preserve">IV.  </w:t>
      </w:r>
      <w:r>
        <w:rPr>
          <w:b/>
          <w:bCs/>
          <w:smallCaps/>
          <w:sz w:val="28"/>
          <w:szCs w:val="28"/>
        </w:rPr>
        <w:t>The Legal Framework of CSR</w:t>
      </w:r>
    </w:p>
    <w:p w14:paraId="47B7D15A" w14:textId="77777777" w:rsidR="00F231A7" w:rsidRDefault="00000000">
      <w:pPr>
        <w:keepNext/>
        <w:spacing w:before="60" w:after="60" w:line="360" w:lineRule="auto"/>
        <w:ind w:left="284"/>
        <w:jc w:val="both"/>
      </w:pPr>
      <w:r>
        <w:rPr>
          <w:b/>
          <w:bCs/>
          <w:smallCaps/>
          <w:sz w:val="26"/>
          <w:szCs w:val="26"/>
        </w:rPr>
        <w:t>Who must comply</w:t>
      </w:r>
    </w:p>
    <w:p w14:paraId="71E742A2" w14:textId="77777777" w:rsidR="00F231A7" w:rsidRDefault="00000000">
      <w:pPr>
        <w:spacing w:before="60" w:after="60" w:line="360" w:lineRule="auto"/>
        <w:jc w:val="both"/>
      </w:pPr>
      <w:r>
        <w:t xml:space="preserve">Section 135(1) applies to every company that had a net worth of Rs. 500 crore or more, or turnover of Rs. 1000 crore or more, or net profit of Rs. 5 crore or more in the immediately preceding financial </w:t>
      </w:r>
      <w:r>
        <w:lastRenderedPageBreak/>
        <w:t xml:space="preserve">year. Such a company must set up a CSR Committee of three or more directors, including at least one independent director where the company is required to have one. If the amount to be spent does not exceed Rs. 50 </w:t>
      </w:r>
      <w:proofErr w:type="gramStart"/>
      <w:r>
        <w:t>lakh</w:t>
      </w:r>
      <w:proofErr w:type="gramEnd"/>
      <w:r>
        <w:t>, no committee is needed and the Board performs its functions.</w:t>
      </w:r>
      <w:r>
        <w:rPr>
          <w:rStyle w:val="FootnoteReference"/>
        </w:rPr>
        <w:footnoteReference w:id="11"/>
      </w:r>
      <w:r>
        <w:t xml:space="preserve"> The committee prepares and monitors the CSR policy, and the Board approves it, discloses it in its report and places it on the company’s website.</w:t>
      </w:r>
      <w:r>
        <w:rPr>
          <w:rStyle w:val="FootnoteReference"/>
        </w:rPr>
        <w:footnoteReference w:id="12"/>
      </w:r>
    </w:p>
    <w:p w14:paraId="4FF431FE" w14:textId="77777777" w:rsidR="00F231A7" w:rsidRDefault="00000000">
      <w:pPr>
        <w:keepNext/>
        <w:spacing w:before="60" w:after="60" w:line="360" w:lineRule="auto"/>
        <w:ind w:left="284"/>
        <w:jc w:val="both"/>
      </w:pPr>
      <w:r>
        <w:rPr>
          <w:b/>
          <w:bCs/>
          <w:smallCaps/>
          <w:sz w:val="26"/>
          <w:szCs w:val="26"/>
        </w:rPr>
        <w:t>What must be spent, and on what</w:t>
      </w:r>
    </w:p>
    <w:p w14:paraId="662EC1C0" w14:textId="77777777" w:rsidR="00F231A7" w:rsidRDefault="00000000">
      <w:pPr>
        <w:spacing w:before="60" w:after="60" w:line="360" w:lineRule="auto"/>
        <w:jc w:val="both"/>
      </w:pPr>
      <w:r>
        <w:t>The Board must ensure that the company spends in every financial year at least two percent of its average net profit of the three immediately preceding financial years in line with its CSR policy, and the company must give preference to the local area in which it operates.</w:t>
      </w:r>
      <w:r>
        <w:rPr>
          <w:rStyle w:val="FootnoteReference"/>
        </w:rPr>
        <w:footnoteReference w:id="13"/>
      </w:r>
      <w:r>
        <w:t xml:space="preserve"> The permitted causes are listed in Schedule VII. They include the eradication of hunger and poverty, education, gender equality, environmental sustainability, protection of national heritage, support for armed forces veterans, sports, the Prime Minister’s National Relief Fund and the PM CARES Fund, publicly funded research, rural development, slum area development and disaster management.</w:t>
      </w:r>
      <w:r>
        <w:rPr>
          <w:rStyle w:val="FootnoteReference"/>
        </w:rPr>
        <w:footnoteReference w:id="14"/>
      </w:r>
      <w:r>
        <w:t xml:space="preserve"> A company may spend directly or through an implementing agency. Such an agency must be a section 8 company, a registered public trust or a registered society, must hold the required tax registrations, and must file Form CSR 1 with the Registrar.</w:t>
      </w:r>
      <w:r>
        <w:rPr>
          <w:rStyle w:val="FootnoteReference"/>
        </w:rPr>
        <w:footnoteReference w:id="15"/>
      </w:r>
    </w:p>
    <w:p w14:paraId="2ACBD2D8" w14:textId="77777777" w:rsidR="00F231A7" w:rsidRDefault="00000000">
      <w:pPr>
        <w:spacing w:before="60" w:after="60" w:line="360" w:lineRule="auto"/>
        <w:jc w:val="both"/>
      </w:pPr>
      <w:r>
        <w:t>The 2021 amendments added further controls. Administrative overheads cannot exceed five percent of the year’s CSR expenditure, and any surplus earned from a CSR project cannot be treated as business profit.</w:t>
      </w:r>
      <w:r>
        <w:rPr>
          <w:rStyle w:val="FootnoteReference"/>
        </w:rPr>
        <w:footnoteReference w:id="16"/>
      </w:r>
      <w:r>
        <w:t xml:space="preserve"> A company whose average CSR obligation was Rs. 10 crore or more in the three preceding years must have an independent agency assess its completed projects with an outlay of Rs. 1 crore or more.</w:t>
      </w:r>
      <w:r>
        <w:rPr>
          <w:rStyle w:val="FootnoteReference"/>
        </w:rPr>
        <w:footnoteReference w:id="17"/>
      </w:r>
    </w:p>
    <w:p w14:paraId="6864781E" w14:textId="77777777" w:rsidR="00F231A7" w:rsidRDefault="00000000">
      <w:pPr>
        <w:keepNext/>
        <w:spacing w:before="60" w:after="60" w:line="360" w:lineRule="auto"/>
        <w:ind w:left="284"/>
        <w:jc w:val="both"/>
      </w:pPr>
      <w:r>
        <w:rPr>
          <w:b/>
          <w:bCs/>
          <w:smallCaps/>
          <w:sz w:val="26"/>
          <w:szCs w:val="26"/>
        </w:rPr>
        <w:t>Unspent amounts and penalties</w:t>
      </w:r>
    </w:p>
    <w:p w14:paraId="7160F3F5" w14:textId="77777777" w:rsidR="00F231A7" w:rsidRDefault="00000000">
      <w:pPr>
        <w:spacing w:before="60" w:after="60" w:line="360" w:lineRule="auto"/>
        <w:jc w:val="both"/>
      </w:pPr>
      <w:r>
        <w:t>Where the unspent amount relates to an ongoing project, the company must transfer it to a special Unspent CSR Account within thirty days of the end of the financial year and spend it within three financial years, failing which it must move the balance to a fund named in Schedule VII.</w:t>
      </w:r>
      <w:r>
        <w:rPr>
          <w:rStyle w:val="FootnoteReference"/>
        </w:rPr>
        <w:footnoteReference w:id="18"/>
      </w:r>
      <w:r>
        <w:t xml:space="preserve"> In other cases, the Board must state its reasons in its report and transfer the unspent amount to a Schedule VII fund within six months of the end of the financial year.</w:t>
      </w:r>
      <w:r>
        <w:rPr>
          <w:rStyle w:val="FootnoteReference"/>
        </w:rPr>
        <w:footnoteReference w:id="19"/>
      </w:r>
      <w:r>
        <w:t xml:space="preserve"> If a company defaults, section 135(7) </w:t>
      </w:r>
      <w:r>
        <w:lastRenderedPageBreak/>
        <w:t xml:space="preserve">imposes a penalty of twice the amount that should have been transferred or Rs. 1 crore, whichever is less. Every officer in default faces a penalty of one tenth of that amount or Rs. 2 </w:t>
      </w:r>
      <w:proofErr w:type="gramStart"/>
      <w:r>
        <w:t>lakh</w:t>
      </w:r>
      <w:proofErr w:type="gramEnd"/>
      <w:r>
        <w:t>, whichever is less.</w:t>
      </w:r>
      <w:r>
        <w:rPr>
          <w:rStyle w:val="FootnoteReference"/>
        </w:rPr>
        <w:footnoteReference w:id="20"/>
      </w:r>
      <w:r>
        <w:t xml:space="preserve"> The consequence is a monetary penalty and not imprisonment.</w:t>
      </w:r>
    </w:p>
    <w:p w14:paraId="2F7BEEC6" w14:textId="77777777" w:rsidR="00F231A7" w:rsidRDefault="00000000">
      <w:pPr>
        <w:keepNext/>
        <w:spacing w:before="60" w:after="60" w:line="360" w:lineRule="auto"/>
        <w:ind w:left="284"/>
        <w:jc w:val="both"/>
      </w:pPr>
      <w:r>
        <w:rPr>
          <w:b/>
          <w:bCs/>
          <w:smallCaps/>
          <w:sz w:val="26"/>
          <w:szCs w:val="26"/>
        </w:rPr>
        <w:t>Reporting and review</w:t>
      </w:r>
    </w:p>
    <w:p w14:paraId="4083E3A4" w14:textId="77777777" w:rsidR="00F231A7" w:rsidRDefault="00000000">
      <w:pPr>
        <w:spacing w:before="60" w:after="60" w:line="360" w:lineRule="auto"/>
        <w:jc w:val="both"/>
      </w:pPr>
      <w:r>
        <w:t>The Board’s report must describe the CSR policy and the spending done under it, as section 134(3)(o) requires, and Rule 8 prescribes an annual report on CSR activities in a fixed format.</w:t>
      </w:r>
      <w:r>
        <w:rPr>
          <w:rStyle w:val="FootnoteReference"/>
        </w:rPr>
        <w:footnoteReference w:id="21"/>
      </w:r>
      <w:r>
        <w:t xml:space="preserve"> The largest listed companies must also file a Business Responsibility and Sustainability Report under regulation 34(2)(f) of the SEBI Listing Regulations, which looks at conduct toward employees, communities and the environment beyond the CSR budget.</w:t>
      </w:r>
      <w:r>
        <w:rPr>
          <w:rStyle w:val="FootnoteReference"/>
        </w:rPr>
        <w:footnoteReference w:id="22"/>
      </w:r>
    </w:p>
    <w:p w14:paraId="1EC0EFE2" w14:textId="77777777" w:rsidR="00F231A7" w:rsidRDefault="00000000">
      <w:pPr>
        <w:keepNext/>
        <w:spacing w:before="60" w:after="60" w:line="360" w:lineRule="auto"/>
        <w:jc w:val="both"/>
      </w:pPr>
      <w:r>
        <w:rPr>
          <w:b/>
          <w:bCs/>
          <w:sz w:val="28"/>
          <w:szCs w:val="28"/>
        </w:rPr>
        <w:t xml:space="preserve">V.  </w:t>
      </w:r>
      <w:r>
        <w:rPr>
          <w:b/>
          <w:bCs/>
          <w:smallCaps/>
          <w:sz w:val="28"/>
          <w:szCs w:val="28"/>
        </w:rPr>
        <w:t>The Legal Framework of Corporate Philanthropy</w:t>
      </w:r>
    </w:p>
    <w:p w14:paraId="6ABF7AC1" w14:textId="77777777" w:rsidR="00F231A7" w:rsidRDefault="00000000">
      <w:pPr>
        <w:keepNext/>
        <w:spacing w:before="60" w:after="60" w:line="360" w:lineRule="auto"/>
        <w:ind w:left="284"/>
        <w:jc w:val="both"/>
      </w:pPr>
      <w:r>
        <w:rPr>
          <w:b/>
          <w:bCs/>
          <w:smallCaps/>
          <w:sz w:val="26"/>
          <w:szCs w:val="26"/>
        </w:rPr>
        <w:t>Powers, approval and the duties of directors</w:t>
      </w:r>
    </w:p>
    <w:p w14:paraId="4ED52D28" w14:textId="77777777" w:rsidR="00F231A7" w:rsidRDefault="00000000">
      <w:pPr>
        <w:spacing w:before="60" w:after="60" w:line="360" w:lineRule="auto"/>
        <w:jc w:val="both"/>
      </w:pPr>
      <w:r>
        <w:t>Philanthropy lies outside section 135. A company that gives more than its CSR amount, or gives for causes outside Schedule VII, acts under its general powers. Section 181 of the Companies Act, 2013 allows the Board to contribute to bona fide charitable and other funds, but a contribution that exceeds five percent of the average net profit of the three preceding financial years in any financial year needs prior permission of the company in general meeting.</w:t>
      </w:r>
      <w:r>
        <w:rPr>
          <w:rStyle w:val="FootnoteReference"/>
        </w:rPr>
        <w:footnoteReference w:id="23"/>
      </w:r>
      <w:r>
        <w:t xml:space="preserve"> Section 166(2) adds that a director must act in good faith to promote the objects of the company for the benefit of its members as a whole, and in the best interests of the company, its employees, its shareholders, the community and the protection of the environment.</w:t>
      </w:r>
      <w:r>
        <w:rPr>
          <w:rStyle w:val="FootnoteReference"/>
        </w:rPr>
        <w:footnoteReference w:id="24"/>
      </w:r>
    </w:p>
    <w:p w14:paraId="633238B6" w14:textId="77777777" w:rsidR="00F231A7" w:rsidRDefault="00000000">
      <w:pPr>
        <w:keepNext/>
        <w:spacing w:before="60" w:after="60" w:line="360" w:lineRule="auto"/>
        <w:ind w:left="284"/>
        <w:jc w:val="both"/>
      </w:pPr>
      <w:r>
        <w:rPr>
          <w:b/>
          <w:bCs/>
          <w:smallCaps/>
          <w:sz w:val="26"/>
          <w:szCs w:val="26"/>
        </w:rPr>
        <w:t>How courts have treated corporate gifts</w:t>
      </w:r>
    </w:p>
    <w:p w14:paraId="18B68E83" w14:textId="77777777" w:rsidR="00F231A7" w:rsidRDefault="00000000">
      <w:pPr>
        <w:spacing w:before="60" w:after="60" w:line="360" w:lineRule="auto"/>
        <w:jc w:val="both"/>
      </w:pPr>
      <w:r>
        <w:t xml:space="preserve">The older legal question was whether a company may give away money at all, since it exists to earn profit. English courts answered that gifts are valid when they serve the company’s interest. In </w:t>
      </w:r>
      <w:r>
        <w:rPr>
          <w:i/>
          <w:iCs/>
        </w:rPr>
        <w:t>Hutton v. West Cork Railway Co.</w:t>
      </w:r>
      <w:r>
        <w:t>, the Court of Appeal refused to uphold voluntary payments made without regard to the company’s benefit, while accepting that reasonable gifts connected with the business are lawful.</w:t>
      </w:r>
      <w:r>
        <w:rPr>
          <w:rStyle w:val="FootnoteReference"/>
        </w:rPr>
        <w:footnoteReference w:id="25"/>
      </w:r>
      <w:r>
        <w:t xml:space="preserve"> In </w:t>
      </w:r>
      <w:r>
        <w:rPr>
          <w:i/>
          <w:iCs/>
        </w:rPr>
        <w:t>Evans v. Brunner, Mond &amp; Co. Ltd.</w:t>
      </w:r>
      <w:r>
        <w:t>, a donation to universities for scientific research was upheld because it served the company’s chemical business.</w:t>
      </w:r>
      <w:r>
        <w:rPr>
          <w:rStyle w:val="FootnoteReference"/>
        </w:rPr>
        <w:footnoteReference w:id="26"/>
      </w:r>
      <w:r>
        <w:t xml:space="preserve"> American law moved the same way. In </w:t>
      </w:r>
      <w:r>
        <w:rPr>
          <w:i/>
          <w:iCs/>
        </w:rPr>
        <w:t>A.P. Smith Manufacturing Co. v. Barlow</w:t>
      </w:r>
      <w:r>
        <w:t xml:space="preserve">, the New Jersey Supreme Court upheld a gift to </w:t>
      </w:r>
      <w:r>
        <w:lastRenderedPageBreak/>
        <w:t>Princeton University and reasoned that modern corporations have a duty to support the institutions that sustain the society in which they work.</w:t>
      </w:r>
      <w:r>
        <w:rPr>
          <w:rStyle w:val="FootnoteReference"/>
        </w:rPr>
        <w:footnoteReference w:id="27"/>
      </w:r>
      <w:r>
        <w:t xml:space="preserve"> Against this stands </w:t>
      </w:r>
      <w:r>
        <w:rPr>
          <w:i/>
          <w:iCs/>
        </w:rPr>
        <w:t>Dodge v. Ford Motor Co.</w:t>
      </w:r>
      <w:r>
        <w:t xml:space="preserve">, where the Michigan Supreme Court held that a business corporation is </w:t>
      </w:r>
      <w:proofErr w:type="spellStart"/>
      <w:r>
        <w:t>organised</w:t>
      </w:r>
      <w:proofErr w:type="spellEnd"/>
      <w:r>
        <w:t xml:space="preserve"> primarily for the profit of its shareholders and ordered a dividend despite Henry Ford’s wish to benefit the public.</w:t>
      </w:r>
      <w:r>
        <w:rPr>
          <w:rStyle w:val="FootnoteReference"/>
        </w:rPr>
        <w:footnoteReference w:id="28"/>
      </w:r>
      <w:r>
        <w:t xml:space="preserve"> In India, the same concern is now handled by statute through sections 166(2) and 181.</w:t>
      </w:r>
    </w:p>
    <w:p w14:paraId="2E85FCC0" w14:textId="77777777" w:rsidR="00F231A7" w:rsidRDefault="00000000">
      <w:pPr>
        <w:keepNext/>
        <w:spacing w:before="60" w:after="60" w:line="360" w:lineRule="auto"/>
        <w:ind w:left="284"/>
        <w:jc w:val="both"/>
      </w:pPr>
      <w:r>
        <w:rPr>
          <w:b/>
          <w:bCs/>
          <w:smallCaps/>
          <w:sz w:val="26"/>
          <w:szCs w:val="26"/>
        </w:rPr>
        <w:t>Political giving and tax</w:t>
      </w:r>
    </w:p>
    <w:p w14:paraId="653E1E53" w14:textId="77777777" w:rsidR="00F231A7" w:rsidRDefault="00000000">
      <w:pPr>
        <w:spacing w:before="60" w:after="60" w:line="360" w:lineRule="auto"/>
        <w:jc w:val="both"/>
      </w:pPr>
      <w:r>
        <w:t xml:space="preserve">Political giving is treated differently. Section 182 of the Companies Act, 2013 governs company contributions to political parties, and the Finance Act, 2017 removed the earlier ceiling of 7.5 percent of average net profit. In </w:t>
      </w:r>
      <w:r>
        <w:rPr>
          <w:i/>
          <w:iCs/>
        </w:rPr>
        <w:t>Association for Democratic Reforms v. Union of India</w:t>
      </w:r>
      <w:r>
        <w:t>, a Constitution Bench held that removing the ceiling was arbitrary and violated Article 14, and it struck down the Electoral Bond Scheme along with the related change to section 182(3).</w:t>
      </w:r>
      <w:r>
        <w:rPr>
          <w:rStyle w:val="FootnoteReference"/>
        </w:rPr>
        <w:footnoteReference w:id="29"/>
      </w:r>
      <w:r>
        <w:t xml:space="preserve"> The Court observed that companies have far greater influence over political parties than individuals do. CSR spending cannot be used for such contributions, since the Rules exclude them.</w:t>
      </w:r>
      <w:r>
        <w:rPr>
          <w:rStyle w:val="FootnoteReference"/>
        </w:rPr>
        <w:footnoteReference w:id="30"/>
      </w:r>
    </w:p>
    <w:p w14:paraId="1B1E486C" w14:textId="77777777" w:rsidR="00F231A7" w:rsidRDefault="00000000">
      <w:pPr>
        <w:spacing w:before="60" w:after="60" w:line="360" w:lineRule="auto"/>
        <w:jc w:val="both"/>
      </w:pPr>
      <w:r>
        <w:t>Tax law also keeps the two apart. Explanation 2 to section 37(1) of the Income Tax Act, 1961, inserted by the Finance (No. 2) Act, 2014, provides that CSR expenditure under section 135 is not business expenditure and cannot be deducted as such.</w:t>
      </w:r>
      <w:r>
        <w:rPr>
          <w:rStyle w:val="FootnoteReference"/>
        </w:rPr>
        <w:footnoteReference w:id="31"/>
      </w:r>
      <w:r>
        <w:t xml:space="preserve"> Donations to approved charities may separately qualify for deduction under section 80G. Tribunals have differed on whether a donation that forms part of the mandatory CSR spend may also claim that deduction, and the Mumbai Tribunal has recently held that Explanation 2 alone does not bar it.</w:t>
      </w:r>
      <w:r>
        <w:rPr>
          <w:rStyle w:val="FootnoteReference"/>
        </w:rPr>
        <w:footnoteReference w:id="32"/>
      </w:r>
      <w:r>
        <w:t xml:space="preserve"> The Income Tax Act, 2025 replaced the 1961 Act from 1 April 2026, so this paper discusses the position that developed under the old Act, which still governs income earned up to 31 March 2026.</w:t>
      </w:r>
      <w:r>
        <w:rPr>
          <w:rStyle w:val="FootnoteReference"/>
        </w:rPr>
        <w:footnoteReference w:id="33"/>
      </w:r>
    </w:p>
    <w:p w14:paraId="73CD0AC8" w14:textId="77777777" w:rsidR="00F231A7" w:rsidRDefault="00000000">
      <w:pPr>
        <w:keepNext/>
        <w:spacing w:before="60" w:after="60" w:line="360" w:lineRule="auto"/>
        <w:jc w:val="both"/>
      </w:pPr>
      <w:r>
        <w:rPr>
          <w:b/>
          <w:bCs/>
          <w:sz w:val="28"/>
          <w:szCs w:val="28"/>
        </w:rPr>
        <w:t xml:space="preserve">VI.  </w:t>
      </w:r>
      <w:r>
        <w:rPr>
          <w:b/>
          <w:bCs/>
          <w:smallCaps/>
          <w:sz w:val="28"/>
          <w:szCs w:val="28"/>
        </w:rPr>
        <w:t>Ethical Perspectives</w:t>
      </w:r>
    </w:p>
    <w:p w14:paraId="1C2399AA" w14:textId="77777777" w:rsidR="00F231A7" w:rsidRDefault="00000000">
      <w:pPr>
        <w:spacing w:before="60" w:after="60" w:line="360" w:lineRule="auto"/>
        <w:jc w:val="both"/>
      </w:pPr>
      <w:r>
        <w:t>The ethical debate has two ends. At one end, Milton Friedman argued that the social responsibility of business is to use its resources to increase profit within the rules of the game, because a manager who spends company money on social goals is spending other people’s money.</w:t>
      </w:r>
      <w:r>
        <w:rPr>
          <w:rStyle w:val="FootnoteReference"/>
        </w:rPr>
        <w:footnoteReference w:id="34"/>
      </w:r>
      <w:r>
        <w:t xml:space="preserve"> On this view, philanthropy is a private matter for owners, and a mandatory CSR spend is a tax collected by the </w:t>
      </w:r>
      <w:r>
        <w:lastRenderedPageBreak/>
        <w:t>wrong body. Adolf Berle took a related position in 1931 when he argued that corporate powers are powers held in trust for shareholders.</w:t>
      </w:r>
      <w:r>
        <w:rPr>
          <w:rStyle w:val="FootnoteReference"/>
        </w:rPr>
        <w:footnoteReference w:id="35"/>
      </w:r>
    </w:p>
    <w:p w14:paraId="1CCABDBE" w14:textId="77777777" w:rsidR="00F231A7" w:rsidRDefault="00000000">
      <w:pPr>
        <w:spacing w:before="60" w:after="60" w:line="360" w:lineRule="auto"/>
        <w:jc w:val="both"/>
      </w:pPr>
      <w:r>
        <w:t>At the other end, E. Merrick Dodd replied that the corporation is an economic institution that also has a social service function.</w:t>
      </w:r>
      <w:r>
        <w:rPr>
          <w:rStyle w:val="FootnoteReference"/>
        </w:rPr>
        <w:footnoteReference w:id="36"/>
      </w:r>
      <w:r>
        <w:t xml:space="preserve"> Later, R. Edward Freeman’s stakeholder theory held that managers owe duties to everyone affected by the firm, including employees, customers, suppliers and communities.</w:t>
      </w:r>
      <w:r>
        <w:rPr>
          <w:rStyle w:val="FootnoteReference"/>
        </w:rPr>
        <w:footnoteReference w:id="37"/>
      </w:r>
      <w:r>
        <w:t xml:space="preserve"> Section 166(2) of the Indian Act reflects this broader view, because it names employees, the community and the environment alongside shareholders.</w:t>
      </w:r>
    </w:p>
    <w:p w14:paraId="28DDD13B" w14:textId="77777777" w:rsidR="00F231A7" w:rsidRDefault="00000000">
      <w:pPr>
        <w:spacing w:before="60" w:after="60" w:line="360" w:lineRule="auto"/>
        <w:jc w:val="both"/>
      </w:pPr>
      <w:r>
        <w:t>A third view treats giving as strategy. Michael Porter and Mark Kramer argued that companies can use charity to improve the conditions in which they compete, so that the social gain and the business gain go together.</w:t>
      </w:r>
      <w:r>
        <w:rPr>
          <w:rStyle w:val="FootnoteReference"/>
        </w:rPr>
        <w:footnoteReference w:id="38"/>
      </w:r>
      <w:r>
        <w:t xml:space="preserve"> Indian evidence points in a similar direction. Dharmapala and Khanna found that firms covered by section 135 increased their CSR activity and that fewer of them advertised, which suggests that some treated CSR as a substitute for advertising.</w:t>
      </w:r>
      <w:r>
        <w:rPr>
          <w:rStyle w:val="FootnoteReference"/>
        </w:rPr>
        <w:footnoteReference w:id="39"/>
      </w:r>
      <w:r>
        <w:t xml:space="preserve"> If so, a part of what is called CSR is closer to marketing than to giving.</w:t>
      </w:r>
    </w:p>
    <w:p w14:paraId="60B0888B" w14:textId="77777777" w:rsidR="00F231A7" w:rsidRDefault="00000000">
      <w:pPr>
        <w:spacing w:before="60" w:after="60" w:line="360" w:lineRule="auto"/>
        <w:jc w:val="both"/>
      </w:pPr>
      <w:r>
        <w:t>Constitutional values support a duty of some kind. The Directive Principles ask the State to ensure that the working of the economic system does not result in the concentration of wealth and the means of production to the common detriment.</w:t>
      </w:r>
      <w:r>
        <w:rPr>
          <w:rStyle w:val="FootnoteReference"/>
        </w:rPr>
        <w:footnoteReference w:id="40"/>
      </w:r>
      <w:r>
        <w:t xml:space="preserve"> These principles do not bind companies directly, but they help explain why Parliament thought it fair to ask profitable companies to share part of their profit with society. The same values also set a limit. A duty to share profit is not a </w:t>
      </w:r>
      <w:proofErr w:type="spellStart"/>
      <w:r>
        <w:t>licence</w:t>
      </w:r>
      <w:proofErr w:type="spellEnd"/>
      <w:r>
        <w:t xml:space="preserve"> to cause harm and then offset it with a gift.</w:t>
      </w:r>
    </w:p>
    <w:p w14:paraId="6F731A9A" w14:textId="77777777" w:rsidR="00F231A7" w:rsidRDefault="00000000">
      <w:pPr>
        <w:spacing w:before="60" w:after="60" w:line="360" w:lineRule="auto"/>
        <w:jc w:val="both"/>
      </w:pPr>
      <w:r>
        <w:t xml:space="preserve">Indian courts have made this point in environmental cases. In </w:t>
      </w:r>
      <w:r>
        <w:rPr>
          <w:i/>
          <w:iCs/>
        </w:rPr>
        <w:t>M.C. Mehta v. Union of India</w:t>
      </w:r>
      <w:r>
        <w:t xml:space="preserve">, the Supreme Court held that an enterprise engaged in a hazardous or inherently dangerous activity owes an absolute and </w:t>
      </w:r>
      <w:proofErr w:type="spellStart"/>
      <w:r>
        <w:t>non delegable</w:t>
      </w:r>
      <w:proofErr w:type="spellEnd"/>
      <w:r>
        <w:t xml:space="preserve"> duty to the community and must bear the cost of the harm it causes.</w:t>
      </w:r>
      <w:r>
        <w:rPr>
          <w:rStyle w:val="FootnoteReference"/>
        </w:rPr>
        <w:footnoteReference w:id="41"/>
      </w:r>
      <w:r>
        <w:t xml:space="preserve"> In </w:t>
      </w:r>
      <w:r>
        <w:rPr>
          <w:i/>
          <w:iCs/>
        </w:rPr>
        <w:t>Vellore Citizens’ Welfare Forum v. Union of India</w:t>
      </w:r>
      <w:r>
        <w:t>, the Court accepted the polluter pays principle as part of the law of the country.</w:t>
      </w:r>
      <w:r>
        <w:rPr>
          <w:rStyle w:val="FootnoteReference"/>
        </w:rPr>
        <w:footnoteReference w:id="42"/>
      </w:r>
      <w:r>
        <w:t xml:space="preserve"> These cases show that liability for harm is a separate matter from charity. A company cannot meet its legal duty to the people it has harmed by spending on CSR elsewhere.</w:t>
      </w:r>
    </w:p>
    <w:p w14:paraId="2DD08B8B" w14:textId="77777777" w:rsidR="00F231A7" w:rsidRDefault="00000000">
      <w:pPr>
        <w:spacing w:before="60" w:after="60" w:line="360" w:lineRule="auto"/>
        <w:jc w:val="both"/>
      </w:pPr>
      <w:r>
        <w:lastRenderedPageBreak/>
        <w:t>Taken together, the theories suggest that philanthropy and CSR answer different moral questions. Philanthropy asks what a generous owner may choose to give. CSR, in its legal form, asks what a profitable company owes to a society that made its profit possible. The first question has no fixed answer. The second now has a number, which is two percent, and that number is a floor and not a measure of virtue.</w:t>
      </w:r>
    </w:p>
    <w:p w14:paraId="3486283E" w14:textId="77777777" w:rsidR="00F231A7" w:rsidRDefault="00000000">
      <w:pPr>
        <w:keepNext/>
        <w:spacing w:before="60" w:after="60" w:line="360" w:lineRule="auto"/>
        <w:jc w:val="both"/>
      </w:pPr>
      <w:r>
        <w:rPr>
          <w:b/>
          <w:bCs/>
          <w:sz w:val="28"/>
          <w:szCs w:val="28"/>
        </w:rPr>
        <w:t xml:space="preserve">VII.  </w:t>
      </w:r>
      <w:r>
        <w:rPr>
          <w:b/>
          <w:bCs/>
          <w:smallCaps/>
          <w:sz w:val="28"/>
          <w:szCs w:val="28"/>
        </w:rPr>
        <w:t>Problems in Practice</w:t>
      </w:r>
    </w:p>
    <w:p w14:paraId="19C296B6" w14:textId="77777777" w:rsidR="00F231A7" w:rsidRDefault="00000000">
      <w:pPr>
        <w:keepNext/>
        <w:spacing w:before="60" w:after="60" w:line="360" w:lineRule="auto"/>
        <w:ind w:left="284"/>
        <w:jc w:val="both"/>
      </w:pPr>
      <w:r>
        <w:rPr>
          <w:b/>
          <w:bCs/>
          <w:smallCaps/>
          <w:sz w:val="26"/>
          <w:szCs w:val="26"/>
        </w:rPr>
        <w:t>The scale of spending</w:t>
      </w:r>
    </w:p>
    <w:p w14:paraId="591C82D5" w14:textId="77777777" w:rsidR="00F231A7" w:rsidRDefault="00000000">
      <w:pPr>
        <w:spacing w:before="60" w:after="60" w:line="360" w:lineRule="auto"/>
        <w:jc w:val="both"/>
      </w:pPr>
      <w:r>
        <w:t>The mandate has produced large sums. According to the National CSR Portal, companies reported CSR expenditure of Rs. 24,965.82 crore in the financial year 2019 to 2020 and Rs. 34,908.75 crore in 2023 to 2024.</w:t>
      </w:r>
      <w:r>
        <w:rPr>
          <w:rStyle w:val="FootnoteReference"/>
        </w:rPr>
        <w:footnoteReference w:id="43"/>
      </w:r>
      <w:r>
        <w:t xml:space="preserve"> Spending is also concentrated. Maharashtra received more than seventeen percent of the total CSR spend in 2023 to 2024.</w:t>
      </w:r>
      <w:r>
        <w:rPr>
          <w:rStyle w:val="FootnoteReference"/>
        </w:rPr>
        <w:footnoteReference w:id="44"/>
      </w:r>
      <w:r>
        <w:t xml:space="preserve"> The legal preference for the local area tends to follow industrial location, and the </w:t>
      </w:r>
      <w:proofErr w:type="gramStart"/>
      <w:r>
        <w:t>High Level</w:t>
      </w:r>
      <w:proofErr w:type="gramEnd"/>
      <w:r>
        <w:t xml:space="preserve"> Committee on CSR of 2018 therefore recommended a balance between local preferences and national priorities.</w:t>
      </w:r>
      <w:r>
        <w:rPr>
          <w:rStyle w:val="FootnoteReference"/>
        </w:rPr>
        <w:footnoteReference w:id="45"/>
      </w:r>
    </w:p>
    <w:p w14:paraId="35D4007E" w14:textId="77777777" w:rsidR="00F231A7" w:rsidRDefault="00000000">
      <w:pPr>
        <w:keepNext/>
        <w:spacing w:before="60" w:after="60" w:line="360" w:lineRule="auto"/>
        <w:ind w:left="284"/>
        <w:jc w:val="both"/>
      </w:pPr>
      <w:r>
        <w:rPr>
          <w:b/>
          <w:bCs/>
          <w:smallCaps/>
          <w:sz w:val="26"/>
          <w:szCs w:val="26"/>
        </w:rPr>
        <w:t>Spending without outcomes</w:t>
      </w:r>
    </w:p>
    <w:p w14:paraId="2123B6D2" w14:textId="77777777" w:rsidR="00F231A7" w:rsidRDefault="00000000">
      <w:pPr>
        <w:spacing w:before="60" w:after="60" w:line="360" w:lineRule="auto"/>
        <w:jc w:val="both"/>
      </w:pPr>
      <w:r>
        <w:t>The law measures compliance largely by money spent and not by change achieved. The impact assessment duty applies only to larger spenders and to completed projects above a certain size, so smaller projects and smaller spenders fall outside it. A company can meet its two percent target and still leave no lasting benefit. The same Committee urged third party assessment of major projects and better monitoring.</w:t>
      </w:r>
      <w:r>
        <w:rPr>
          <w:rStyle w:val="FootnoteReference"/>
        </w:rPr>
        <w:footnoteReference w:id="46"/>
      </w:r>
    </w:p>
    <w:p w14:paraId="72294FFB" w14:textId="77777777" w:rsidR="00F231A7" w:rsidRDefault="00000000">
      <w:pPr>
        <w:keepNext/>
        <w:spacing w:before="60" w:after="60" w:line="360" w:lineRule="auto"/>
        <w:ind w:left="284"/>
        <w:jc w:val="both"/>
      </w:pPr>
      <w:r>
        <w:rPr>
          <w:b/>
          <w:bCs/>
          <w:smallCaps/>
          <w:sz w:val="26"/>
          <w:szCs w:val="26"/>
        </w:rPr>
        <w:t>Marketing, tax and crowding out</w:t>
      </w:r>
    </w:p>
    <w:p w14:paraId="35EE4B24" w14:textId="77777777" w:rsidR="00F231A7" w:rsidRDefault="00000000">
      <w:pPr>
        <w:spacing w:before="60" w:after="60" w:line="360" w:lineRule="auto"/>
        <w:jc w:val="both"/>
      </w:pPr>
      <w:r>
        <w:t xml:space="preserve">When CSR serves marketing, it blurs the line the law tries to draw. Rule 2(1)(d) excludes sponsorships done for marketing benefit, but a company can still choose projects that please customers and regulators over those that meet the greatest need. The tax position adds to the confusion. The </w:t>
      </w:r>
      <w:proofErr w:type="gramStart"/>
      <w:r>
        <w:t>High Level</w:t>
      </w:r>
      <w:proofErr w:type="gramEnd"/>
      <w:r>
        <w:t xml:space="preserve"> Committee recommended that CSR expenditure be made tax deductible, and tribunals still differ on section 80G.</w:t>
      </w:r>
      <w:r>
        <w:rPr>
          <w:rStyle w:val="FootnoteReference"/>
        </w:rPr>
        <w:footnoteReference w:id="47"/>
      </w:r>
      <w:r>
        <w:t xml:space="preserve"> Such doubt may discourage giving above the legal floor.</w:t>
      </w:r>
    </w:p>
    <w:p w14:paraId="11C580C4" w14:textId="77777777" w:rsidR="00F231A7" w:rsidRDefault="00000000">
      <w:pPr>
        <w:spacing w:before="60" w:after="60" w:line="360" w:lineRule="auto"/>
        <w:jc w:val="both"/>
      </w:pPr>
      <w:r>
        <w:t xml:space="preserve">A last concern is that mandatory CSR may crowd out true philanthropy. When boards see two percent as the expected limit, they may treat it as the whole of their duty, and promoters who once gave from </w:t>
      </w:r>
      <w:r>
        <w:lastRenderedPageBreak/>
        <w:t>personal wealth may decide that the company has done its share. The evidence is thin and deserves study.</w:t>
      </w:r>
    </w:p>
    <w:p w14:paraId="60E9AD20" w14:textId="77777777" w:rsidR="00F231A7" w:rsidRDefault="00000000">
      <w:pPr>
        <w:keepNext/>
        <w:spacing w:before="60" w:after="60" w:line="360" w:lineRule="auto"/>
        <w:jc w:val="both"/>
      </w:pPr>
      <w:r>
        <w:rPr>
          <w:b/>
          <w:bCs/>
          <w:sz w:val="28"/>
          <w:szCs w:val="28"/>
        </w:rPr>
        <w:t xml:space="preserve">VIII.  </w:t>
      </w:r>
      <w:r>
        <w:rPr>
          <w:b/>
          <w:bCs/>
          <w:smallCaps/>
          <w:sz w:val="28"/>
          <w:szCs w:val="28"/>
        </w:rPr>
        <w:t>Suggestions and Conclusion</w:t>
      </w:r>
    </w:p>
    <w:p w14:paraId="7FA3A13A" w14:textId="77777777" w:rsidR="00F231A7" w:rsidRDefault="00000000">
      <w:pPr>
        <w:spacing w:before="60" w:after="60" w:line="360" w:lineRule="auto"/>
        <w:jc w:val="both"/>
      </w:pPr>
      <w:r>
        <w:t>The study leads to the following suggestions.</w:t>
      </w:r>
    </w:p>
    <w:p w14:paraId="436D30E5" w14:textId="77777777" w:rsidR="00F231A7" w:rsidRDefault="00000000">
      <w:pPr>
        <w:spacing w:before="60" w:after="60" w:line="360" w:lineRule="auto"/>
        <w:jc w:val="both"/>
      </w:pPr>
      <w:r>
        <w:rPr>
          <w:i/>
          <w:iCs/>
        </w:rPr>
        <w:t>Keep the two ideas apart</w:t>
      </w:r>
      <w:r>
        <w:t>: The Ministry of Corporate Affairs should state in its guidance, and companies should state in their annual reports, that CSR spending under section 135 is a legal duty and that gifts above that amount are voluntary philanthropy. Reports should show the two figures apart.</w:t>
      </w:r>
    </w:p>
    <w:p w14:paraId="4EF9A093" w14:textId="77777777" w:rsidR="00F231A7" w:rsidRDefault="00000000">
      <w:pPr>
        <w:spacing w:before="60" w:after="60" w:line="360" w:lineRule="auto"/>
        <w:jc w:val="both"/>
      </w:pPr>
      <w:r>
        <w:rPr>
          <w:i/>
          <w:iCs/>
        </w:rPr>
        <w:t>Settle the tax position by statute</w:t>
      </w:r>
      <w:r>
        <w:t xml:space="preserve">: Parliament should say in express words whether a donation that forms part of the CSR spend qualifies for deduction, as the </w:t>
      </w:r>
      <w:proofErr w:type="gramStart"/>
      <w:r>
        <w:t>High Level</w:t>
      </w:r>
      <w:proofErr w:type="gramEnd"/>
      <w:r>
        <w:t xml:space="preserve"> Committee proposed, so that tribunals do not decide the question case by case. The Income Tax Act, 2025 needs the same clarity.</w:t>
      </w:r>
    </w:p>
    <w:p w14:paraId="59920A02" w14:textId="77777777" w:rsidR="00F231A7" w:rsidRDefault="00000000">
      <w:pPr>
        <w:spacing w:before="60" w:after="60" w:line="360" w:lineRule="auto"/>
        <w:jc w:val="both"/>
      </w:pPr>
      <w:r>
        <w:rPr>
          <w:i/>
          <w:iCs/>
        </w:rPr>
        <w:t>Look at results</w:t>
      </w:r>
      <w:r>
        <w:t>: The impact assessment duty should be extended step by step to medium sized spenders, and the assessment reports should be placed on the National CSR Portal for public scrutiny.</w:t>
      </w:r>
    </w:p>
    <w:p w14:paraId="5296CA10" w14:textId="77777777" w:rsidR="00F231A7" w:rsidRDefault="00000000">
      <w:pPr>
        <w:spacing w:before="60" w:after="60" w:line="360" w:lineRule="auto"/>
        <w:jc w:val="both"/>
      </w:pPr>
      <w:r>
        <w:rPr>
          <w:i/>
          <w:iCs/>
        </w:rPr>
        <w:t>Balance local and national needs</w:t>
      </w:r>
      <w:r>
        <w:t xml:space="preserve">: The local area preference should be read together with national priorities, as the </w:t>
      </w:r>
      <w:proofErr w:type="gramStart"/>
      <w:r>
        <w:t>High Level</w:t>
      </w:r>
      <w:proofErr w:type="gramEnd"/>
      <w:r>
        <w:t xml:space="preserve"> Committee advised, so that districts with little industry also receive support.</w:t>
      </w:r>
    </w:p>
    <w:p w14:paraId="7DD2B1C2" w14:textId="77777777" w:rsidR="00F231A7" w:rsidRDefault="00000000">
      <w:pPr>
        <w:spacing w:before="60" w:after="60" w:line="360" w:lineRule="auto"/>
        <w:jc w:val="both"/>
      </w:pPr>
      <w:r>
        <w:rPr>
          <w:i/>
          <w:iCs/>
        </w:rPr>
        <w:t>Protect the line between charity and liability</w:t>
      </w:r>
      <w:r>
        <w:t>: Regulators and courts should not accept CSR spending as a reason to reduce penalties or compensation for harm that a company has caused.</w:t>
      </w:r>
    </w:p>
    <w:p w14:paraId="16FA598A" w14:textId="77777777" w:rsidR="00F231A7" w:rsidRDefault="00000000">
      <w:pPr>
        <w:spacing w:before="60" w:after="60" w:line="360" w:lineRule="auto"/>
        <w:jc w:val="both"/>
      </w:pPr>
      <w:r>
        <w:rPr>
          <w:i/>
          <w:iCs/>
        </w:rPr>
        <w:t>Study the effect on voluntary giving</w:t>
      </w:r>
      <w:r>
        <w:t>: The Ministry should commission empirical research on whether mandatory CSR has reduced philanthropy by companies and their promoters.</w:t>
      </w:r>
    </w:p>
    <w:p w14:paraId="1D49B291" w14:textId="77777777" w:rsidR="00F231A7" w:rsidRDefault="00000000">
      <w:pPr>
        <w:spacing w:before="60" w:after="60" w:line="360" w:lineRule="auto"/>
        <w:jc w:val="both"/>
      </w:pPr>
      <w:r>
        <w:t xml:space="preserve">Corporate philanthropy and CSR in India are </w:t>
      </w:r>
      <w:proofErr w:type="spellStart"/>
      <w:r>
        <w:t>neighbours</w:t>
      </w:r>
      <w:proofErr w:type="spellEnd"/>
      <w:r>
        <w:t xml:space="preserve"> that are often mistaken for twins. In law, philanthropy rests on the powers of the company and the choice of the donor, while CSR rests on section 135 and the CSR Rules and carries penalties. In ethics, philanthropy is valued because it is free, and CSR is defended as a fair share owed to society. This paper has argued that India should keep CSR as a regulated minimum, guard philanthropy as a free act, and measure CSR by what it achieves. If the law keeps the distinction clear, companies will know what they must do, and the public will know what to thank them for.</w:t>
      </w:r>
    </w:p>
    <w:sectPr w:rsidR="00F231A7">
      <w:headerReference w:type="default" r:id="rId7"/>
      <w:footerReference w:type="default" r:id="rId8"/>
      <w:pgSz w:w="11900" w:h="16840"/>
      <w:pgMar w:top="1134" w:right="1134" w:bottom="1134" w:left="1134" w:header="709"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6F7941" w14:textId="77777777" w:rsidR="00D85255" w:rsidRDefault="00D85255">
      <w:r>
        <w:separator/>
      </w:r>
    </w:p>
  </w:endnote>
  <w:endnote w:type="continuationSeparator" w:id="0">
    <w:p w14:paraId="2CB4FA08" w14:textId="77777777" w:rsidR="00D85255" w:rsidRDefault="00D85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CFD7B4" w14:textId="77777777" w:rsidR="00F231A7" w:rsidRDefault="00F231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89C2FD" w14:textId="77777777" w:rsidR="00D85255" w:rsidRDefault="00D85255">
      <w:r>
        <w:separator/>
      </w:r>
    </w:p>
  </w:footnote>
  <w:footnote w:type="continuationSeparator" w:id="0">
    <w:p w14:paraId="318B24F3" w14:textId="77777777" w:rsidR="00D85255" w:rsidRDefault="00D85255">
      <w:r>
        <w:continuationSeparator/>
      </w:r>
    </w:p>
  </w:footnote>
  <w:footnote w:id="1">
    <w:p w14:paraId="3C0625F7" w14:textId="77777777" w:rsidR="00F231A7" w:rsidRDefault="00000000">
      <w:pPr>
        <w:spacing w:after="20"/>
        <w:jc w:val="both"/>
      </w:pPr>
      <w:r>
        <w:rPr>
          <w:rStyle w:val="FootnoteReference"/>
        </w:rPr>
        <w:footnoteRef/>
      </w:r>
      <w:r>
        <w:rPr>
          <w:sz w:val="20"/>
          <w:szCs w:val="20"/>
        </w:rPr>
        <w:t xml:space="preserve"> The Companies Act, 2013 (Act 18 of 2013), s. 135(1) and (5).</w:t>
      </w:r>
    </w:p>
  </w:footnote>
  <w:footnote w:id="2">
    <w:p w14:paraId="52EB4D4B" w14:textId="77777777" w:rsidR="00F231A7" w:rsidRDefault="00000000">
      <w:pPr>
        <w:spacing w:after="20"/>
        <w:jc w:val="both"/>
      </w:pPr>
      <w:r>
        <w:rPr>
          <w:rStyle w:val="FootnoteReference"/>
        </w:rPr>
        <w:footnoteRef/>
      </w:r>
      <w:r>
        <w:rPr>
          <w:sz w:val="20"/>
          <w:szCs w:val="20"/>
        </w:rPr>
        <w:t xml:space="preserve"> Afra </w:t>
      </w:r>
      <w:proofErr w:type="spellStart"/>
      <w:r>
        <w:rPr>
          <w:sz w:val="20"/>
          <w:szCs w:val="20"/>
        </w:rPr>
        <w:t>Afsharipour</w:t>
      </w:r>
      <w:proofErr w:type="spellEnd"/>
      <w:r>
        <w:rPr>
          <w:sz w:val="20"/>
          <w:szCs w:val="20"/>
        </w:rPr>
        <w:t xml:space="preserve"> and Shruti Rana, “The Emergence of New Corporate Social Responsibility Regimes in China and India”, 14 U.C. Davis Bus. L.J. 175 (2014).</w:t>
      </w:r>
    </w:p>
  </w:footnote>
  <w:footnote w:id="3">
    <w:p w14:paraId="28012AE9" w14:textId="77777777" w:rsidR="00F231A7" w:rsidRDefault="00000000">
      <w:pPr>
        <w:spacing w:after="20"/>
        <w:jc w:val="both"/>
      </w:pPr>
      <w:r>
        <w:rPr>
          <w:rStyle w:val="FootnoteReference"/>
        </w:rPr>
        <w:footnoteRef/>
      </w:r>
      <w:r>
        <w:rPr>
          <w:sz w:val="20"/>
          <w:szCs w:val="20"/>
        </w:rPr>
        <w:t xml:space="preserve"> The Companies (Corporate Social Responsibility Policy) Rules, 2014, r. 2(1)(d), as amended by the Companies (Corporate Social Responsibility Policy) Amendment Rules, 2021 (hereinafter CSR Rules).</w:t>
      </w:r>
    </w:p>
  </w:footnote>
  <w:footnote w:id="4">
    <w:p w14:paraId="4FD7FF5D" w14:textId="77777777" w:rsidR="00F231A7" w:rsidRDefault="00000000">
      <w:pPr>
        <w:spacing w:after="20"/>
        <w:jc w:val="both"/>
      </w:pPr>
      <w:r>
        <w:rPr>
          <w:rStyle w:val="FootnoteReference"/>
        </w:rPr>
        <w:footnoteRef/>
      </w:r>
      <w:r>
        <w:rPr>
          <w:sz w:val="20"/>
          <w:szCs w:val="20"/>
        </w:rPr>
        <w:t xml:space="preserve"> Archie B. Carroll, “The Pyramid of Corporate Social Responsibility: Toward the Moral Management of Organizational Stakeholders”, 34(4) Business Horizons 39 (1991).</w:t>
      </w:r>
    </w:p>
  </w:footnote>
  <w:footnote w:id="5">
    <w:p w14:paraId="2C6C8102" w14:textId="77777777" w:rsidR="00F231A7" w:rsidRDefault="00000000">
      <w:pPr>
        <w:spacing w:after="20"/>
        <w:jc w:val="both"/>
      </w:pPr>
      <w:r>
        <w:rPr>
          <w:rStyle w:val="FootnoteReference"/>
        </w:rPr>
        <w:footnoteRef/>
      </w:r>
      <w:r>
        <w:rPr>
          <w:sz w:val="20"/>
          <w:szCs w:val="20"/>
        </w:rPr>
        <w:t xml:space="preserve"> The Companies Act, 2013, s. 135(7).</w:t>
      </w:r>
    </w:p>
  </w:footnote>
  <w:footnote w:id="6">
    <w:p w14:paraId="599DE49E" w14:textId="77777777" w:rsidR="00F231A7" w:rsidRDefault="00000000">
      <w:pPr>
        <w:spacing w:after="20"/>
        <w:jc w:val="both"/>
      </w:pPr>
      <w:r>
        <w:rPr>
          <w:rStyle w:val="FootnoteReference"/>
        </w:rPr>
        <w:footnoteRef/>
      </w:r>
      <w:r>
        <w:rPr>
          <w:sz w:val="20"/>
          <w:szCs w:val="20"/>
        </w:rPr>
        <w:t xml:space="preserve"> See generally </w:t>
      </w:r>
      <w:proofErr w:type="spellStart"/>
      <w:r>
        <w:rPr>
          <w:sz w:val="20"/>
          <w:szCs w:val="20"/>
        </w:rPr>
        <w:t>Afsharipour</w:t>
      </w:r>
      <w:proofErr w:type="spellEnd"/>
      <w:r>
        <w:rPr>
          <w:sz w:val="20"/>
          <w:szCs w:val="20"/>
        </w:rPr>
        <w:t xml:space="preserve"> and Rana, supra note 2.</w:t>
      </w:r>
    </w:p>
  </w:footnote>
  <w:footnote w:id="7">
    <w:p w14:paraId="195878C3" w14:textId="77777777" w:rsidR="00F231A7" w:rsidRDefault="00000000">
      <w:pPr>
        <w:spacing w:after="20"/>
        <w:jc w:val="both"/>
      </w:pPr>
      <w:r>
        <w:rPr>
          <w:rStyle w:val="FootnoteReference"/>
        </w:rPr>
        <w:footnoteRef/>
      </w:r>
      <w:r>
        <w:rPr>
          <w:sz w:val="20"/>
          <w:szCs w:val="20"/>
        </w:rPr>
        <w:t xml:space="preserve"> The Companies Act, 1956 (Act 1 of 1956), s. 293(1)(e) and s. 293A.</w:t>
      </w:r>
    </w:p>
  </w:footnote>
  <w:footnote w:id="8">
    <w:p w14:paraId="721D91E0" w14:textId="77777777" w:rsidR="00F231A7" w:rsidRDefault="00000000">
      <w:pPr>
        <w:spacing w:after="20"/>
        <w:jc w:val="both"/>
      </w:pPr>
      <w:r>
        <w:rPr>
          <w:rStyle w:val="FootnoteReference"/>
        </w:rPr>
        <w:footnoteRef/>
      </w:r>
      <w:r>
        <w:rPr>
          <w:sz w:val="20"/>
          <w:szCs w:val="20"/>
        </w:rPr>
        <w:t xml:space="preserve"> Ministry of Corporate Affairs, </w:t>
      </w:r>
      <w:r>
        <w:rPr>
          <w:i/>
          <w:iCs/>
          <w:sz w:val="20"/>
          <w:szCs w:val="20"/>
        </w:rPr>
        <w:t>Corporate Social Responsibility Voluntary Guidelines</w:t>
      </w:r>
      <w:r>
        <w:rPr>
          <w:sz w:val="20"/>
          <w:szCs w:val="20"/>
        </w:rPr>
        <w:t xml:space="preserve"> (2009); Ministry of Corporate Affairs, </w:t>
      </w:r>
      <w:r>
        <w:rPr>
          <w:i/>
          <w:iCs/>
          <w:sz w:val="20"/>
          <w:szCs w:val="20"/>
        </w:rPr>
        <w:t>National Voluntary Guidelines on Social, Environmental and Economic Responsibilities of Business</w:t>
      </w:r>
      <w:r>
        <w:rPr>
          <w:sz w:val="20"/>
          <w:szCs w:val="20"/>
        </w:rPr>
        <w:t xml:space="preserve"> (2011).</w:t>
      </w:r>
    </w:p>
  </w:footnote>
  <w:footnote w:id="9">
    <w:p w14:paraId="737231B0" w14:textId="77777777" w:rsidR="00F231A7" w:rsidRDefault="00000000">
      <w:pPr>
        <w:spacing w:after="20"/>
        <w:jc w:val="both"/>
      </w:pPr>
      <w:r>
        <w:rPr>
          <w:rStyle w:val="FootnoteReference"/>
        </w:rPr>
        <w:footnoteRef/>
      </w:r>
      <w:r>
        <w:rPr>
          <w:sz w:val="20"/>
          <w:szCs w:val="20"/>
        </w:rPr>
        <w:t xml:space="preserve"> Section 135, Schedule VII and the CSR Rules came into force on 1 April 2014.</w:t>
      </w:r>
    </w:p>
  </w:footnote>
  <w:footnote w:id="10">
    <w:p w14:paraId="7EE91BC1" w14:textId="77777777" w:rsidR="00F231A7" w:rsidRDefault="00000000">
      <w:pPr>
        <w:spacing w:after="20"/>
        <w:jc w:val="both"/>
      </w:pPr>
      <w:r>
        <w:rPr>
          <w:rStyle w:val="FootnoteReference"/>
        </w:rPr>
        <w:footnoteRef/>
      </w:r>
      <w:r>
        <w:rPr>
          <w:sz w:val="20"/>
          <w:szCs w:val="20"/>
        </w:rPr>
        <w:t xml:space="preserve"> The Companies (Amendment) Act, 2019 (Act 22 of 2019); The Companies (Amendment) Act, 2020 (Act 29 of 2020); CSR Rules, as amended on 22 January 2021.</w:t>
      </w:r>
    </w:p>
  </w:footnote>
  <w:footnote w:id="11">
    <w:p w14:paraId="4FDAADD4" w14:textId="77777777" w:rsidR="00F231A7" w:rsidRDefault="00000000">
      <w:pPr>
        <w:spacing w:after="20"/>
        <w:jc w:val="both"/>
      </w:pPr>
      <w:r>
        <w:rPr>
          <w:rStyle w:val="FootnoteReference"/>
        </w:rPr>
        <w:footnoteRef/>
      </w:r>
      <w:r>
        <w:rPr>
          <w:sz w:val="20"/>
          <w:szCs w:val="20"/>
        </w:rPr>
        <w:t xml:space="preserve"> The Companies Act, 2013, s. 135(1) and (9).</w:t>
      </w:r>
    </w:p>
  </w:footnote>
  <w:footnote w:id="12">
    <w:p w14:paraId="134B7B74" w14:textId="77777777" w:rsidR="00F231A7" w:rsidRDefault="00000000">
      <w:pPr>
        <w:spacing w:after="20"/>
        <w:jc w:val="both"/>
      </w:pPr>
      <w:r>
        <w:rPr>
          <w:rStyle w:val="FootnoteReference"/>
        </w:rPr>
        <w:footnoteRef/>
      </w:r>
      <w:r>
        <w:rPr>
          <w:sz w:val="20"/>
          <w:szCs w:val="20"/>
        </w:rPr>
        <w:t xml:space="preserve"> The Companies Act, 2013, s. 135(3) and (4).</w:t>
      </w:r>
    </w:p>
  </w:footnote>
  <w:footnote w:id="13">
    <w:p w14:paraId="51CBD806" w14:textId="77777777" w:rsidR="00F231A7" w:rsidRDefault="00000000">
      <w:pPr>
        <w:spacing w:after="20"/>
        <w:jc w:val="both"/>
      </w:pPr>
      <w:r>
        <w:rPr>
          <w:rStyle w:val="FootnoteReference"/>
        </w:rPr>
        <w:footnoteRef/>
      </w:r>
      <w:r>
        <w:rPr>
          <w:sz w:val="20"/>
          <w:szCs w:val="20"/>
        </w:rPr>
        <w:t xml:space="preserve"> The Companies Act, 2013, s. 135(5).</w:t>
      </w:r>
    </w:p>
  </w:footnote>
  <w:footnote w:id="14">
    <w:p w14:paraId="142B3194" w14:textId="77777777" w:rsidR="00F231A7" w:rsidRDefault="00000000">
      <w:pPr>
        <w:spacing w:after="20"/>
        <w:jc w:val="both"/>
      </w:pPr>
      <w:r>
        <w:rPr>
          <w:rStyle w:val="FootnoteReference"/>
        </w:rPr>
        <w:footnoteRef/>
      </w:r>
      <w:r>
        <w:rPr>
          <w:sz w:val="20"/>
          <w:szCs w:val="20"/>
        </w:rPr>
        <w:t xml:space="preserve"> The Companies Act, 2013, Schedule VII, items (</w:t>
      </w:r>
      <w:proofErr w:type="spellStart"/>
      <w:r>
        <w:rPr>
          <w:sz w:val="20"/>
          <w:szCs w:val="20"/>
        </w:rPr>
        <w:t>i</w:t>
      </w:r>
      <w:proofErr w:type="spellEnd"/>
      <w:r>
        <w:rPr>
          <w:sz w:val="20"/>
          <w:szCs w:val="20"/>
        </w:rPr>
        <w:t>) to (xii).</w:t>
      </w:r>
    </w:p>
  </w:footnote>
  <w:footnote w:id="15">
    <w:p w14:paraId="5819B49C" w14:textId="77777777" w:rsidR="00F231A7" w:rsidRDefault="00000000">
      <w:pPr>
        <w:spacing w:after="20"/>
        <w:jc w:val="both"/>
      </w:pPr>
      <w:r>
        <w:rPr>
          <w:rStyle w:val="FootnoteReference"/>
        </w:rPr>
        <w:footnoteRef/>
      </w:r>
      <w:r>
        <w:rPr>
          <w:sz w:val="20"/>
          <w:szCs w:val="20"/>
        </w:rPr>
        <w:t xml:space="preserve"> CSR Rules, r. 4(1) and 4(2).</w:t>
      </w:r>
    </w:p>
  </w:footnote>
  <w:footnote w:id="16">
    <w:p w14:paraId="6D32A733" w14:textId="77777777" w:rsidR="00F231A7" w:rsidRDefault="00000000">
      <w:pPr>
        <w:spacing w:after="20"/>
        <w:jc w:val="both"/>
      </w:pPr>
      <w:r>
        <w:rPr>
          <w:rStyle w:val="FootnoteReference"/>
        </w:rPr>
        <w:footnoteRef/>
      </w:r>
      <w:r>
        <w:rPr>
          <w:sz w:val="20"/>
          <w:szCs w:val="20"/>
        </w:rPr>
        <w:t xml:space="preserve"> CSR Rules, r. 7(1) and 7(3).</w:t>
      </w:r>
    </w:p>
  </w:footnote>
  <w:footnote w:id="17">
    <w:p w14:paraId="4B454A42" w14:textId="77777777" w:rsidR="00F231A7" w:rsidRDefault="00000000">
      <w:pPr>
        <w:spacing w:after="20"/>
        <w:jc w:val="both"/>
      </w:pPr>
      <w:r>
        <w:rPr>
          <w:rStyle w:val="FootnoteReference"/>
        </w:rPr>
        <w:footnoteRef/>
      </w:r>
      <w:r>
        <w:rPr>
          <w:sz w:val="20"/>
          <w:szCs w:val="20"/>
        </w:rPr>
        <w:t xml:space="preserve"> CSR Rules, r. 8(3)(a).</w:t>
      </w:r>
    </w:p>
  </w:footnote>
  <w:footnote w:id="18">
    <w:p w14:paraId="3C3EB40C" w14:textId="77777777" w:rsidR="00F231A7" w:rsidRDefault="00000000">
      <w:pPr>
        <w:spacing w:after="20"/>
        <w:jc w:val="both"/>
      </w:pPr>
      <w:r>
        <w:rPr>
          <w:rStyle w:val="FootnoteReference"/>
        </w:rPr>
        <w:footnoteRef/>
      </w:r>
      <w:r>
        <w:rPr>
          <w:sz w:val="20"/>
          <w:szCs w:val="20"/>
        </w:rPr>
        <w:t xml:space="preserve"> The Companies Act, 2013, s. 135(6).</w:t>
      </w:r>
    </w:p>
  </w:footnote>
  <w:footnote w:id="19">
    <w:p w14:paraId="4C8E03AE" w14:textId="77777777" w:rsidR="00F231A7" w:rsidRDefault="00000000">
      <w:pPr>
        <w:spacing w:after="20"/>
        <w:jc w:val="both"/>
      </w:pPr>
      <w:r>
        <w:rPr>
          <w:rStyle w:val="FootnoteReference"/>
        </w:rPr>
        <w:footnoteRef/>
      </w:r>
      <w:r>
        <w:rPr>
          <w:sz w:val="20"/>
          <w:szCs w:val="20"/>
        </w:rPr>
        <w:t xml:space="preserve"> The Companies Act, 2013, s. 135(5), second proviso.</w:t>
      </w:r>
    </w:p>
  </w:footnote>
  <w:footnote w:id="20">
    <w:p w14:paraId="7F300372" w14:textId="77777777" w:rsidR="00F231A7" w:rsidRDefault="00000000">
      <w:pPr>
        <w:spacing w:after="20"/>
        <w:jc w:val="both"/>
      </w:pPr>
      <w:r>
        <w:rPr>
          <w:rStyle w:val="FootnoteReference"/>
        </w:rPr>
        <w:footnoteRef/>
      </w:r>
      <w:r>
        <w:rPr>
          <w:sz w:val="20"/>
          <w:szCs w:val="20"/>
        </w:rPr>
        <w:t xml:space="preserve"> The Companies Act, 2013, s. 135(7), supra note 5.</w:t>
      </w:r>
    </w:p>
  </w:footnote>
  <w:footnote w:id="21">
    <w:p w14:paraId="7001396D" w14:textId="77777777" w:rsidR="00F231A7" w:rsidRDefault="00000000">
      <w:pPr>
        <w:spacing w:after="20"/>
        <w:jc w:val="both"/>
      </w:pPr>
      <w:r>
        <w:rPr>
          <w:rStyle w:val="FootnoteReference"/>
        </w:rPr>
        <w:footnoteRef/>
      </w:r>
      <w:r>
        <w:rPr>
          <w:sz w:val="20"/>
          <w:szCs w:val="20"/>
        </w:rPr>
        <w:t xml:space="preserve"> The Companies Act, 2013, s. 134(3)(o); CSR Rules, r. 8.</w:t>
      </w:r>
    </w:p>
  </w:footnote>
  <w:footnote w:id="22">
    <w:p w14:paraId="7A0504F4" w14:textId="77777777" w:rsidR="00F231A7" w:rsidRDefault="00000000">
      <w:pPr>
        <w:spacing w:after="20"/>
        <w:jc w:val="both"/>
      </w:pPr>
      <w:r>
        <w:rPr>
          <w:rStyle w:val="FootnoteReference"/>
        </w:rPr>
        <w:footnoteRef/>
      </w:r>
      <w:r>
        <w:rPr>
          <w:sz w:val="20"/>
          <w:szCs w:val="20"/>
        </w:rPr>
        <w:t xml:space="preserve"> The Securities and Exchange Board of India (Listing Obligations and Disclosure Requirements) Regulations, 2015, reg. 34(2)(f).</w:t>
      </w:r>
    </w:p>
  </w:footnote>
  <w:footnote w:id="23">
    <w:p w14:paraId="2D9BF64F" w14:textId="77777777" w:rsidR="00F231A7" w:rsidRDefault="00000000">
      <w:pPr>
        <w:spacing w:after="20"/>
        <w:jc w:val="both"/>
      </w:pPr>
      <w:r>
        <w:rPr>
          <w:rStyle w:val="FootnoteReference"/>
        </w:rPr>
        <w:footnoteRef/>
      </w:r>
      <w:r>
        <w:rPr>
          <w:sz w:val="20"/>
          <w:szCs w:val="20"/>
        </w:rPr>
        <w:t xml:space="preserve"> The Companies Act, 2013, s. 181. Compare the Companies Act, 1956, s. 293(1)(e), supra note 7.</w:t>
      </w:r>
    </w:p>
  </w:footnote>
  <w:footnote w:id="24">
    <w:p w14:paraId="5344FD4E" w14:textId="77777777" w:rsidR="00F231A7" w:rsidRDefault="00000000">
      <w:pPr>
        <w:spacing w:after="20"/>
        <w:jc w:val="both"/>
      </w:pPr>
      <w:r>
        <w:rPr>
          <w:rStyle w:val="FootnoteReference"/>
        </w:rPr>
        <w:footnoteRef/>
      </w:r>
      <w:r>
        <w:rPr>
          <w:sz w:val="20"/>
          <w:szCs w:val="20"/>
        </w:rPr>
        <w:t xml:space="preserve"> The Companies Act, 2013, s. 166(2).</w:t>
      </w:r>
    </w:p>
  </w:footnote>
  <w:footnote w:id="25">
    <w:p w14:paraId="18B6738D" w14:textId="77777777" w:rsidR="00F231A7" w:rsidRDefault="00000000">
      <w:pPr>
        <w:spacing w:after="20"/>
        <w:jc w:val="both"/>
      </w:pPr>
      <w:r>
        <w:rPr>
          <w:rStyle w:val="FootnoteReference"/>
        </w:rPr>
        <w:footnoteRef/>
      </w:r>
      <w:r>
        <w:rPr>
          <w:sz w:val="20"/>
          <w:szCs w:val="20"/>
        </w:rPr>
        <w:t xml:space="preserve"> </w:t>
      </w:r>
      <w:r>
        <w:rPr>
          <w:i/>
          <w:iCs/>
          <w:sz w:val="20"/>
          <w:szCs w:val="20"/>
        </w:rPr>
        <w:t>Hutton v. West Cork Railway Co.</w:t>
      </w:r>
      <w:r>
        <w:rPr>
          <w:sz w:val="20"/>
          <w:szCs w:val="20"/>
        </w:rPr>
        <w:t>, (1883) 23 Ch D 654 (CA).</w:t>
      </w:r>
    </w:p>
  </w:footnote>
  <w:footnote w:id="26">
    <w:p w14:paraId="2A7BB660" w14:textId="77777777" w:rsidR="00F231A7" w:rsidRDefault="00000000">
      <w:pPr>
        <w:spacing w:after="20"/>
        <w:jc w:val="both"/>
      </w:pPr>
      <w:r>
        <w:rPr>
          <w:rStyle w:val="FootnoteReference"/>
        </w:rPr>
        <w:footnoteRef/>
      </w:r>
      <w:r>
        <w:rPr>
          <w:sz w:val="20"/>
          <w:szCs w:val="20"/>
        </w:rPr>
        <w:t xml:space="preserve"> </w:t>
      </w:r>
      <w:r>
        <w:rPr>
          <w:i/>
          <w:iCs/>
          <w:sz w:val="20"/>
          <w:szCs w:val="20"/>
        </w:rPr>
        <w:t>Evans v. Brunner, Mond &amp; Co. Ltd.</w:t>
      </w:r>
      <w:r>
        <w:rPr>
          <w:sz w:val="20"/>
          <w:szCs w:val="20"/>
        </w:rPr>
        <w:t>, [1921] 1 Ch 359.</w:t>
      </w:r>
    </w:p>
  </w:footnote>
  <w:footnote w:id="27">
    <w:p w14:paraId="671045A8" w14:textId="77777777" w:rsidR="00F231A7" w:rsidRDefault="00000000">
      <w:pPr>
        <w:spacing w:after="20"/>
        <w:jc w:val="both"/>
      </w:pPr>
      <w:r>
        <w:rPr>
          <w:rStyle w:val="FootnoteReference"/>
        </w:rPr>
        <w:footnoteRef/>
      </w:r>
      <w:r>
        <w:rPr>
          <w:sz w:val="20"/>
          <w:szCs w:val="20"/>
        </w:rPr>
        <w:t xml:space="preserve"> </w:t>
      </w:r>
      <w:r>
        <w:rPr>
          <w:i/>
          <w:iCs/>
          <w:sz w:val="20"/>
          <w:szCs w:val="20"/>
        </w:rPr>
        <w:t>A.P. Smith Mfg. Co. v. Barlow</w:t>
      </w:r>
      <w:r>
        <w:rPr>
          <w:sz w:val="20"/>
          <w:szCs w:val="20"/>
        </w:rPr>
        <w:t>, 98 A.2d 581 (N.J. 1953).</w:t>
      </w:r>
    </w:p>
  </w:footnote>
  <w:footnote w:id="28">
    <w:p w14:paraId="764D347D" w14:textId="77777777" w:rsidR="00F231A7" w:rsidRDefault="00000000">
      <w:pPr>
        <w:spacing w:after="20"/>
        <w:jc w:val="both"/>
      </w:pPr>
      <w:r>
        <w:rPr>
          <w:rStyle w:val="FootnoteReference"/>
        </w:rPr>
        <w:footnoteRef/>
      </w:r>
      <w:r>
        <w:rPr>
          <w:sz w:val="20"/>
          <w:szCs w:val="20"/>
        </w:rPr>
        <w:t xml:space="preserve"> </w:t>
      </w:r>
      <w:r>
        <w:rPr>
          <w:i/>
          <w:iCs/>
          <w:sz w:val="20"/>
          <w:szCs w:val="20"/>
        </w:rPr>
        <w:t>Dodge v. Ford Motor Co.</w:t>
      </w:r>
      <w:r>
        <w:rPr>
          <w:sz w:val="20"/>
          <w:szCs w:val="20"/>
        </w:rPr>
        <w:t>, 170 N.W. 668 (Mich. 1919).</w:t>
      </w:r>
    </w:p>
  </w:footnote>
  <w:footnote w:id="29">
    <w:p w14:paraId="0AE3A649" w14:textId="77777777" w:rsidR="00F231A7" w:rsidRDefault="00000000">
      <w:pPr>
        <w:spacing w:after="20"/>
        <w:jc w:val="both"/>
      </w:pPr>
      <w:r>
        <w:rPr>
          <w:rStyle w:val="FootnoteReference"/>
        </w:rPr>
        <w:footnoteRef/>
      </w:r>
      <w:r>
        <w:rPr>
          <w:sz w:val="20"/>
          <w:szCs w:val="20"/>
        </w:rPr>
        <w:t xml:space="preserve"> </w:t>
      </w:r>
      <w:r>
        <w:rPr>
          <w:i/>
          <w:iCs/>
          <w:sz w:val="20"/>
          <w:szCs w:val="20"/>
        </w:rPr>
        <w:t>Association for Democratic Reforms v. Union of India</w:t>
      </w:r>
      <w:r>
        <w:rPr>
          <w:sz w:val="20"/>
          <w:szCs w:val="20"/>
        </w:rPr>
        <w:t xml:space="preserve">, (2024) 2 S.C.R. </w:t>
      </w:r>
      <w:proofErr w:type="gramStart"/>
      <w:r>
        <w:rPr>
          <w:sz w:val="20"/>
          <w:szCs w:val="20"/>
        </w:rPr>
        <w:t>420 :</w:t>
      </w:r>
      <w:proofErr w:type="gramEnd"/>
      <w:r>
        <w:rPr>
          <w:sz w:val="20"/>
          <w:szCs w:val="20"/>
        </w:rPr>
        <w:t xml:space="preserve"> 2024 INSC 113.</w:t>
      </w:r>
    </w:p>
  </w:footnote>
  <w:footnote w:id="30">
    <w:p w14:paraId="5A6EF032" w14:textId="77777777" w:rsidR="00F231A7" w:rsidRDefault="00000000">
      <w:pPr>
        <w:spacing w:after="20"/>
        <w:jc w:val="both"/>
      </w:pPr>
      <w:r>
        <w:rPr>
          <w:rStyle w:val="FootnoteReference"/>
        </w:rPr>
        <w:footnoteRef/>
      </w:r>
      <w:r>
        <w:rPr>
          <w:sz w:val="20"/>
          <w:szCs w:val="20"/>
        </w:rPr>
        <w:t xml:space="preserve"> CSR Rules, r. 2(1)(d), supra note 3.</w:t>
      </w:r>
    </w:p>
  </w:footnote>
  <w:footnote w:id="31">
    <w:p w14:paraId="6D019869" w14:textId="77777777" w:rsidR="00F231A7" w:rsidRDefault="00000000">
      <w:pPr>
        <w:spacing w:after="20"/>
        <w:jc w:val="both"/>
      </w:pPr>
      <w:r>
        <w:rPr>
          <w:rStyle w:val="FootnoteReference"/>
        </w:rPr>
        <w:footnoteRef/>
      </w:r>
      <w:r>
        <w:rPr>
          <w:sz w:val="20"/>
          <w:szCs w:val="20"/>
        </w:rPr>
        <w:t xml:space="preserve"> The Income Tax Act, 1961 (Act 43 of 1961), s. 37(1), Explanation 2, inserted by the Finance (No. 2) Act, 2014.</w:t>
      </w:r>
    </w:p>
  </w:footnote>
  <w:footnote w:id="32">
    <w:p w14:paraId="7140E3B6" w14:textId="77777777" w:rsidR="00F231A7" w:rsidRDefault="00000000">
      <w:pPr>
        <w:spacing w:after="20"/>
        <w:jc w:val="both"/>
      </w:pPr>
      <w:r>
        <w:rPr>
          <w:rStyle w:val="FootnoteReference"/>
        </w:rPr>
        <w:footnoteRef/>
      </w:r>
      <w:r>
        <w:rPr>
          <w:sz w:val="20"/>
          <w:szCs w:val="20"/>
        </w:rPr>
        <w:t xml:space="preserve"> </w:t>
      </w:r>
      <w:r>
        <w:rPr>
          <w:i/>
          <w:iCs/>
          <w:sz w:val="20"/>
          <w:szCs w:val="20"/>
        </w:rPr>
        <w:t>Here Solutions India Pvt. Ltd. v. DCIT</w:t>
      </w:r>
      <w:r>
        <w:rPr>
          <w:sz w:val="20"/>
          <w:szCs w:val="20"/>
        </w:rPr>
        <w:t>, ITAT Mumbai (Assessment Year 2022 to 2023), 2026 taxguru.in 12402.</w:t>
      </w:r>
    </w:p>
  </w:footnote>
  <w:footnote w:id="33">
    <w:p w14:paraId="616CA8CA" w14:textId="77777777" w:rsidR="00F231A7" w:rsidRDefault="00000000">
      <w:pPr>
        <w:spacing w:after="20"/>
        <w:jc w:val="both"/>
      </w:pPr>
      <w:r>
        <w:rPr>
          <w:rStyle w:val="FootnoteReference"/>
        </w:rPr>
        <w:footnoteRef/>
      </w:r>
      <w:r>
        <w:rPr>
          <w:sz w:val="20"/>
          <w:szCs w:val="20"/>
        </w:rPr>
        <w:t xml:space="preserve"> The Income Tax Act, 2025 (Act 30 of 2025), in force from 1 April 2026.</w:t>
      </w:r>
    </w:p>
  </w:footnote>
  <w:footnote w:id="34">
    <w:p w14:paraId="209427F9" w14:textId="77777777" w:rsidR="00F231A7" w:rsidRDefault="00000000">
      <w:pPr>
        <w:spacing w:after="20"/>
        <w:jc w:val="both"/>
      </w:pPr>
      <w:r>
        <w:rPr>
          <w:rStyle w:val="FootnoteReference"/>
        </w:rPr>
        <w:footnoteRef/>
      </w:r>
      <w:r>
        <w:rPr>
          <w:sz w:val="20"/>
          <w:szCs w:val="20"/>
        </w:rPr>
        <w:t xml:space="preserve"> Milton Friedman, “The Social Responsibility of Business is to Increase Its Profits”, The New York Times Magazine, 13 September 1970, p. 32.</w:t>
      </w:r>
    </w:p>
  </w:footnote>
  <w:footnote w:id="35">
    <w:p w14:paraId="6ECE4615" w14:textId="77777777" w:rsidR="00F231A7" w:rsidRDefault="00000000">
      <w:pPr>
        <w:spacing w:after="20"/>
        <w:jc w:val="both"/>
      </w:pPr>
      <w:r>
        <w:rPr>
          <w:rStyle w:val="FootnoteReference"/>
        </w:rPr>
        <w:footnoteRef/>
      </w:r>
      <w:r>
        <w:rPr>
          <w:sz w:val="20"/>
          <w:szCs w:val="20"/>
        </w:rPr>
        <w:t xml:space="preserve"> Adolf A. Berle Jr., “Corporate Powers as Powers in Trust”, 44 Harv. L. Rev. 1049 (1931).</w:t>
      </w:r>
    </w:p>
  </w:footnote>
  <w:footnote w:id="36">
    <w:p w14:paraId="7A639088" w14:textId="77777777" w:rsidR="00F231A7" w:rsidRDefault="00000000">
      <w:pPr>
        <w:spacing w:after="20"/>
        <w:jc w:val="both"/>
      </w:pPr>
      <w:r>
        <w:rPr>
          <w:rStyle w:val="FootnoteReference"/>
        </w:rPr>
        <w:footnoteRef/>
      </w:r>
      <w:r>
        <w:rPr>
          <w:sz w:val="20"/>
          <w:szCs w:val="20"/>
        </w:rPr>
        <w:t xml:space="preserve"> E. Merrick Dodd Jr., “For Whom Are Corporate Managers Trustees?”, 45 Harv. L. Rev. 1145 (1932).</w:t>
      </w:r>
    </w:p>
  </w:footnote>
  <w:footnote w:id="37">
    <w:p w14:paraId="58ACA9D1" w14:textId="77777777" w:rsidR="00F231A7" w:rsidRDefault="00000000">
      <w:pPr>
        <w:spacing w:after="20"/>
        <w:jc w:val="both"/>
      </w:pPr>
      <w:r>
        <w:rPr>
          <w:rStyle w:val="FootnoteReference"/>
        </w:rPr>
        <w:footnoteRef/>
      </w:r>
      <w:r>
        <w:rPr>
          <w:sz w:val="20"/>
          <w:szCs w:val="20"/>
        </w:rPr>
        <w:t xml:space="preserve"> R. Edward Freeman, </w:t>
      </w:r>
      <w:r>
        <w:rPr>
          <w:i/>
          <w:iCs/>
          <w:sz w:val="20"/>
          <w:szCs w:val="20"/>
        </w:rPr>
        <w:t>Strategic Management: A Stakeholder Approach</w:t>
      </w:r>
      <w:r>
        <w:rPr>
          <w:sz w:val="20"/>
          <w:szCs w:val="20"/>
        </w:rPr>
        <w:t xml:space="preserve"> (Pitman, Boston, 1984).</w:t>
      </w:r>
    </w:p>
  </w:footnote>
  <w:footnote w:id="38">
    <w:p w14:paraId="72FB8CDE" w14:textId="77777777" w:rsidR="00F231A7" w:rsidRDefault="00000000">
      <w:pPr>
        <w:spacing w:after="20"/>
        <w:jc w:val="both"/>
      </w:pPr>
      <w:r>
        <w:rPr>
          <w:rStyle w:val="FootnoteReference"/>
        </w:rPr>
        <w:footnoteRef/>
      </w:r>
      <w:r>
        <w:rPr>
          <w:sz w:val="20"/>
          <w:szCs w:val="20"/>
        </w:rPr>
        <w:t xml:space="preserve"> Michael E. Porter and Mark R. Kramer, “The Competitive Advantage of Corporate Philanthropy”, 80(12) Harvard Business Review 56 (2002).</w:t>
      </w:r>
    </w:p>
  </w:footnote>
  <w:footnote w:id="39">
    <w:p w14:paraId="3758079A" w14:textId="77777777" w:rsidR="00F231A7" w:rsidRDefault="00000000">
      <w:pPr>
        <w:spacing w:after="20"/>
        <w:jc w:val="both"/>
      </w:pPr>
      <w:r>
        <w:rPr>
          <w:rStyle w:val="FootnoteReference"/>
        </w:rPr>
        <w:footnoteRef/>
      </w:r>
      <w:r>
        <w:rPr>
          <w:sz w:val="20"/>
          <w:szCs w:val="20"/>
        </w:rPr>
        <w:t xml:space="preserve"> Dhammika Dharmapala and Vikramaditya S. Khanna, “The Impact of Mandated Corporate Social Responsibility: Evidence from India’s Companies Act of 2013”, 56 Int’l Rev. L. &amp; Econ. 92 (2018).</w:t>
      </w:r>
    </w:p>
  </w:footnote>
  <w:footnote w:id="40">
    <w:p w14:paraId="47286873" w14:textId="77777777" w:rsidR="00F231A7" w:rsidRDefault="00000000">
      <w:pPr>
        <w:spacing w:after="20"/>
        <w:jc w:val="both"/>
      </w:pPr>
      <w:r>
        <w:rPr>
          <w:rStyle w:val="FootnoteReference"/>
        </w:rPr>
        <w:footnoteRef/>
      </w:r>
      <w:r>
        <w:rPr>
          <w:sz w:val="20"/>
          <w:szCs w:val="20"/>
        </w:rPr>
        <w:t xml:space="preserve"> The Constitution of India, art. 39(c).</w:t>
      </w:r>
    </w:p>
  </w:footnote>
  <w:footnote w:id="41">
    <w:p w14:paraId="743BE4E2" w14:textId="77777777" w:rsidR="00F231A7" w:rsidRDefault="00000000">
      <w:pPr>
        <w:spacing w:after="20"/>
        <w:jc w:val="both"/>
      </w:pPr>
      <w:r>
        <w:rPr>
          <w:rStyle w:val="FootnoteReference"/>
        </w:rPr>
        <w:footnoteRef/>
      </w:r>
      <w:r>
        <w:rPr>
          <w:sz w:val="20"/>
          <w:szCs w:val="20"/>
        </w:rPr>
        <w:t xml:space="preserve"> </w:t>
      </w:r>
      <w:r>
        <w:rPr>
          <w:i/>
          <w:iCs/>
          <w:sz w:val="20"/>
          <w:szCs w:val="20"/>
        </w:rPr>
        <w:t>M.C. Mehta v. Union of India</w:t>
      </w:r>
      <w:r>
        <w:rPr>
          <w:sz w:val="20"/>
          <w:szCs w:val="20"/>
        </w:rPr>
        <w:t>, (1987) 1 SCC 395.</w:t>
      </w:r>
    </w:p>
  </w:footnote>
  <w:footnote w:id="42">
    <w:p w14:paraId="38C89B87" w14:textId="77777777" w:rsidR="00F231A7" w:rsidRDefault="00000000">
      <w:pPr>
        <w:spacing w:after="20"/>
        <w:jc w:val="both"/>
      </w:pPr>
      <w:r>
        <w:rPr>
          <w:rStyle w:val="FootnoteReference"/>
        </w:rPr>
        <w:footnoteRef/>
      </w:r>
      <w:r>
        <w:rPr>
          <w:sz w:val="20"/>
          <w:szCs w:val="20"/>
        </w:rPr>
        <w:t xml:space="preserve"> </w:t>
      </w:r>
      <w:r>
        <w:rPr>
          <w:i/>
          <w:iCs/>
          <w:sz w:val="20"/>
          <w:szCs w:val="20"/>
        </w:rPr>
        <w:t>Vellore Citizens’ Welfare Forum v. Union of India</w:t>
      </w:r>
      <w:r>
        <w:rPr>
          <w:sz w:val="20"/>
          <w:szCs w:val="20"/>
        </w:rPr>
        <w:t>, (1996) 5 SCC 647.</w:t>
      </w:r>
    </w:p>
  </w:footnote>
  <w:footnote w:id="43">
    <w:p w14:paraId="03035367" w14:textId="77777777" w:rsidR="00F231A7" w:rsidRDefault="00000000">
      <w:pPr>
        <w:spacing w:after="20"/>
        <w:jc w:val="both"/>
      </w:pPr>
      <w:r>
        <w:rPr>
          <w:rStyle w:val="FootnoteReference"/>
        </w:rPr>
        <w:footnoteRef/>
      </w:r>
      <w:r>
        <w:rPr>
          <w:sz w:val="20"/>
          <w:szCs w:val="20"/>
        </w:rPr>
        <w:t xml:space="preserve"> National CSR Data Portal, Ministry of Corporate Affairs, https://csr.gov.in (last visited on 19.10.2026).</w:t>
      </w:r>
    </w:p>
  </w:footnote>
  <w:footnote w:id="44">
    <w:p w14:paraId="31A3433A" w14:textId="77777777" w:rsidR="00F231A7" w:rsidRDefault="00000000">
      <w:pPr>
        <w:spacing w:after="20"/>
        <w:jc w:val="both"/>
      </w:pPr>
      <w:r>
        <w:rPr>
          <w:rStyle w:val="FootnoteReference"/>
        </w:rPr>
        <w:footnoteRef/>
      </w:r>
      <w:r>
        <w:rPr>
          <w:sz w:val="20"/>
          <w:szCs w:val="20"/>
        </w:rPr>
        <w:t xml:space="preserve"> Ibid.</w:t>
      </w:r>
    </w:p>
  </w:footnote>
  <w:footnote w:id="45">
    <w:p w14:paraId="5F56D360" w14:textId="77777777" w:rsidR="00F231A7" w:rsidRDefault="00000000">
      <w:pPr>
        <w:spacing w:after="20"/>
        <w:jc w:val="both"/>
      </w:pPr>
      <w:r>
        <w:rPr>
          <w:rStyle w:val="FootnoteReference"/>
        </w:rPr>
        <w:footnoteRef/>
      </w:r>
      <w:r>
        <w:rPr>
          <w:sz w:val="20"/>
          <w:szCs w:val="20"/>
        </w:rPr>
        <w:t xml:space="preserve"> Ministry of Corporate Affairs, </w:t>
      </w:r>
      <w:r>
        <w:rPr>
          <w:i/>
          <w:iCs/>
          <w:sz w:val="20"/>
          <w:szCs w:val="20"/>
        </w:rPr>
        <w:t xml:space="preserve">Report of the </w:t>
      </w:r>
      <w:proofErr w:type="gramStart"/>
      <w:r>
        <w:rPr>
          <w:i/>
          <w:iCs/>
          <w:sz w:val="20"/>
          <w:szCs w:val="20"/>
        </w:rPr>
        <w:t>High Level</w:t>
      </w:r>
      <w:proofErr w:type="gramEnd"/>
      <w:r>
        <w:rPr>
          <w:i/>
          <w:iCs/>
          <w:sz w:val="20"/>
          <w:szCs w:val="20"/>
        </w:rPr>
        <w:t xml:space="preserve"> Committee on Corporate Social Responsibility 2018</w:t>
      </w:r>
      <w:r>
        <w:rPr>
          <w:sz w:val="20"/>
          <w:szCs w:val="20"/>
        </w:rPr>
        <w:t xml:space="preserve"> (August 2019).</w:t>
      </w:r>
    </w:p>
  </w:footnote>
  <w:footnote w:id="46">
    <w:p w14:paraId="20F7E969" w14:textId="77777777" w:rsidR="00F231A7" w:rsidRDefault="00000000">
      <w:pPr>
        <w:spacing w:after="20"/>
        <w:jc w:val="both"/>
      </w:pPr>
      <w:r>
        <w:rPr>
          <w:rStyle w:val="FootnoteReference"/>
        </w:rPr>
        <w:footnoteRef/>
      </w:r>
      <w:r>
        <w:rPr>
          <w:sz w:val="20"/>
          <w:szCs w:val="20"/>
        </w:rPr>
        <w:t xml:space="preserve"> Ibid.</w:t>
      </w:r>
    </w:p>
  </w:footnote>
  <w:footnote w:id="47">
    <w:p w14:paraId="61C22B52" w14:textId="77777777" w:rsidR="00F231A7" w:rsidRDefault="00000000">
      <w:pPr>
        <w:spacing w:after="20"/>
        <w:jc w:val="both"/>
      </w:pPr>
      <w:r>
        <w:rPr>
          <w:rStyle w:val="FootnoteReference"/>
        </w:rPr>
        <w:footnoteRef/>
      </w:r>
      <w:r>
        <w:rPr>
          <w:sz w:val="20"/>
          <w:szCs w:val="20"/>
        </w:rPr>
        <w:t xml:space="preserve"> Ibid.; see also supra note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035E5D" w14:textId="77777777" w:rsidR="00F231A7" w:rsidRDefault="00000000">
    <w:pPr>
      <w:jc w:val="right"/>
    </w:pP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9A1741">
      <w:rPr>
        <w:noProof/>
        <w:sz w:val="20"/>
        <w:szCs w:val="20"/>
      </w:rPr>
      <w:t>1</w:t>
    </w:r>
    <w:r>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090F06"/>
    <w:multiLevelType w:val="hybridMultilevel"/>
    <w:tmpl w:val="CE54E24E"/>
    <w:lvl w:ilvl="0" w:tplc="87F8D4B0">
      <w:start w:val="1"/>
      <w:numFmt w:val="bullet"/>
      <w:lvlText w:val="●"/>
      <w:lvlJc w:val="left"/>
      <w:pPr>
        <w:ind w:left="720" w:hanging="360"/>
      </w:pPr>
    </w:lvl>
    <w:lvl w:ilvl="1" w:tplc="E0DC0CFA">
      <w:start w:val="1"/>
      <w:numFmt w:val="bullet"/>
      <w:lvlText w:val="○"/>
      <w:lvlJc w:val="left"/>
      <w:pPr>
        <w:ind w:left="1440" w:hanging="360"/>
      </w:pPr>
    </w:lvl>
    <w:lvl w:ilvl="2" w:tplc="5470CEC4">
      <w:start w:val="1"/>
      <w:numFmt w:val="bullet"/>
      <w:lvlText w:val="■"/>
      <w:lvlJc w:val="left"/>
      <w:pPr>
        <w:ind w:left="2160" w:hanging="360"/>
      </w:pPr>
    </w:lvl>
    <w:lvl w:ilvl="3" w:tplc="D93A2C38">
      <w:start w:val="1"/>
      <w:numFmt w:val="bullet"/>
      <w:lvlText w:val="●"/>
      <w:lvlJc w:val="left"/>
      <w:pPr>
        <w:ind w:left="2880" w:hanging="360"/>
      </w:pPr>
    </w:lvl>
    <w:lvl w:ilvl="4" w:tplc="E9EA7CBC">
      <w:start w:val="1"/>
      <w:numFmt w:val="bullet"/>
      <w:lvlText w:val="○"/>
      <w:lvlJc w:val="left"/>
      <w:pPr>
        <w:ind w:left="3600" w:hanging="360"/>
      </w:pPr>
    </w:lvl>
    <w:lvl w:ilvl="5" w:tplc="D41278AC">
      <w:start w:val="1"/>
      <w:numFmt w:val="bullet"/>
      <w:lvlText w:val="■"/>
      <w:lvlJc w:val="left"/>
      <w:pPr>
        <w:ind w:left="4320" w:hanging="360"/>
      </w:pPr>
    </w:lvl>
    <w:lvl w:ilvl="6" w:tplc="C35A0BE2">
      <w:start w:val="1"/>
      <w:numFmt w:val="bullet"/>
      <w:lvlText w:val="●"/>
      <w:lvlJc w:val="left"/>
      <w:pPr>
        <w:ind w:left="5040" w:hanging="360"/>
      </w:pPr>
    </w:lvl>
    <w:lvl w:ilvl="7" w:tplc="5698955E">
      <w:start w:val="1"/>
      <w:numFmt w:val="bullet"/>
      <w:lvlText w:val="●"/>
      <w:lvlJc w:val="left"/>
      <w:pPr>
        <w:ind w:left="5760" w:hanging="360"/>
      </w:pPr>
    </w:lvl>
    <w:lvl w:ilvl="8" w:tplc="B268F164">
      <w:start w:val="1"/>
      <w:numFmt w:val="bullet"/>
      <w:lvlText w:val="●"/>
      <w:lvlJc w:val="left"/>
      <w:pPr>
        <w:ind w:left="6480" w:hanging="360"/>
      </w:pPr>
    </w:lvl>
  </w:abstractNum>
  <w:num w:numId="1" w16cid:durableId="111116497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1A7"/>
    <w:rsid w:val="00582422"/>
    <w:rsid w:val="009A1741"/>
    <w:rsid w:val="00D85255"/>
    <w:rsid w:val="00F23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D20650"/>
  <w15:docId w15:val="{01FF370E-CF05-574F-A5E3-D7C93F9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3019</Words>
  <Characters>17212</Characters>
  <Application>Microsoft Office Word</Application>
  <DocSecurity>0</DocSecurity>
  <Lines>143</Lines>
  <Paragraphs>40</Paragraphs>
  <ScaleCrop>false</ScaleCrop>
  <Company/>
  <LinksUpToDate>false</LinksUpToDate>
  <CharactersWithSpaces>20191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Philanthropy vs. CSR: Legal and Ethical Perspectives in India</dc:title>
  <dc:creator>Vedant Singh Solanki</dc:creator>
  <dc:description>Research paper</dc:description>
  <cp:lastModifiedBy>Vedant Singh Solanki</cp:lastModifiedBy>
  <cp:revision>2</cp:revision>
  <dcterms:created xsi:type="dcterms:W3CDTF">2026-10-19T07:33:00Z</dcterms:created>
  <dcterms:modified xsi:type="dcterms:W3CDTF">2026-10-21T06:20:00Z</dcterms:modified>
</cp:coreProperties>
</file>