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spacing w:line="360" w:lineRule="auto"/>
        <w:jc w:val="both"/>
        <w:rPr>
          <w:rFonts w:hint="default" w:ascii="Times New Roman" w:hAnsi="Times New Roman" w:cs="Times New Roman"/>
          <w:sz w:val="24"/>
          <w:szCs w:val="24"/>
          <w:lang w:val="en-IN"/>
        </w:rPr>
      </w:pPr>
      <w:r>
        <w:rPr>
          <w:rFonts w:hint="default" w:ascii="Times New Roman" w:hAnsi="Times New Roman" w:cs="Times New Roman"/>
          <w:sz w:val="24"/>
          <w:szCs w:val="24"/>
          <w:lang w:val="en-IN"/>
        </w:rPr>
        <w:t>TITLE: EXPLORING MODERN AVENUES OF ALTERNATE DISPUTE RESOLUTION</w:t>
      </w:r>
      <w:bookmarkStart w:id="0" w:name="_GoBack"/>
      <w:bookmarkEnd w:id="0"/>
    </w:p>
    <w:p>
      <w:pPr>
        <w:pStyle w:val="2"/>
        <w:bidi w:val="0"/>
        <w:spacing w:line="360" w:lineRule="auto"/>
        <w:jc w:val="both"/>
        <w:rPr>
          <w:rFonts w:hint="default" w:ascii="Times New Roman" w:hAnsi="Times New Roman" w:cs="Times New Roman"/>
          <w:sz w:val="24"/>
          <w:szCs w:val="24"/>
          <w:lang w:val="en-IN"/>
        </w:rPr>
      </w:pPr>
      <w:r>
        <w:rPr>
          <w:rFonts w:hint="default" w:ascii="Times New Roman" w:hAnsi="Times New Roman" w:cs="Times New Roman"/>
          <w:sz w:val="24"/>
          <w:szCs w:val="24"/>
          <w:lang w:val="en-IN"/>
        </w:rPr>
        <w:t xml:space="preserve">ABSTRACT: </w:t>
      </w:r>
    </w:p>
    <w:p>
      <w:pPr>
        <w:pStyle w:val="2"/>
        <w:bidi w:val="0"/>
        <w:spacing w:line="360" w:lineRule="auto"/>
        <w:jc w:val="both"/>
        <w:rPr>
          <w:rFonts w:hint="default" w:ascii="Times New Roman" w:hAnsi="Times New Roman" w:eastAsia="__Inter_Fallback_aaf875" w:cs="Times New Roman"/>
          <w:b w:val="0"/>
          <w:bCs w:val="0"/>
          <w:i w:val="0"/>
          <w:iCs w:val="0"/>
          <w:caps w:val="0"/>
          <w:color w:val="000000"/>
          <w:spacing w:val="0"/>
          <w:sz w:val="24"/>
          <w:szCs w:val="24"/>
        </w:rPr>
      </w:pPr>
      <w:r>
        <w:rPr>
          <w:rFonts w:hint="default" w:ascii="Times New Roman" w:hAnsi="Times New Roman" w:eastAsia="__Inter_Fallback_aaf875" w:cs="Times New Roman"/>
          <w:b w:val="0"/>
          <w:bCs w:val="0"/>
          <w:i w:val="0"/>
          <w:iCs w:val="0"/>
          <w:caps w:val="0"/>
          <w:color w:val="000000"/>
          <w:spacing w:val="0"/>
          <w:sz w:val="24"/>
          <w:szCs w:val="24"/>
        </w:rPr>
        <w:t>A</w:t>
      </w:r>
      <w:r>
        <w:rPr>
          <w:rFonts w:hint="default" w:ascii="Times New Roman" w:hAnsi="Times New Roman" w:eastAsia="__Inter_Fallback_aaf875" w:cs="Times New Roman"/>
          <w:b w:val="0"/>
          <w:bCs w:val="0"/>
          <w:i w:val="0"/>
          <w:iCs w:val="0"/>
          <w:caps w:val="0"/>
          <w:color w:val="000000"/>
          <w:spacing w:val="0"/>
          <w:sz w:val="24"/>
          <w:szCs w:val="24"/>
          <w:lang w:val="en-IN"/>
        </w:rPr>
        <w:t xml:space="preserve">lternate Dispute Resolution </w:t>
      </w:r>
      <w:r>
        <w:rPr>
          <w:rFonts w:hint="default" w:ascii="Times New Roman" w:hAnsi="Times New Roman" w:eastAsia="__Inter_Fallback_aaf875" w:cs="Times New Roman"/>
          <w:b w:val="0"/>
          <w:bCs w:val="0"/>
          <w:i w:val="0"/>
          <w:iCs w:val="0"/>
          <w:caps w:val="0"/>
          <w:color w:val="000000"/>
          <w:spacing w:val="0"/>
          <w:sz w:val="24"/>
          <w:szCs w:val="24"/>
        </w:rPr>
        <w:t xml:space="preserve">serves as a means to alleviate the burden on judiciary and disputing parties. Technically, </w:t>
      </w:r>
      <w:r>
        <w:rPr>
          <w:rFonts w:hint="default" w:ascii="Times New Roman" w:hAnsi="Times New Roman" w:eastAsia="__Inter_Fallback_aaf875" w:cs="Times New Roman"/>
          <w:b w:val="0"/>
          <w:bCs w:val="0"/>
          <w:i w:val="0"/>
          <w:iCs w:val="0"/>
          <w:caps w:val="0"/>
          <w:color w:val="000000"/>
          <w:spacing w:val="0"/>
          <w:sz w:val="24"/>
          <w:szCs w:val="24"/>
          <w:lang w:val="en-IN"/>
        </w:rPr>
        <w:t>it</w:t>
      </w:r>
      <w:r>
        <w:rPr>
          <w:rFonts w:hint="default" w:ascii="Times New Roman" w:hAnsi="Times New Roman" w:eastAsia="__Inter_Fallback_aaf875" w:cs="Times New Roman"/>
          <w:b w:val="0"/>
          <w:bCs w:val="0"/>
          <w:i w:val="0"/>
          <w:iCs w:val="0"/>
          <w:caps w:val="0"/>
          <w:color w:val="000000"/>
          <w:spacing w:val="0"/>
          <w:sz w:val="24"/>
          <w:szCs w:val="24"/>
        </w:rPr>
        <w:t xml:space="preserve"> encompasses a spectrum of techniques</w:t>
      </w:r>
      <w:r>
        <w:rPr>
          <w:rFonts w:ascii="__Inter_Fallback_aaf875" w:hAnsi="__Inter_Fallback_aaf875" w:eastAsia="__Inter_Fallback_aaf875" w:cs="__Inter_Fallback_aaf875"/>
          <w:i w:val="0"/>
          <w:iCs w:val="0"/>
          <w:caps w:val="0"/>
          <w:color w:val="000000"/>
          <w:spacing w:val="0"/>
          <w:sz w:val="24"/>
          <w:szCs w:val="24"/>
        </w:rPr>
        <w:t xml:space="preserve"> </w:t>
      </w:r>
      <w:r>
        <w:rPr>
          <w:rFonts w:hint="default" w:ascii="Times New Roman" w:hAnsi="Times New Roman" w:eastAsia="__Inter_Fallback_aaf875" w:cs="Times New Roman"/>
          <w:b w:val="0"/>
          <w:bCs w:val="0"/>
          <w:i w:val="0"/>
          <w:iCs w:val="0"/>
          <w:caps w:val="0"/>
          <w:color w:val="000000"/>
          <w:spacing w:val="0"/>
          <w:sz w:val="24"/>
          <w:szCs w:val="24"/>
        </w:rPr>
        <w:t>aimed at resolving disputes outside the formal litigation framework. This approach operates independent of governmental authority and provides an alternative avenue to conventional court proceedings.</w:t>
      </w:r>
      <w:r>
        <w:rPr>
          <w:rFonts w:hint="default" w:ascii="Times New Roman" w:hAnsi="Times New Roman" w:eastAsia="__Inter_Fallback_aaf875" w:cs="Times New Roman"/>
          <w:b w:val="0"/>
          <w:bCs w:val="0"/>
          <w:i w:val="0"/>
          <w:iCs w:val="0"/>
          <w:caps w:val="0"/>
          <w:color w:val="000000"/>
          <w:spacing w:val="0"/>
          <w:sz w:val="24"/>
          <w:szCs w:val="24"/>
          <w:lang w:val="en-IN"/>
        </w:rPr>
        <w:t xml:space="preserve"> </w:t>
      </w:r>
      <w:r>
        <w:rPr>
          <w:rFonts w:hint="default" w:ascii="Times New Roman" w:hAnsi="Times New Roman" w:eastAsia="__Inter_Fallback_aaf875" w:cs="Times New Roman"/>
          <w:b w:val="0"/>
          <w:bCs w:val="0"/>
          <w:i w:val="0"/>
          <w:iCs w:val="0"/>
          <w:caps w:val="0"/>
          <w:color w:val="000000"/>
          <w:spacing w:val="0"/>
          <w:sz w:val="24"/>
          <w:szCs w:val="24"/>
        </w:rPr>
        <w:t xml:space="preserve">In 1980s, businesses started recognizing </w:t>
      </w:r>
      <w:r>
        <w:rPr>
          <w:rFonts w:hint="default" w:ascii="Times New Roman" w:hAnsi="Times New Roman" w:eastAsia="__Inter_Fallback_aaf875" w:cs="Times New Roman"/>
          <w:b w:val="0"/>
          <w:bCs w:val="0"/>
          <w:i w:val="0"/>
          <w:iCs w:val="0"/>
          <w:caps w:val="0"/>
          <w:color w:val="000000"/>
          <w:spacing w:val="0"/>
          <w:sz w:val="24"/>
          <w:szCs w:val="24"/>
          <w:lang w:val="en-IN"/>
        </w:rPr>
        <w:t xml:space="preserve">ADR </w:t>
      </w:r>
      <w:r>
        <w:rPr>
          <w:rFonts w:hint="default" w:ascii="Times New Roman" w:hAnsi="Times New Roman" w:eastAsia="__Inter_Fallback_aaf875" w:cs="Times New Roman"/>
          <w:b w:val="0"/>
          <w:bCs w:val="0"/>
          <w:i w:val="0"/>
          <w:iCs w:val="0"/>
          <w:caps w:val="0"/>
          <w:color w:val="000000"/>
          <w:spacing w:val="0"/>
          <w:sz w:val="24"/>
          <w:szCs w:val="24"/>
        </w:rPr>
        <w:t>as viable alternative</w:t>
      </w:r>
      <w:r>
        <w:rPr>
          <w:rFonts w:hint="default" w:ascii="Times New Roman" w:hAnsi="Times New Roman" w:eastAsia="__Inter_Fallback_aaf875" w:cs="Times New Roman"/>
          <w:b w:val="0"/>
          <w:bCs w:val="0"/>
          <w:i w:val="0"/>
          <w:iCs w:val="0"/>
          <w:caps w:val="0"/>
          <w:color w:val="000000"/>
          <w:spacing w:val="0"/>
          <w:sz w:val="24"/>
          <w:szCs w:val="24"/>
          <w:lang w:val="en-IN"/>
        </w:rPr>
        <w:t xml:space="preserve"> </w:t>
      </w:r>
      <w:r>
        <w:rPr>
          <w:rFonts w:hint="default" w:ascii="Times New Roman" w:hAnsi="Times New Roman" w:eastAsia="__Inter_Fallback_aaf875" w:cs="Times New Roman"/>
          <w:b w:val="0"/>
          <w:bCs w:val="0"/>
          <w:i w:val="0"/>
          <w:iCs w:val="0"/>
          <w:caps w:val="0"/>
          <w:color w:val="000000"/>
          <w:spacing w:val="0"/>
          <w:sz w:val="24"/>
          <w:szCs w:val="24"/>
        </w:rPr>
        <w:t>to litigation. In response, efforts were made to</w:t>
      </w:r>
      <w:r>
        <w:rPr>
          <w:rFonts w:hint="default" w:ascii="Times New Roman" w:hAnsi="Times New Roman" w:eastAsia="__Inter_Fallback_aaf875" w:cs="Times New Roman"/>
          <w:b w:val="0"/>
          <w:bCs w:val="0"/>
          <w:i w:val="0"/>
          <w:iCs w:val="0"/>
          <w:caps w:val="0"/>
          <w:color w:val="000000"/>
          <w:spacing w:val="0"/>
          <w:sz w:val="24"/>
          <w:szCs w:val="24"/>
          <w:lang w:val="en-IN"/>
        </w:rPr>
        <w:t xml:space="preserve"> </w:t>
      </w:r>
      <w:r>
        <w:rPr>
          <w:rFonts w:hint="default" w:ascii="Times New Roman" w:hAnsi="Times New Roman" w:eastAsia="__Inter_Fallback_aaf875" w:cs="Times New Roman"/>
          <w:b w:val="0"/>
          <w:bCs w:val="0"/>
          <w:i w:val="0"/>
          <w:iCs w:val="0"/>
          <w:caps w:val="0"/>
          <w:color w:val="000000"/>
          <w:spacing w:val="0"/>
          <w:sz w:val="24"/>
          <w:szCs w:val="24"/>
        </w:rPr>
        <w:t>offer</w:t>
      </w:r>
      <w:r>
        <w:rPr>
          <w:rFonts w:hint="default" w:ascii="Times New Roman" w:hAnsi="Times New Roman" w:eastAsia="__Inter_Fallback_aaf875" w:cs="Times New Roman"/>
          <w:b w:val="0"/>
          <w:bCs w:val="0"/>
          <w:i w:val="0"/>
          <w:iCs w:val="0"/>
          <w:caps w:val="0"/>
          <w:color w:val="000000"/>
          <w:spacing w:val="0"/>
          <w:sz w:val="24"/>
          <w:szCs w:val="24"/>
          <w:lang w:val="en-IN"/>
        </w:rPr>
        <w:t xml:space="preserve"> </w:t>
      </w:r>
      <w:r>
        <w:rPr>
          <w:rFonts w:hint="default" w:ascii="Times New Roman" w:hAnsi="Times New Roman" w:eastAsia="__Inter_Fallback_aaf875" w:cs="Times New Roman"/>
          <w:b w:val="0"/>
          <w:bCs w:val="0"/>
          <w:i w:val="0"/>
          <w:iCs w:val="0"/>
          <w:caps w:val="0"/>
          <w:color w:val="000000"/>
          <w:spacing w:val="0"/>
          <w:sz w:val="24"/>
          <w:szCs w:val="24"/>
        </w:rPr>
        <w:t>quick resolutions w</w:t>
      </w:r>
      <w:r>
        <w:rPr>
          <w:rFonts w:hint="default" w:ascii="Times New Roman" w:hAnsi="Times New Roman" w:eastAsia="__Inter_Fallback_aaf875" w:cs="Times New Roman"/>
          <w:b w:val="0"/>
          <w:bCs w:val="0"/>
          <w:i w:val="0"/>
          <w:iCs w:val="0"/>
          <w:caps w:val="0"/>
          <w:color w:val="000000"/>
          <w:spacing w:val="0"/>
          <w:sz w:val="24"/>
          <w:szCs w:val="24"/>
          <w:lang w:val="en-IN"/>
        </w:rPr>
        <w:t>ithout</w:t>
      </w:r>
      <w:r>
        <w:rPr>
          <w:rFonts w:hint="default" w:ascii="Times New Roman" w:hAnsi="Times New Roman" w:eastAsia="__Inter_Fallback_aaf875" w:cs="Times New Roman"/>
          <w:b w:val="0"/>
          <w:bCs w:val="0"/>
          <w:i w:val="0"/>
          <w:iCs w:val="0"/>
          <w:caps w:val="0"/>
          <w:color w:val="000000"/>
          <w:spacing w:val="0"/>
          <w:sz w:val="24"/>
          <w:szCs w:val="24"/>
        </w:rPr>
        <w:t xml:space="preserve"> delays. Since then, ADR ha</w:t>
      </w:r>
      <w:r>
        <w:rPr>
          <w:rFonts w:hint="default" w:ascii="Times New Roman" w:hAnsi="Times New Roman" w:eastAsia="__Inter_Fallback_aaf875" w:cs="Times New Roman"/>
          <w:b w:val="0"/>
          <w:bCs w:val="0"/>
          <w:i w:val="0"/>
          <w:iCs w:val="0"/>
          <w:caps w:val="0"/>
          <w:color w:val="000000"/>
          <w:spacing w:val="0"/>
          <w:sz w:val="24"/>
          <w:szCs w:val="24"/>
          <w:lang w:val="en-IN"/>
        </w:rPr>
        <w:t xml:space="preserve">s </w:t>
      </w:r>
      <w:r>
        <w:rPr>
          <w:rFonts w:hint="default" w:ascii="Times New Roman" w:hAnsi="Times New Roman" w:eastAsia="__Inter_Fallback_aaf875" w:cs="Times New Roman"/>
          <w:b w:val="0"/>
          <w:bCs w:val="0"/>
          <w:i w:val="0"/>
          <w:iCs w:val="0"/>
          <w:caps w:val="0"/>
          <w:color w:val="000000"/>
          <w:spacing w:val="0"/>
          <w:sz w:val="24"/>
          <w:szCs w:val="24"/>
        </w:rPr>
        <w:t>emerged in society,</w:t>
      </w:r>
      <w:r>
        <w:rPr>
          <w:rFonts w:hint="default" w:ascii="Times New Roman" w:hAnsi="Times New Roman" w:eastAsia="__Inter_Fallback_aaf875" w:cs="Times New Roman"/>
          <w:b w:val="0"/>
          <w:bCs w:val="0"/>
          <w:i w:val="0"/>
          <w:iCs w:val="0"/>
          <w:caps w:val="0"/>
          <w:color w:val="000000"/>
          <w:spacing w:val="0"/>
          <w:sz w:val="24"/>
          <w:szCs w:val="24"/>
          <w:lang w:val="en-IN"/>
        </w:rPr>
        <w:t xml:space="preserve"> </w:t>
      </w:r>
      <w:r>
        <w:rPr>
          <w:rFonts w:hint="default" w:ascii="Times New Roman" w:hAnsi="Times New Roman" w:eastAsia="__Inter_Fallback_aaf875" w:cs="Times New Roman"/>
          <w:b w:val="0"/>
          <w:bCs w:val="0"/>
          <w:i w:val="0"/>
          <w:iCs w:val="0"/>
          <w:caps w:val="0"/>
          <w:color w:val="000000"/>
          <w:spacing w:val="0"/>
          <w:sz w:val="24"/>
          <w:szCs w:val="24"/>
        </w:rPr>
        <w:t>for creative problem-solving and timely resolution</w:t>
      </w:r>
      <w:r>
        <w:rPr>
          <w:rFonts w:hint="default" w:ascii="Times New Roman" w:hAnsi="Times New Roman" w:eastAsia="__Inter_Fallback_aaf875" w:cs="Times New Roman"/>
          <w:b w:val="0"/>
          <w:bCs w:val="0"/>
          <w:i w:val="0"/>
          <w:iCs w:val="0"/>
          <w:caps w:val="0"/>
          <w:color w:val="000000"/>
          <w:spacing w:val="0"/>
          <w:sz w:val="24"/>
          <w:szCs w:val="24"/>
          <w:lang w:val="en-IN"/>
        </w:rPr>
        <w:t xml:space="preserve">. </w:t>
      </w:r>
      <w:r>
        <w:rPr>
          <w:rFonts w:hint="default" w:ascii="Times New Roman" w:hAnsi="Times New Roman" w:eastAsia="__Inter_Fallback_aaf875" w:cs="Times New Roman"/>
          <w:b w:val="0"/>
          <w:bCs w:val="0"/>
          <w:i w:val="0"/>
          <w:iCs w:val="0"/>
          <w:caps w:val="0"/>
          <w:color w:val="000000"/>
          <w:spacing w:val="0"/>
          <w:sz w:val="24"/>
          <w:szCs w:val="24"/>
        </w:rPr>
        <w:t>This article aims to provide a comprehensive examination of the legal</w:t>
      </w:r>
      <w:r>
        <w:rPr>
          <w:rFonts w:hint="default" w:ascii="Times New Roman" w:hAnsi="Times New Roman" w:eastAsia="__Inter_Fallback_aaf875" w:cs="Times New Roman"/>
          <w:b w:val="0"/>
          <w:bCs w:val="0"/>
          <w:i w:val="0"/>
          <w:iCs w:val="0"/>
          <w:caps w:val="0"/>
          <w:color w:val="000000"/>
          <w:spacing w:val="0"/>
          <w:sz w:val="24"/>
          <w:szCs w:val="24"/>
          <w:lang w:val="en-IN"/>
        </w:rPr>
        <w:t>ity</w:t>
      </w:r>
      <w:r>
        <w:rPr>
          <w:rFonts w:hint="default" w:ascii="Times New Roman" w:hAnsi="Times New Roman" w:eastAsia="__Inter_Fallback_aaf875" w:cs="Times New Roman"/>
          <w:b w:val="0"/>
          <w:bCs w:val="0"/>
          <w:i w:val="0"/>
          <w:iCs w:val="0"/>
          <w:caps w:val="0"/>
          <w:color w:val="000000"/>
          <w:spacing w:val="0"/>
          <w:sz w:val="24"/>
          <w:szCs w:val="24"/>
        </w:rPr>
        <w:t xml:space="preserve"> surrounding </w:t>
      </w:r>
      <w:r>
        <w:rPr>
          <w:rFonts w:hint="default" w:ascii="Times New Roman" w:hAnsi="Times New Roman" w:eastAsia="__Inter_Fallback_aaf875" w:cs="Times New Roman"/>
          <w:b w:val="0"/>
          <w:bCs w:val="0"/>
          <w:i w:val="0"/>
          <w:iCs w:val="0"/>
          <w:caps w:val="0"/>
          <w:color w:val="000000"/>
          <w:spacing w:val="0"/>
          <w:sz w:val="24"/>
          <w:szCs w:val="24"/>
          <w:lang w:val="en-IN"/>
        </w:rPr>
        <w:t>ADR and it’s modern avenues</w:t>
      </w:r>
      <w:r>
        <w:rPr>
          <w:rFonts w:hint="default" w:ascii="Times New Roman" w:hAnsi="Times New Roman" w:eastAsia="__Inter_Fallback_aaf875" w:cs="Times New Roman"/>
          <w:b w:val="0"/>
          <w:bCs w:val="0"/>
          <w:i w:val="0"/>
          <w:iCs w:val="0"/>
          <w:caps w:val="0"/>
          <w:color w:val="000000"/>
          <w:spacing w:val="0"/>
          <w:sz w:val="24"/>
          <w:szCs w:val="24"/>
        </w:rPr>
        <w:t>.</w:t>
      </w:r>
    </w:p>
    <w:p>
      <w:pPr>
        <w:pStyle w:val="2"/>
        <w:bidi w:val="0"/>
        <w:spacing w:line="360" w:lineRule="auto"/>
        <w:jc w:val="both"/>
        <w:rPr>
          <w:rFonts w:hint="default"/>
          <w:sz w:val="24"/>
          <w:szCs w:val="24"/>
          <w:lang w:val="en-IN"/>
        </w:rPr>
      </w:pPr>
      <w:r>
        <w:rPr>
          <w:rFonts w:hint="default" w:ascii="Times New Roman" w:hAnsi="Times New Roman" w:cs="Times New Roman"/>
          <w:sz w:val="24"/>
          <w:szCs w:val="24"/>
          <w:lang w:val="en-IN"/>
        </w:rPr>
        <w:t>INTRODUCTION:</w:t>
      </w:r>
    </w:p>
    <w:p>
      <w:pPr>
        <w:pStyle w:val="2"/>
        <w:bidi w:val="0"/>
        <w:spacing w:line="360" w:lineRule="auto"/>
        <w:jc w:val="both"/>
        <w:rPr>
          <w:rFonts w:hint="default" w:ascii="Times New Roman" w:hAnsi="Times New Roman" w:eastAsia="__Inter_Fallback_aaf875" w:cs="Times New Roman"/>
          <w:b w:val="0"/>
          <w:bCs w:val="0"/>
          <w:i w:val="0"/>
          <w:iCs w:val="0"/>
          <w:caps w:val="0"/>
          <w:color w:val="000000"/>
          <w:spacing w:val="0"/>
          <w:sz w:val="24"/>
          <w:szCs w:val="24"/>
        </w:rPr>
      </w:pPr>
      <w:r>
        <w:rPr>
          <w:rFonts w:hint="default" w:ascii="Times New Roman" w:hAnsi="Times New Roman" w:eastAsia="__Inter_Fallback_aaf875" w:cs="Times New Roman"/>
          <w:b w:val="0"/>
          <w:bCs w:val="0"/>
          <w:i w:val="0"/>
          <w:iCs w:val="0"/>
          <w:caps w:val="0"/>
          <w:color w:val="000000"/>
          <w:spacing w:val="0"/>
          <w:sz w:val="24"/>
          <w:szCs w:val="24"/>
          <w:lang w:val="en-IN"/>
        </w:rPr>
        <w:t xml:space="preserve">Individuals </w:t>
      </w:r>
      <w:r>
        <w:rPr>
          <w:rFonts w:hint="default" w:ascii="Times New Roman" w:hAnsi="Times New Roman" w:eastAsia="__Inter_Fallback_aaf875" w:cs="Times New Roman"/>
          <w:b w:val="0"/>
          <w:bCs w:val="0"/>
          <w:i w:val="0"/>
          <w:iCs w:val="0"/>
          <w:caps w:val="0"/>
          <w:color w:val="000000"/>
          <w:spacing w:val="0"/>
          <w:sz w:val="24"/>
          <w:szCs w:val="24"/>
        </w:rPr>
        <w:t xml:space="preserve">frequently appear before the court every other day, seeking redress for various disputes. Disputes are an inherent aspect of human existence, and the judiciary serves as the most reliable institution for resolution. In contemporary times, courts face a significant backlog of pending cases, resulting in operational challenges. Recent statistics reveal that the Supreme Court, as of April 1, 2024, has an overwhelming caseload of </w:t>
      </w:r>
      <w:r>
        <w:rPr>
          <w:rStyle w:val="13"/>
          <w:rFonts w:hint="default"/>
          <w:b w:val="0"/>
          <w:bCs w:val="0"/>
          <w:sz w:val="24"/>
          <w:szCs w:val="24"/>
          <w:u w:val="none"/>
        </w:rPr>
        <w:fldChar w:fldCharType="begin"/>
      </w:r>
      <w:r>
        <w:rPr>
          <w:rStyle w:val="13"/>
          <w:rFonts w:hint="default"/>
          <w:b w:val="0"/>
          <w:bCs w:val="0"/>
          <w:sz w:val="24"/>
          <w:szCs w:val="24"/>
          <w:u w:val="none"/>
        </w:rPr>
        <w:instrText xml:space="preserve"> HYPERLINK "https://www.scobserver.in/journal/80194-cases-remain-pending-at-the-supreme-court-at-the-end-of-march-2024/" \l ":~:text=As%20of%201%20April%202024%2C%20the%20Supreme%20Court,disposal%20was%20about%20262%20cases%20per%20working%20day." </w:instrText>
      </w:r>
      <w:r>
        <w:rPr>
          <w:rStyle w:val="13"/>
          <w:rFonts w:hint="default"/>
          <w:b w:val="0"/>
          <w:bCs w:val="0"/>
          <w:sz w:val="24"/>
          <w:szCs w:val="24"/>
          <w:u w:val="none"/>
        </w:rPr>
        <w:fldChar w:fldCharType="separate"/>
      </w:r>
      <w:r>
        <w:rPr>
          <w:rStyle w:val="13"/>
          <w:rFonts w:hint="default"/>
          <w:b w:val="0"/>
          <w:bCs w:val="0"/>
          <w:sz w:val="24"/>
          <w:szCs w:val="24"/>
          <w:u w:val="none"/>
        </w:rPr>
        <w:t>80,194 pending</w:t>
      </w:r>
      <w:r>
        <w:rPr>
          <w:rStyle w:val="13"/>
          <w:rFonts w:hint="default"/>
          <w:b w:val="0"/>
          <w:bCs w:val="0"/>
          <w:sz w:val="24"/>
          <w:szCs w:val="24"/>
          <w:u w:val="none"/>
        </w:rPr>
        <w:fldChar w:fldCharType="end"/>
      </w:r>
      <w:r>
        <w:rPr>
          <w:rStyle w:val="13"/>
          <w:rFonts w:hint="default"/>
          <w:b w:val="0"/>
          <w:bCs w:val="0"/>
          <w:sz w:val="24"/>
          <w:szCs w:val="24"/>
          <w:u w:val="none"/>
        </w:rPr>
        <w:t xml:space="preserve"> </w:t>
      </w:r>
      <w:r>
        <w:rPr>
          <w:rFonts w:hint="default" w:ascii="Times New Roman" w:hAnsi="Times New Roman" w:eastAsia="__Inter_Fallback_aaf875" w:cs="Times New Roman"/>
          <w:b w:val="0"/>
          <w:bCs w:val="0"/>
          <w:i w:val="0"/>
          <w:iCs w:val="0"/>
          <w:caps w:val="0"/>
          <w:color w:val="000000"/>
          <w:spacing w:val="0"/>
          <w:sz w:val="24"/>
          <w:szCs w:val="24"/>
        </w:rPr>
        <w:t xml:space="preserve">cases.Despite </w:t>
      </w:r>
      <w:r>
        <w:rPr>
          <w:rFonts w:hint="default" w:ascii="Times New Roman" w:hAnsi="Times New Roman" w:eastAsia="__Inter_Fallback_aaf875" w:cs="Times New Roman"/>
          <w:b w:val="0"/>
          <w:bCs w:val="0"/>
          <w:i w:val="0"/>
          <w:iCs w:val="0"/>
          <w:caps w:val="0"/>
          <w:color w:val="000000"/>
          <w:spacing w:val="0"/>
          <w:sz w:val="24"/>
          <w:szCs w:val="24"/>
          <w:lang w:val="en-IN"/>
        </w:rPr>
        <w:t xml:space="preserve">all </w:t>
      </w:r>
      <w:r>
        <w:rPr>
          <w:rFonts w:hint="default" w:ascii="Times New Roman" w:hAnsi="Times New Roman" w:eastAsia="__Inter_Fallback_aaf875" w:cs="Times New Roman"/>
          <w:b w:val="0"/>
          <w:bCs w:val="0"/>
          <w:i w:val="0"/>
          <w:iCs w:val="0"/>
          <w:caps w:val="0"/>
          <w:color w:val="000000"/>
          <w:spacing w:val="0"/>
          <w:sz w:val="24"/>
          <w:szCs w:val="24"/>
        </w:rPr>
        <w:t>efforts, a substantial number of cases remain unresolved.</w:t>
      </w:r>
      <w:r>
        <w:rPr>
          <w:rFonts w:hint="default" w:ascii="Times New Roman" w:hAnsi="Times New Roman" w:eastAsia="__Inter_Fallback_aaf875" w:cs="Times New Roman"/>
          <w:b w:val="0"/>
          <w:bCs w:val="0"/>
          <w:i w:val="0"/>
          <w:iCs w:val="0"/>
          <w:caps w:val="0"/>
          <w:color w:val="000000"/>
          <w:spacing w:val="0"/>
          <w:sz w:val="24"/>
          <w:szCs w:val="24"/>
          <w:lang w:val="en-IN"/>
        </w:rPr>
        <w:t xml:space="preserve"> </w:t>
      </w:r>
      <w:r>
        <w:rPr>
          <w:rFonts w:hint="default" w:ascii="Times New Roman" w:hAnsi="Times New Roman" w:eastAsia="__Inter_Fallback_aaf875" w:cs="Times New Roman"/>
          <w:b w:val="0"/>
          <w:bCs w:val="0"/>
          <w:i w:val="0"/>
          <w:iCs w:val="0"/>
          <w:caps w:val="0"/>
          <w:color w:val="000000"/>
          <w:spacing w:val="0"/>
          <w:sz w:val="24"/>
          <w:szCs w:val="24"/>
        </w:rPr>
        <w:t>This b</w:t>
      </w:r>
      <w:r>
        <w:rPr>
          <w:rFonts w:hint="default" w:ascii="Times New Roman" w:hAnsi="Times New Roman" w:eastAsia="__Inter_Fallback_aaf875" w:cs="Times New Roman"/>
          <w:b w:val="0"/>
          <w:bCs w:val="0"/>
          <w:i w:val="0"/>
          <w:iCs w:val="0"/>
          <w:caps w:val="0"/>
          <w:color w:val="000000"/>
          <w:spacing w:val="0"/>
          <w:sz w:val="24"/>
          <w:szCs w:val="24"/>
          <w:lang w:val="en-IN"/>
        </w:rPr>
        <w:t>ackl</w:t>
      </w:r>
      <w:r>
        <w:rPr>
          <w:rFonts w:hint="default" w:ascii="Times New Roman" w:hAnsi="Times New Roman" w:eastAsia="__Inter_Fallback_aaf875" w:cs="Times New Roman"/>
          <w:b w:val="0"/>
          <w:bCs w:val="0"/>
          <w:i w:val="0"/>
          <w:iCs w:val="0"/>
          <w:caps w:val="0"/>
          <w:color w:val="000000"/>
          <w:spacing w:val="0"/>
          <w:sz w:val="24"/>
          <w:szCs w:val="24"/>
        </w:rPr>
        <w:t>og poses significant concerns for individuals seeking timely resolution of legal matters.</w:t>
      </w:r>
      <w:r>
        <w:rPr>
          <w:rFonts w:hint="default" w:ascii="Times New Roman" w:hAnsi="Times New Roman" w:eastAsia="__Inter_Fallback_aaf875" w:cs="Times New Roman"/>
          <w:b w:val="0"/>
          <w:bCs w:val="0"/>
          <w:i w:val="0"/>
          <w:iCs w:val="0"/>
          <w:caps w:val="0"/>
          <w:color w:val="000000"/>
          <w:spacing w:val="0"/>
          <w:sz w:val="24"/>
          <w:szCs w:val="24"/>
          <w:lang w:val="en-IN"/>
        </w:rPr>
        <w:t xml:space="preserve"> </w:t>
      </w:r>
      <w:r>
        <w:rPr>
          <w:rFonts w:hint="default" w:ascii="Times New Roman" w:hAnsi="Times New Roman" w:eastAsia="__Inter_Fallback_aaf875" w:cs="Times New Roman"/>
          <w:b w:val="0"/>
          <w:bCs w:val="0"/>
          <w:i w:val="0"/>
          <w:iCs w:val="0"/>
          <w:caps w:val="0"/>
          <w:color w:val="000000"/>
          <w:spacing w:val="0"/>
          <w:sz w:val="24"/>
          <w:szCs w:val="24"/>
        </w:rPr>
        <w:t>In the current landscape, courts frequently advocate for AD</w:t>
      </w:r>
      <w:r>
        <w:rPr>
          <w:rFonts w:hint="default" w:ascii="Times New Roman" w:hAnsi="Times New Roman" w:eastAsia="__Inter_Fallback_aaf875" w:cs="Times New Roman"/>
          <w:b w:val="0"/>
          <w:bCs w:val="0"/>
          <w:i w:val="0"/>
          <w:iCs w:val="0"/>
          <w:caps w:val="0"/>
          <w:color w:val="000000"/>
          <w:spacing w:val="0"/>
          <w:sz w:val="24"/>
          <w:szCs w:val="24"/>
          <w:lang w:val="en-IN"/>
        </w:rPr>
        <w:t xml:space="preserve">R </w:t>
      </w:r>
      <w:r>
        <w:rPr>
          <w:rFonts w:hint="default" w:ascii="Times New Roman" w:hAnsi="Times New Roman" w:eastAsia="__Inter_Fallback_aaf875" w:cs="Times New Roman"/>
          <w:b w:val="0"/>
          <w:bCs w:val="0"/>
          <w:i w:val="0"/>
          <w:iCs w:val="0"/>
          <w:caps w:val="0"/>
          <w:color w:val="000000"/>
          <w:spacing w:val="0"/>
          <w:sz w:val="24"/>
          <w:szCs w:val="24"/>
        </w:rPr>
        <w:t>methods or parties themselves contemplate opting for</w:t>
      </w:r>
      <w:r>
        <w:rPr>
          <w:rFonts w:hint="default" w:ascii="Times New Roman" w:hAnsi="Times New Roman" w:eastAsia="__Inter_Fallback_aaf875" w:cs="Times New Roman"/>
          <w:b w:val="0"/>
          <w:bCs w:val="0"/>
          <w:i w:val="0"/>
          <w:iCs w:val="0"/>
          <w:caps w:val="0"/>
          <w:color w:val="000000"/>
          <w:spacing w:val="0"/>
          <w:sz w:val="24"/>
          <w:szCs w:val="24"/>
          <w:lang w:val="en-IN"/>
        </w:rPr>
        <w:t xml:space="preserve"> it </w:t>
      </w:r>
      <w:r>
        <w:rPr>
          <w:rFonts w:hint="default" w:ascii="Times New Roman" w:hAnsi="Times New Roman" w:eastAsia="__Inter_Fallback_aaf875" w:cs="Times New Roman"/>
          <w:b w:val="0"/>
          <w:bCs w:val="0"/>
          <w:i w:val="0"/>
          <w:iCs w:val="0"/>
          <w:caps w:val="0"/>
          <w:color w:val="000000"/>
          <w:spacing w:val="0"/>
          <w:sz w:val="24"/>
          <w:szCs w:val="24"/>
        </w:rPr>
        <w:t xml:space="preserve">over traditional litigation processes. </w:t>
      </w:r>
    </w:p>
    <w:p>
      <w:pPr>
        <w:pStyle w:val="2"/>
        <w:bidi w:val="0"/>
        <w:spacing w:line="360" w:lineRule="auto"/>
        <w:jc w:val="both"/>
        <w:rPr>
          <w:rFonts w:hint="default"/>
          <w:b/>
          <w:bCs/>
          <w:sz w:val="24"/>
          <w:szCs w:val="24"/>
          <w:lang w:val="en-IN"/>
        </w:rPr>
      </w:pPr>
      <w:r>
        <w:rPr>
          <w:rFonts w:hint="default" w:ascii="Times New Roman" w:hAnsi="Times New Roman" w:eastAsia="__Inter_Fallback_aaf875" w:cs="Times New Roman"/>
          <w:b/>
          <w:bCs/>
          <w:i w:val="0"/>
          <w:iCs w:val="0"/>
          <w:caps w:val="0"/>
          <w:color w:val="000000"/>
          <w:spacing w:val="0"/>
          <w:sz w:val="24"/>
          <w:szCs w:val="24"/>
          <w:lang w:val="en-IN"/>
        </w:rPr>
        <w:t>BACKGROUND</w:t>
      </w:r>
      <w:r>
        <w:rPr>
          <w:rFonts w:hint="default" w:ascii="Times New Roman" w:hAnsi="Times New Roman" w:cs="Times New Roman"/>
          <w:b/>
          <w:bCs/>
          <w:sz w:val="24"/>
          <w:szCs w:val="24"/>
          <w:lang w:val="en-IN"/>
        </w:rPr>
        <w:t>:</w:t>
      </w:r>
    </w:p>
    <w:p>
      <w:pPr>
        <w:spacing w:line="360" w:lineRule="auto"/>
        <w:jc w:val="both"/>
        <w:rPr>
          <w:rFonts w:hint="default" w:ascii="Times New Roman" w:hAnsi="Times New Roman" w:eastAsia="__Inter_Fallback_aaf875" w:cs="Times New Roman"/>
          <w:i w:val="0"/>
          <w:iCs w:val="0"/>
          <w:caps w:val="0"/>
          <w:color w:val="000000"/>
          <w:spacing w:val="0"/>
          <w:sz w:val="24"/>
          <w:szCs w:val="24"/>
          <w:lang w:val="en-IN"/>
        </w:rPr>
      </w:pPr>
      <w:r>
        <w:rPr>
          <w:rFonts w:hint="default" w:ascii="Times New Roman" w:hAnsi="Times New Roman" w:eastAsia="__Inter_Fallback_aaf875" w:cs="Times New Roman"/>
          <w:i w:val="0"/>
          <w:iCs w:val="0"/>
          <w:caps w:val="0"/>
          <w:color w:val="000000"/>
          <w:spacing w:val="0"/>
          <w:sz w:val="24"/>
          <w:szCs w:val="24"/>
        </w:rPr>
        <w:t xml:space="preserve">The </w:t>
      </w:r>
      <w:r>
        <w:rPr>
          <w:rFonts w:hint="default" w:ascii="Times New Roman" w:hAnsi="Times New Roman" w:eastAsia="__Inter_Fallback_aaf875" w:cs="Times New Roman"/>
          <w:i w:val="0"/>
          <w:iCs w:val="0"/>
          <w:caps w:val="0"/>
          <w:color w:val="000000"/>
          <w:spacing w:val="0"/>
          <w:sz w:val="24"/>
          <w:szCs w:val="24"/>
          <w:u w:val="none"/>
        </w:rPr>
        <w:fldChar w:fldCharType="begin"/>
      </w:r>
      <w:r>
        <w:rPr>
          <w:rFonts w:hint="default" w:ascii="Times New Roman" w:hAnsi="Times New Roman" w:eastAsia="__Inter_Fallback_aaf875" w:cs="Times New Roman"/>
          <w:i w:val="0"/>
          <w:iCs w:val="0"/>
          <w:caps w:val="0"/>
          <w:color w:val="000000"/>
          <w:spacing w:val="0"/>
          <w:sz w:val="24"/>
          <w:szCs w:val="24"/>
          <w:u w:val="none"/>
        </w:rPr>
        <w:instrText xml:space="preserve"> HYPERLINK "https://www.legalserviceindia.com/legal/article-13036-historical-evolution-of-adr-in-india-and-emerging-trends-in-adr-in-today-s-corporate-world.html" </w:instrText>
      </w:r>
      <w:r>
        <w:rPr>
          <w:rFonts w:hint="default" w:ascii="Times New Roman" w:hAnsi="Times New Roman" w:eastAsia="__Inter_Fallback_aaf875" w:cs="Times New Roman"/>
          <w:i w:val="0"/>
          <w:iCs w:val="0"/>
          <w:caps w:val="0"/>
          <w:color w:val="000000"/>
          <w:spacing w:val="0"/>
          <w:sz w:val="24"/>
          <w:szCs w:val="24"/>
          <w:u w:val="none"/>
        </w:rPr>
        <w:fldChar w:fldCharType="separate"/>
      </w:r>
      <w:r>
        <w:rPr>
          <w:rStyle w:val="13"/>
          <w:rFonts w:hint="default" w:ascii="Times New Roman" w:hAnsi="Times New Roman" w:eastAsia="__Inter_Fallback_aaf875" w:cs="Times New Roman"/>
          <w:i w:val="0"/>
          <w:iCs w:val="0"/>
          <w:caps w:val="0"/>
          <w:spacing w:val="0"/>
          <w:sz w:val="24"/>
          <w:szCs w:val="24"/>
          <w:u w:val="none"/>
        </w:rPr>
        <w:t>Bengal Resolution Act of 1771, Bengal Regulation Act of 1781</w:t>
      </w:r>
      <w:r>
        <w:rPr>
          <w:rFonts w:hint="default" w:ascii="Times New Roman" w:hAnsi="Times New Roman" w:eastAsia="__Inter_Fallback_aaf875" w:cs="Times New Roman"/>
          <w:i w:val="0"/>
          <w:iCs w:val="0"/>
          <w:caps w:val="0"/>
          <w:color w:val="000000"/>
          <w:spacing w:val="0"/>
          <w:sz w:val="24"/>
          <w:szCs w:val="24"/>
          <w:u w:val="none"/>
        </w:rPr>
        <w:fldChar w:fldCharType="end"/>
      </w:r>
      <w:r>
        <w:rPr>
          <w:rFonts w:hint="default" w:ascii="Times New Roman" w:hAnsi="Times New Roman" w:eastAsia="__Inter_Fallback_aaf875" w:cs="Times New Roman"/>
          <w:i w:val="0"/>
          <w:iCs w:val="0"/>
          <w:caps w:val="0"/>
          <w:color w:val="000000"/>
          <w:spacing w:val="0"/>
          <w:sz w:val="24"/>
          <w:szCs w:val="24"/>
        </w:rPr>
        <w:t xml:space="preserve">, and the Civil Procedure Code (CPC) of 1908 collectively paved the way for Alternative Dispute Resolution mechanisms in India. Section 89 of the CPC is crucial </w:t>
      </w:r>
      <w:r>
        <w:rPr>
          <w:rFonts w:hint="default" w:ascii="Times New Roman" w:hAnsi="Times New Roman" w:eastAsia="__Inter_Fallback_aaf875" w:cs="Times New Roman"/>
          <w:i w:val="0"/>
          <w:iCs w:val="0"/>
          <w:caps w:val="0"/>
          <w:color w:val="000000"/>
          <w:spacing w:val="0"/>
          <w:sz w:val="24"/>
          <w:szCs w:val="24"/>
          <w:lang w:val="en-IN"/>
        </w:rPr>
        <w:t xml:space="preserve">when discussing ADR </w:t>
      </w:r>
      <w:r>
        <w:rPr>
          <w:rFonts w:hint="default" w:ascii="Times New Roman" w:hAnsi="Times New Roman" w:eastAsia="__Inter_Fallback_aaf875" w:cs="Times New Roman"/>
          <w:i w:val="0"/>
          <w:iCs w:val="0"/>
          <w:caps w:val="0"/>
          <w:color w:val="000000"/>
          <w:spacing w:val="0"/>
          <w:sz w:val="24"/>
          <w:szCs w:val="24"/>
        </w:rPr>
        <w:t>as it aims to promote dispute resolution outside of traditional courtrooms. The constitutionality of Section 89 was challenged in the case of</w:t>
      </w:r>
      <w:r>
        <w:rPr>
          <w:rFonts w:hint="default" w:ascii="Times New Roman" w:hAnsi="Times New Roman" w:eastAsia="__Inter_Fallback_aaf875" w:cs="Times New Roman"/>
          <w:i w:val="0"/>
          <w:iCs w:val="0"/>
          <w:caps w:val="0"/>
          <w:color w:val="000000"/>
          <w:spacing w:val="0"/>
          <w:sz w:val="24"/>
          <w:szCs w:val="24"/>
          <w:u w:val="none"/>
        </w:rPr>
        <w:t xml:space="preserve"> </w:t>
      </w:r>
      <w:r>
        <w:rPr>
          <w:rFonts w:hint="default" w:ascii="Times New Roman" w:hAnsi="Times New Roman" w:eastAsia="__Inter_Fallback_aaf875" w:cs="Times New Roman"/>
          <w:i w:val="0"/>
          <w:iCs w:val="0"/>
          <w:caps w:val="0"/>
          <w:color w:val="000000"/>
          <w:spacing w:val="0"/>
          <w:sz w:val="24"/>
          <w:szCs w:val="24"/>
          <w:u w:val="none"/>
        </w:rPr>
        <w:fldChar w:fldCharType="begin"/>
      </w:r>
      <w:r>
        <w:rPr>
          <w:rFonts w:hint="default" w:ascii="Times New Roman" w:hAnsi="Times New Roman" w:eastAsia="__Inter_Fallback_aaf875" w:cs="Times New Roman"/>
          <w:i w:val="0"/>
          <w:iCs w:val="0"/>
          <w:caps w:val="0"/>
          <w:color w:val="000000"/>
          <w:spacing w:val="0"/>
          <w:sz w:val="24"/>
          <w:szCs w:val="24"/>
          <w:u w:val="none"/>
        </w:rPr>
        <w:instrText xml:space="preserve"> HYPERLINK "https://www.casemine.com/judgement/in/5609ae17e4b0149711412ecd" </w:instrText>
      </w:r>
      <w:r>
        <w:rPr>
          <w:rFonts w:hint="default" w:ascii="Times New Roman" w:hAnsi="Times New Roman" w:eastAsia="__Inter_Fallback_aaf875" w:cs="Times New Roman"/>
          <w:i w:val="0"/>
          <w:iCs w:val="0"/>
          <w:caps w:val="0"/>
          <w:color w:val="000000"/>
          <w:spacing w:val="0"/>
          <w:sz w:val="24"/>
          <w:szCs w:val="24"/>
          <w:u w:val="none"/>
        </w:rPr>
        <w:fldChar w:fldCharType="separate"/>
      </w:r>
      <w:r>
        <w:rPr>
          <w:rStyle w:val="13"/>
          <w:rFonts w:hint="default" w:ascii="Times New Roman" w:hAnsi="Times New Roman" w:eastAsia="__Inter_Fallback_aaf875" w:cs="Times New Roman"/>
          <w:i w:val="0"/>
          <w:iCs w:val="0"/>
          <w:caps w:val="0"/>
          <w:spacing w:val="0"/>
          <w:sz w:val="24"/>
          <w:szCs w:val="24"/>
          <w:u w:val="none"/>
        </w:rPr>
        <w:t>Salem Advocate Bar Association v. Union of India</w:t>
      </w:r>
      <w:r>
        <w:rPr>
          <w:rFonts w:hint="default" w:ascii="Times New Roman" w:hAnsi="Times New Roman" w:eastAsia="__Inter_Fallback_aaf875" w:cs="Times New Roman"/>
          <w:i w:val="0"/>
          <w:iCs w:val="0"/>
          <w:caps w:val="0"/>
          <w:color w:val="000000"/>
          <w:spacing w:val="0"/>
          <w:sz w:val="24"/>
          <w:szCs w:val="24"/>
          <w:u w:val="none"/>
        </w:rPr>
        <w:fldChar w:fldCharType="end"/>
      </w:r>
      <w:r>
        <w:rPr>
          <w:rStyle w:val="8"/>
          <w:rFonts w:hint="default" w:ascii="Times New Roman" w:hAnsi="Times New Roman" w:eastAsia="__Inter_Fallback_aaf875" w:cs="Times New Roman"/>
          <w:i w:val="0"/>
          <w:iCs w:val="0"/>
          <w:caps w:val="0"/>
          <w:color w:val="000000"/>
          <w:spacing w:val="0"/>
          <w:sz w:val="24"/>
          <w:szCs w:val="24"/>
          <w:u w:val="none"/>
        </w:rPr>
        <w:endnoteReference w:id="0"/>
      </w:r>
      <w:r>
        <w:rPr>
          <w:rFonts w:hint="default" w:ascii="Times New Roman" w:hAnsi="Times New Roman" w:eastAsia="__Inter_Fallback_aaf875" w:cs="Times New Roman"/>
          <w:i w:val="0"/>
          <w:iCs w:val="0"/>
          <w:caps w:val="0"/>
          <w:color w:val="000000"/>
          <w:spacing w:val="0"/>
          <w:sz w:val="24"/>
          <w:szCs w:val="24"/>
        </w:rPr>
        <w:t>, where the Supreme Court of India confirmed its legality. The Court also recognized the effectiveness of ADR provisions in other countries, highlighting the importance for India to adop</w:t>
      </w:r>
      <w:r>
        <w:rPr>
          <w:rFonts w:hint="default" w:ascii="Times New Roman" w:hAnsi="Times New Roman" w:eastAsia="__Inter_Fallback_aaf875" w:cs="Times New Roman"/>
          <w:i w:val="0"/>
          <w:iCs w:val="0"/>
          <w:caps w:val="0"/>
          <w:color w:val="000000"/>
          <w:spacing w:val="0"/>
          <w:sz w:val="24"/>
          <w:szCs w:val="24"/>
          <w:lang w:val="en-IN"/>
        </w:rPr>
        <w:t>t it</w:t>
      </w:r>
      <w:r>
        <w:rPr>
          <w:rFonts w:hint="default" w:ascii="Times New Roman" w:hAnsi="Times New Roman" w:eastAsia="__Inter_Fallback_aaf875" w:cs="Times New Roman"/>
          <w:i w:val="0"/>
          <w:iCs w:val="0"/>
          <w:caps w:val="0"/>
          <w:color w:val="000000"/>
          <w:spacing w:val="0"/>
          <w:sz w:val="24"/>
          <w:szCs w:val="24"/>
        </w:rPr>
        <w:t>.</w:t>
      </w:r>
    </w:p>
    <w:p>
      <w:pPr>
        <w:spacing w:line="360" w:lineRule="auto"/>
        <w:jc w:val="both"/>
        <w:rPr>
          <w:rFonts w:hint="default" w:ascii="Times New Roman" w:hAnsi="Times New Roman" w:eastAsia="__Inter_Fallback_aaf875" w:cs="Times New Roman"/>
          <w:i w:val="0"/>
          <w:iCs w:val="0"/>
          <w:caps w:val="0"/>
          <w:color w:val="000000"/>
          <w:spacing w:val="0"/>
          <w:sz w:val="24"/>
          <w:szCs w:val="24"/>
        </w:rPr>
      </w:pPr>
      <w:r>
        <w:rPr>
          <w:rFonts w:hint="default" w:ascii="Times New Roman" w:hAnsi="Times New Roman" w:eastAsia="__Inter_Fallback_aaf875" w:cs="Times New Roman"/>
          <w:b w:val="0"/>
          <w:bCs w:val="0"/>
          <w:i w:val="0"/>
          <w:iCs w:val="0"/>
          <w:caps w:val="0"/>
          <w:color w:val="000000"/>
          <w:spacing w:val="0"/>
          <w:sz w:val="24"/>
          <w:szCs w:val="24"/>
        </w:rPr>
        <w:t xml:space="preserve">The Indian Arbitration Act of 1989, along with the Arbitration Act of 1937, were enacted to explain the concept of "submission" in arbitration proceedings and make it easier to follow the Geneva Protocol on Arbitration Clauses of 1923. Later on, India took steps to update its alternative dispute resolution system with the Arbitration and Conciliation Act of 1996. This law was amended </w:t>
      </w:r>
      <w:r>
        <w:rPr>
          <w:rFonts w:hint="default" w:ascii="Times New Roman" w:hAnsi="Times New Roman" w:eastAsia="__Inter_Fallback_aaf875" w:cs="Times New Roman"/>
          <w:b w:val="0"/>
          <w:bCs w:val="0"/>
          <w:i w:val="0"/>
          <w:iCs w:val="0"/>
          <w:caps w:val="0"/>
          <w:color w:val="000000"/>
          <w:spacing w:val="0"/>
          <w:sz w:val="24"/>
          <w:szCs w:val="24"/>
          <w:lang w:val="en-IN"/>
        </w:rPr>
        <w:t xml:space="preserve">in </w:t>
      </w:r>
      <w:r>
        <w:rPr>
          <w:rFonts w:hint="default" w:ascii="Times New Roman" w:hAnsi="Times New Roman" w:eastAsia="__Inter_Fallback_aaf875" w:cs="Times New Roman"/>
          <w:b w:val="0"/>
          <w:bCs w:val="0"/>
          <w:i w:val="0"/>
          <w:iCs w:val="0"/>
          <w:caps w:val="0"/>
          <w:color w:val="000000"/>
          <w:spacing w:val="0"/>
          <w:sz w:val="24"/>
          <w:szCs w:val="24"/>
        </w:rPr>
        <w:t xml:space="preserve">2015 to bring </w:t>
      </w:r>
      <w:r>
        <w:rPr>
          <w:rFonts w:hint="default" w:ascii="Times New Roman" w:hAnsi="Times New Roman" w:eastAsia="__Inter_Fallback_aaf875" w:cs="Times New Roman"/>
          <w:b/>
          <w:bCs/>
          <w:i w:val="0"/>
          <w:iCs w:val="0"/>
          <w:caps w:val="0"/>
          <w:color w:val="000000"/>
          <w:spacing w:val="0"/>
          <w:sz w:val="24"/>
          <w:szCs w:val="24"/>
        </w:rPr>
        <w:t>arbitration, mediation, and conciliation</w:t>
      </w:r>
      <w:r>
        <w:rPr>
          <w:rFonts w:hint="default" w:ascii="Times New Roman" w:hAnsi="Times New Roman" w:eastAsia="__Inter_Fallback_aaf875" w:cs="Times New Roman"/>
          <w:b w:val="0"/>
          <w:bCs w:val="0"/>
          <w:i w:val="0"/>
          <w:iCs w:val="0"/>
          <w:caps w:val="0"/>
          <w:color w:val="000000"/>
          <w:spacing w:val="0"/>
          <w:sz w:val="24"/>
          <w:szCs w:val="24"/>
        </w:rPr>
        <w:t xml:space="preserve"> methods </w:t>
      </w:r>
      <w:r>
        <w:rPr>
          <w:rFonts w:hint="default" w:ascii="Times New Roman" w:hAnsi="Times New Roman" w:eastAsia="__Inter_Fallback_aaf875" w:cs="Times New Roman"/>
          <w:b w:val="0"/>
          <w:bCs w:val="0"/>
          <w:i w:val="0"/>
          <w:iCs w:val="0"/>
          <w:caps w:val="0"/>
          <w:color w:val="000000"/>
          <w:spacing w:val="0"/>
          <w:sz w:val="24"/>
          <w:szCs w:val="24"/>
          <w:lang w:val="en-IN"/>
        </w:rPr>
        <w:t>i</w:t>
      </w:r>
      <w:r>
        <w:rPr>
          <w:rFonts w:hint="default" w:ascii="Times New Roman" w:hAnsi="Times New Roman" w:eastAsia="__Inter_Fallback_aaf875" w:cs="Times New Roman"/>
          <w:i w:val="0"/>
          <w:iCs w:val="0"/>
          <w:caps w:val="0"/>
          <w:color w:val="000000"/>
          <w:spacing w:val="0"/>
          <w:sz w:val="24"/>
          <w:szCs w:val="24"/>
        </w:rPr>
        <w:t>n line with each other. When discussing ADR, it's important to look at the United Nations Commission on International Trade Law (UNCITRAL), which gives guidance to countries on creating laws and regulations that make the most of ADR methods. In 1996, India aligned its legislation on international commercial arbitration with UNCITRAL standards, thereby making its arbitration laws consistent with global rules for resolving disputes that arise from business transactions.</w:t>
      </w:r>
    </w:p>
    <w:p>
      <w:pPr>
        <w:pStyle w:val="2"/>
        <w:bidi w:val="0"/>
        <w:spacing w:line="360" w:lineRule="auto"/>
        <w:jc w:val="both"/>
        <w:rPr>
          <w:rFonts w:hint="default"/>
          <w:sz w:val="24"/>
          <w:szCs w:val="24"/>
          <w:lang w:val="en-IN"/>
        </w:rPr>
      </w:pPr>
      <w:r>
        <w:rPr>
          <w:rFonts w:hint="default" w:ascii="Times New Roman" w:hAnsi="Times New Roman" w:cs="Times New Roman"/>
          <w:sz w:val="24"/>
          <w:szCs w:val="24"/>
          <w:lang w:val="en-IN"/>
        </w:rPr>
        <w:t>MODERN AVENUES OF ADR:</w:t>
      </w:r>
    </w:p>
    <w:p>
      <w:pPr>
        <w:pStyle w:val="2"/>
        <w:bidi w:val="0"/>
        <w:spacing w:line="360" w:lineRule="auto"/>
        <w:jc w:val="both"/>
        <w:rPr>
          <w:rFonts w:hint="default" w:ascii="Times New Roman" w:hAnsi="Times New Roman"/>
          <w:b w:val="0"/>
          <w:bCs w:val="0"/>
          <w:sz w:val="24"/>
          <w:szCs w:val="24"/>
          <w:lang w:val="en-IN"/>
        </w:rPr>
      </w:pPr>
      <w:r>
        <w:rPr>
          <w:rFonts w:hint="default" w:ascii="Times New Roman" w:hAnsi="Times New Roman" w:cs="Times New Roman"/>
          <w:b/>
          <w:bCs/>
          <w:sz w:val="24"/>
          <w:szCs w:val="24"/>
          <w:lang w:val="en-IN"/>
        </w:rPr>
        <w:t xml:space="preserve">ARBITRATION: </w:t>
      </w:r>
      <w:r>
        <w:rPr>
          <w:rFonts w:hint="default" w:ascii="Times New Roman" w:hAnsi="Times New Roman"/>
          <w:b w:val="0"/>
          <w:bCs w:val="0"/>
          <w:sz w:val="24"/>
          <w:szCs w:val="24"/>
          <w:lang w:val="en-IN"/>
        </w:rPr>
        <w:t xml:space="preserve">Arbitration, a prominent form of Alternative Dispute Resolution, facilitates the resolution of disputes between parties outside the formalities and complexities of court proceedings. In </w:t>
      </w:r>
      <w:r>
        <w:rPr>
          <w:rFonts w:hint="default" w:ascii="Times New Roman" w:hAnsi="Times New Roman"/>
          <w:b w:val="0"/>
          <w:bCs w:val="0"/>
          <w:sz w:val="24"/>
          <w:szCs w:val="24"/>
          <w:u w:val="none"/>
          <w:lang w:val="en-IN"/>
        </w:rPr>
        <w:fldChar w:fldCharType="begin"/>
      </w:r>
      <w:r>
        <w:rPr>
          <w:rFonts w:hint="default" w:ascii="Times New Roman" w:hAnsi="Times New Roman"/>
          <w:b w:val="0"/>
          <w:bCs w:val="0"/>
          <w:sz w:val="24"/>
          <w:szCs w:val="24"/>
          <w:u w:val="none"/>
          <w:lang w:val="en-IN"/>
        </w:rPr>
        <w:instrText xml:space="preserve"> HYPERLINK "https://www.legalserviceindia.com/legal/legal/article-11877-arbitration-meaning-and-kinds.html" </w:instrText>
      </w:r>
      <w:r>
        <w:rPr>
          <w:rFonts w:hint="default" w:ascii="Times New Roman" w:hAnsi="Times New Roman"/>
          <w:b w:val="0"/>
          <w:bCs w:val="0"/>
          <w:sz w:val="24"/>
          <w:szCs w:val="24"/>
          <w:u w:val="none"/>
          <w:lang w:val="en-IN"/>
        </w:rPr>
        <w:fldChar w:fldCharType="separate"/>
      </w:r>
      <w:r>
        <w:rPr>
          <w:rStyle w:val="13"/>
          <w:rFonts w:hint="default" w:ascii="Times New Roman" w:hAnsi="Times New Roman"/>
          <w:b w:val="0"/>
          <w:bCs w:val="0"/>
          <w:sz w:val="24"/>
          <w:szCs w:val="24"/>
          <w:u w:val="none"/>
          <w:lang w:val="en-IN"/>
        </w:rPr>
        <w:t>Collins vs. Collins (1858)</w:t>
      </w:r>
      <w:r>
        <w:rPr>
          <w:rFonts w:hint="default" w:ascii="Times New Roman" w:hAnsi="Times New Roman"/>
          <w:b w:val="0"/>
          <w:bCs w:val="0"/>
          <w:sz w:val="24"/>
          <w:szCs w:val="24"/>
          <w:u w:val="none"/>
          <w:lang w:val="en-IN"/>
        </w:rPr>
        <w:fldChar w:fldCharType="end"/>
      </w:r>
      <w:r>
        <w:rPr>
          <w:rStyle w:val="8"/>
          <w:rFonts w:hint="default" w:ascii="Times New Roman" w:hAnsi="Times New Roman"/>
          <w:b w:val="0"/>
          <w:bCs w:val="0"/>
          <w:sz w:val="24"/>
          <w:szCs w:val="24"/>
          <w:u w:val="none"/>
          <w:lang w:val="en-IN"/>
        </w:rPr>
        <w:endnoteReference w:id="1"/>
      </w:r>
      <w:r>
        <w:rPr>
          <w:rFonts w:hint="default" w:ascii="Times New Roman" w:hAnsi="Times New Roman"/>
          <w:b w:val="0"/>
          <w:bCs w:val="0"/>
          <w:sz w:val="24"/>
          <w:szCs w:val="24"/>
          <w:u w:val="none"/>
          <w:lang w:val="en-IN"/>
        </w:rPr>
        <w:t xml:space="preserve">, </w:t>
      </w:r>
      <w:r>
        <w:rPr>
          <w:rFonts w:hint="default" w:ascii="Times New Roman" w:hAnsi="Times New Roman"/>
          <w:b w:val="0"/>
          <w:bCs w:val="0"/>
          <w:sz w:val="24"/>
          <w:szCs w:val="24"/>
          <w:lang w:val="en-IN"/>
        </w:rPr>
        <w:t>the court provided a comprehensive definition of arbitration, describing it as the referral of a specific matter in contention between parties to one or more individuals, with or without an umpire, for decision-making.</w:t>
      </w:r>
    </w:p>
    <w:p>
      <w:pPr>
        <w:numPr>
          <w:ilvl w:val="0"/>
          <w:numId w:val="0"/>
        </w:numPr>
        <w:spacing w:line="360" w:lineRule="auto"/>
        <w:jc w:val="both"/>
        <w:rPr>
          <w:rFonts w:hint="default" w:ascii="Times New Roman" w:hAnsi="Times New Roman"/>
          <w:sz w:val="24"/>
          <w:szCs w:val="24"/>
          <w:lang w:val="en-IN"/>
        </w:rPr>
      </w:pPr>
      <w:r>
        <w:rPr>
          <w:rFonts w:hint="default" w:ascii="Times New Roman" w:hAnsi="Times New Roman"/>
          <w:sz w:val="24"/>
          <w:szCs w:val="24"/>
          <w:lang w:val="en-IN"/>
        </w:rPr>
        <w:t>Upon encountering a dispute, the aggrieved parties convene to appoint arbitrators to adjudicate the matter, with the resultant decision being binding upon the parties involved. Section 8 of the Arbitration and Conciliation Act, 1996, stipulates that if one party disregards the arbitral agreement and resorts to filing a suit in civil court instead of arbitration, the other party has the right to petition the court to refer the matter to arbitration tribunal.</w:t>
      </w:r>
    </w:p>
    <w:p>
      <w:pPr>
        <w:numPr>
          <w:ilvl w:val="0"/>
          <w:numId w:val="0"/>
        </w:numPr>
        <w:spacing w:line="360" w:lineRule="auto"/>
        <w:jc w:val="both"/>
        <w:rPr>
          <w:rFonts w:hint="default" w:ascii="Times New Roman" w:hAnsi="Times New Roman"/>
          <w:sz w:val="24"/>
          <w:szCs w:val="24"/>
          <w:lang w:val="en-IN"/>
        </w:rPr>
      </w:pPr>
      <w:r>
        <w:rPr>
          <w:rFonts w:hint="default" w:ascii="Times New Roman" w:hAnsi="Times New Roman"/>
          <w:sz w:val="24"/>
          <w:szCs w:val="24"/>
          <w:lang w:val="en-IN"/>
        </w:rPr>
        <w:t xml:space="preserve">In the case of </w:t>
      </w:r>
      <w:r>
        <w:rPr>
          <w:rFonts w:hint="default" w:ascii="Times New Roman" w:hAnsi="Times New Roman"/>
          <w:sz w:val="24"/>
          <w:szCs w:val="24"/>
          <w:u w:val="none"/>
          <w:lang w:val="en-IN"/>
        </w:rPr>
        <w:fldChar w:fldCharType="begin"/>
      </w:r>
      <w:r>
        <w:rPr>
          <w:rFonts w:hint="default" w:ascii="Times New Roman" w:hAnsi="Times New Roman"/>
          <w:sz w:val="24"/>
          <w:szCs w:val="24"/>
          <w:u w:val="none"/>
          <w:lang w:val="en-IN"/>
        </w:rPr>
        <w:instrText xml:space="preserve"> HYPERLINK "https://www.casemine.com/judgement/in/575fd328607dba63d7e6c4de" \l "42" </w:instrText>
      </w:r>
      <w:r>
        <w:rPr>
          <w:rFonts w:hint="default" w:ascii="Times New Roman" w:hAnsi="Times New Roman"/>
          <w:sz w:val="24"/>
          <w:szCs w:val="24"/>
          <w:u w:val="none"/>
          <w:lang w:val="en-IN"/>
        </w:rPr>
        <w:fldChar w:fldCharType="separate"/>
      </w:r>
      <w:r>
        <w:rPr>
          <w:rStyle w:val="13"/>
          <w:rFonts w:hint="default" w:ascii="Times New Roman" w:hAnsi="Times New Roman"/>
          <w:sz w:val="24"/>
          <w:szCs w:val="24"/>
          <w:u w:val="none"/>
          <w:lang w:val="en-IN"/>
        </w:rPr>
        <w:t xml:space="preserve">Afcons Infrastructure Limited v/s  Cherian Varkey Construction Company Private Limited (2010), </w:t>
      </w:r>
      <w:r>
        <w:rPr>
          <w:rFonts w:hint="default" w:ascii="Times New Roman" w:hAnsi="Times New Roman"/>
          <w:sz w:val="24"/>
          <w:szCs w:val="24"/>
          <w:u w:val="none"/>
          <w:lang w:val="en-IN"/>
        </w:rPr>
        <w:fldChar w:fldCharType="end"/>
      </w:r>
      <w:r>
        <w:rPr>
          <w:rStyle w:val="8"/>
          <w:rFonts w:hint="default" w:ascii="Times New Roman" w:hAnsi="Times New Roman"/>
          <w:sz w:val="24"/>
          <w:szCs w:val="24"/>
          <w:u w:val="none"/>
          <w:lang w:val="en-IN"/>
        </w:rPr>
        <w:endnoteReference w:id="2"/>
      </w:r>
      <w:r>
        <w:rPr>
          <w:rFonts w:hint="default" w:ascii="Times New Roman" w:hAnsi="Times New Roman"/>
          <w:sz w:val="24"/>
          <w:szCs w:val="24"/>
          <w:u w:val="none"/>
          <w:lang w:val="en-IN"/>
        </w:rPr>
        <w:t xml:space="preserve"> </w:t>
      </w:r>
      <w:r>
        <w:rPr>
          <w:rFonts w:hint="default" w:ascii="Times New Roman" w:hAnsi="Times New Roman"/>
          <w:sz w:val="24"/>
          <w:szCs w:val="24"/>
          <w:lang w:val="en-IN"/>
        </w:rPr>
        <w:t xml:space="preserve">the court emphasized the necessity of consent from all parties for invoking Section 89 of the Civil Procedure Code. It clarified that a civil court, exercising its authority under Section 89, cannot refer a suit to arbitration unless all parties unanimously agree to such a course of action. </w:t>
      </w:r>
    </w:p>
    <w:p>
      <w:pPr>
        <w:numPr>
          <w:ilvl w:val="0"/>
          <w:numId w:val="0"/>
        </w:numPr>
        <w:spacing w:line="360" w:lineRule="auto"/>
        <w:jc w:val="both"/>
        <w:rPr>
          <w:rFonts w:hint="default" w:ascii="Times New Roman" w:hAnsi="Times New Roman"/>
          <w:b w:val="0"/>
          <w:bCs w:val="0"/>
          <w:sz w:val="24"/>
          <w:szCs w:val="24"/>
          <w:lang w:val="en-IN"/>
        </w:rPr>
      </w:pPr>
      <w:r>
        <w:rPr>
          <w:rFonts w:hint="default" w:ascii="Times New Roman" w:hAnsi="Times New Roman"/>
          <w:b/>
          <w:bCs/>
          <w:sz w:val="24"/>
          <w:szCs w:val="24"/>
          <w:lang w:val="en-IN"/>
        </w:rPr>
        <w:t xml:space="preserve">MEDIATION: </w:t>
      </w:r>
      <w:r>
        <w:rPr>
          <w:rFonts w:hint="default" w:ascii="Times New Roman" w:hAnsi="Times New Roman"/>
          <w:b w:val="0"/>
          <w:bCs w:val="0"/>
          <w:sz w:val="24"/>
          <w:szCs w:val="24"/>
          <w:lang w:val="en-IN"/>
        </w:rPr>
        <w:t>Mediation serves as a dispute resolution method wherein a neutral third party collaborates with two or more aggrieved parties to facilitate the mutual agreement on a solution. This third party, known as the mediator, employs communication and negotiation techniques to assist the parties in reaching a resolution. However, the mediator's role is strictly limited to guiding and aiding the parties in their pursuit of a solution, without imposing any decisions upon them.</w:t>
      </w:r>
    </w:p>
    <w:p>
      <w:pPr>
        <w:numPr>
          <w:ilvl w:val="0"/>
          <w:numId w:val="0"/>
        </w:numPr>
        <w:spacing w:line="360" w:lineRule="auto"/>
        <w:jc w:val="both"/>
        <w:rPr>
          <w:rFonts w:hint="default" w:ascii="Times New Roman" w:hAnsi="Times New Roman"/>
          <w:b w:val="0"/>
          <w:bCs w:val="0"/>
          <w:sz w:val="24"/>
          <w:szCs w:val="24"/>
          <w:lang w:val="en-IN"/>
        </w:rPr>
      </w:pPr>
      <w:r>
        <w:rPr>
          <w:rFonts w:hint="default" w:ascii="Times New Roman" w:hAnsi="Times New Roman"/>
          <w:b w:val="0"/>
          <w:bCs w:val="0"/>
          <w:sz w:val="24"/>
          <w:szCs w:val="24"/>
          <w:lang w:val="en-IN"/>
        </w:rPr>
        <w:t xml:space="preserve">In the case of </w:t>
      </w:r>
      <w:r>
        <w:rPr>
          <w:rFonts w:hint="default" w:ascii="Times New Roman" w:hAnsi="Times New Roman"/>
          <w:b w:val="0"/>
          <w:bCs w:val="0"/>
          <w:sz w:val="24"/>
          <w:szCs w:val="24"/>
          <w:u w:val="none"/>
          <w:lang w:val="en-IN"/>
        </w:rPr>
        <w:fldChar w:fldCharType="begin"/>
      </w:r>
      <w:r>
        <w:rPr>
          <w:rFonts w:hint="default" w:ascii="Times New Roman" w:hAnsi="Times New Roman"/>
          <w:b w:val="0"/>
          <w:bCs w:val="0"/>
          <w:sz w:val="24"/>
          <w:szCs w:val="24"/>
          <w:u w:val="none"/>
          <w:lang w:val="en-IN"/>
        </w:rPr>
        <w:instrText xml:space="preserve"> HYPERLINK "https://www.casemine.com/judgement/in/5609af44e4b0149711415ff4" \l "null" </w:instrText>
      </w:r>
      <w:r>
        <w:rPr>
          <w:rFonts w:hint="default" w:ascii="Times New Roman" w:hAnsi="Times New Roman"/>
          <w:b w:val="0"/>
          <w:bCs w:val="0"/>
          <w:sz w:val="24"/>
          <w:szCs w:val="24"/>
          <w:u w:val="none"/>
          <w:lang w:val="en-IN"/>
        </w:rPr>
        <w:fldChar w:fldCharType="separate"/>
      </w:r>
      <w:r>
        <w:rPr>
          <w:rStyle w:val="13"/>
          <w:rFonts w:hint="default" w:ascii="Times New Roman" w:hAnsi="Times New Roman"/>
          <w:b w:val="0"/>
          <w:bCs w:val="0"/>
          <w:sz w:val="24"/>
          <w:szCs w:val="24"/>
          <w:u w:val="none"/>
          <w:lang w:val="en-IN"/>
        </w:rPr>
        <w:t>Vikram Bakshi v/s Sonia Khosla (2014)</w:t>
      </w:r>
      <w:r>
        <w:rPr>
          <w:rFonts w:hint="default" w:ascii="Times New Roman" w:hAnsi="Times New Roman"/>
          <w:b w:val="0"/>
          <w:bCs w:val="0"/>
          <w:sz w:val="24"/>
          <w:szCs w:val="24"/>
          <w:u w:val="none"/>
          <w:lang w:val="en-IN"/>
        </w:rPr>
        <w:fldChar w:fldCharType="end"/>
      </w:r>
      <w:r>
        <w:rPr>
          <w:rStyle w:val="8"/>
          <w:rFonts w:hint="default" w:ascii="Times New Roman" w:hAnsi="Times New Roman"/>
          <w:b w:val="0"/>
          <w:bCs w:val="0"/>
          <w:sz w:val="24"/>
          <w:szCs w:val="24"/>
          <w:u w:val="none"/>
          <w:lang w:val="en-IN"/>
        </w:rPr>
        <w:endnoteReference w:id="3"/>
      </w:r>
      <w:r>
        <w:rPr>
          <w:rFonts w:hint="default" w:ascii="Times New Roman" w:hAnsi="Times New Roman"/>
          <w:b w:val="0"/>
          <w:bCs w:val="0"/>
          <w:sz w:val="24"/>
          <w:szCs w:val="24"/>
          <w:u w:val="none"/>
          <w:lang w:val="en-IN"/>
        </w:rPr>
        <w:t>,</w:t>
      </w:r>
      <w:r>
        <w:rPr>
          <w:rFonts w:hint="default" w:ascii="Times New Roman" w:hAnsi="Times New Roman"/>
          <w:b w:val="0"/>
          <w:bCs w:val="0"/>
          <w:sz w:val="24"/>
          <w:szCs w:val="24"/>
          <w:lang w:val="en-IN"/>
        </w:rPr>
        <w:t xml:space="preserve"> it was affirmed that mediation transforms the dynamic between parties, shifting them from adversaries in conflict to partners in seeking resolution. It heralded mediation as a novel avenue for accessing justice, diverging from the confrontational nature of litigation. </w:t>
      </w:r>
    </w:p>
    <w:p>
      <w:pPr>
        <w:numPr>
          <w:ilvl w:val="0"/>
          <w:numId w:val="0"/>
        </w:numPr>
        <w:spacing w:line="360" w:lineRule="auto"/>
        <w:jc w:val="both"/>
        <w:rPr>
          <w:rFonts w:hint="default" w:ascii="Times New Roman" w:hAnsi="Times New Roman"/>
          <w:b w:val="0"/>
          <w:bCs w:val="0"/>
          <w:sz w:val="24"/>
          <w:szCs w:val="24"/>
          <w:lang w:val="en-IN"/>
        </w:rPr>
      </w:pPr>
      <w:r>
        <w:rPr>
          <w:rFonts w:hint="default" w:ascii="Times New Roman" w:hAnsi="Times New Roman"/>
          <w:b/>
          <w:bCs/>
          <w:sz w:val="24"/>
          <w:szCs w:val="24"/>
          <w:lang w:val="en-IN"/>
        </w:rPr>
        <w:t xml:space="preserve">CONCILIATION: </w:t>
      </w:r>
      <w:r>
        <w:rPr>
          <w:rFonts w:hint="default" w:ascii="Times New Roman" w:hAnsi="Times New Roman"/>
          <w:b w:val="0"/>
          <w:bCs w:val="0"/>
          <w:sz w:val="24"/>
          <w:szCs w:val="24"/>
          <w:lang w:val="en-IN"/>
        </w:rPr>
        <w:t>As per Section 62 of the Arbitration and Conciliation Act, 1996, parties cannot begin a conciliation agreement until a dispute has emerged. To establish a conciliation agreement, three key steps are necessary:</w:t>
      </w:r>
    </w:p>
    <w:p>
      <w:pPr>
        <w:numPr>
          <w:ilvl w:val="0"/>
          <w:numId w:val="0"/>
        </w:numPr>
        <w:spacing w:line="360" w:lineRule="auto"/>
        <w:jc w:val="both"/>
        <w:rPr>
          <w:rFonts w:hint="default" w:ascii="Times New Roman" w:hAnsi="Times New Roman"/>
          <w:b w:val="0"/>
          <w:bCs w:val="0"/>
          <w:sz w:val="24"/>
          <w:szCs w:val="24"/>
          <w:lang w:val="en-IN"/>
        </w:rPr>
      </w:pPr>
      <w:r>
        <w:rPr>
          <w:rFonts w:hint="default" w:ascii="Times New Roman" w:hAnsi="Times New Roman"/>
          <w:b w:val="0"/>
          <w:bCs w:val="0"/>
          <w:sz w:val="24"/>
          <w:szCs w:val="24"/>
          <w:lang w:val="en-IN"/>
        </w:rPr>
        <w:t>1. One party must send a written invitation to the other party, briefly outlining the issues at hand and proposing conciliation.</w:t>
      </w:r>
    </w:p>
    <w:p>
      <w:pPr>
        <w:numPr>
          <w:ilvl w:val="0"/>
          <w:numId w:val="0"/>
        </w:numPr>
        <w:spacing w:line="360" w:lineRule="auto"/>
        <w:jc w:val="both"/>
        <w:rPr>
          <w:rFonts w:hint="default" w:ascii="Times New Roman" w:hAnsi="Times New Roman"/>
          <w:b w:val="0"/>
          <w:bCs w:val="0"/>
          <w:sz w:val="24"/>
          <w:szCs w:val="24"/>
          <w:lang w:val="en-IN"/>
        </w:rPr>
      </w:pPr>
      <w:r>
        <w:rPr>
          <w:rFonts w:hint="default" w:ascii="Times New Roman" w:hAnsi="Times New Roman"/>
          <w:b w:val="0"/>
          <w:bCs w:val="0"/>
          <w:sz w:val="24"/>
          <w:szCs w:val="24"/>
          <w:lang w:val="en-IN"/>
        </w:rPr>
        <w:t>2. The conciliation process can only commence if the other party accepts this invitation in writing.</w:t>
      </w:r>
    </w:p>
    <w:p>
      <w:pPr>
        <w:numPr>
          <w:ilvl w:val="0"/>
          <w:numId w:val="0"/>
        </w:numPr>
        <w:spacing w:line="360" w:lineRule="auto"/>
        <w:jc w:val="both"/>
        <w:rPr>
          <w:rFonts w:hint="default" w:ascii="Times New Roman" w:hAnsi="Times New Roman"/>
          <w:b w:val="0"/>
          <w:bCs w:val="0"/>
          <w:sz w:val="24"/>
          <w:szCs w:val="24"/>
          <w:lang w:val="en-IN"/>
        </w:rPr>
      </w:pPr>
      <w:r>
        <w:rPr>
          <w:rFonts w:hint="default" w:ascii="Times New Roman" w:hAnsi="Times New Roman"/>
          <w:b w:val="0"/>
          <w:bCs w:val="0"/>
          <w:sz w:val="24"/>
          <w:szCs w:val="24"/>
          <w:lang w:val="en-IN"/>
        </w:rPr>
        <w:t xml:space="preserve">3. If any party declines to engage in conciliation, the process cannot proceed.  </w:t>
      </w:r>
    </w:p>
    <w:p>
      <w:pPr>
        <w:numPr>
          <w:ilvl w:val="0"/>
          <w:numId w:val="0"/>
        </w:numPr>
        <w:spacing w:line="360" w:lineRule="auto"/>
        <w:jc w:val="both"/>
        <w:rPr>
          <w:rFonts w:hint="default" w:ascii="Times New Roman" w:hAnsi="Times New Roman" w:eastAsia="sans-serif" w:cs="Times New Roman"/>
          <w:b w:val="0"/>
          <w:bCs w:val="0"/>
          <w:i w:val="0"/>
          <w:iCs w:val="0"/>
          <w:caps w:val="0"/>
          <w:color w:val="111111"/>
          <w:spacing w:val="0"/>
          <w:sz w:val="24"/>
          <w:szCs w:val="24"/>
          <w:shd w:val="clear" w:fill="F9FAFB"/>
          <w:lang w:val="en-IN"/>
        </w:rPr>
      </w:pPr>
      <w:r>
        <w:rPr>
          <w:rFonts w:hint="default" w:ascii="Times New Roman" w:hAnsi="Times New Roman"/>
          <w:b w:val="0"/>
          <w:bCs w:val="0"/>
          <w:sz w:val="24"/>
          <w:szCs w:val="24"/>
          <w:lang w:val="en-IN"/>
        </w:rPr>
        <w:t xml:space="preserve">In the case </w:t>
      </w:r>
      <w:r>
        <w:rPr>
          <w:rFonts w:hint="default" w:ascii="Times New Roman" w:hAnsi="Times New Roman" w:eastAsia="sans-serif" w:cs="Times New Roman"/>
          <w:i w:val="0"/>
          <w:iCs w:val="0"/>
          <w:caps w:val="0"/>
          <w:color w:val="111111"/>
          <w:spacing w:val="0"/>
          <w:sz w:val="24"/>
          <w:szCs w:val="24"/>
          <w:u w:val="none"/>
          <w:shd w:val="clear" w:fill="F9FAFB"/>
        </w:rPr>
        <w:fldChar w:fldCharType="begin"/>
      </w:r>
      <w:r>
        <w:rPr>
          <w:rFonts w:hint="default" w:ascii="Times New Roman" w:hAnsi="Times New Roman" w:eastAsia="sans-serif" w:cs="Times New Roman"/>
          <w:i w:val="0"/>
          <w:iCs w:val="0"/>
          <w:caps w:val="0"/>
          <w:color w:val="111111"/>
          <w:spacing w:val="0"/>
          <w:sz w:val="24"/>
          <w:szCs w:val="24"/>
          <w:u w:val="none"/>
          <w:shd w:val="clear" w:fill="F9FAFB"/>
        </w:rPr>
        <w:instrText xml:space="preserve"> HYPERLINK "ttps:/www.casemine.com/judgement/in/59f47c6bce686e7375822e0e" \l "p_25" </w:instrText>
      </w:r>
      <w:r>
        <w:rPr>
          <w:rFonts w:hint="default" w:ascii="Times New Roman" w:hAnsi="Times New Roman" w:eastAsia="sans-serif" w:cs="Times New Roman"/>
          <w:i w:val="0"/>
          <w:iCs w:val="0"/>
          <w:caps w:val="0"/>
          <w:color w:val="111111"/>
          <w:spacing w:val="0"/>
          <w:sz w:val="24"/>
          <w:szCs w:val="24"/>
          <w:u w:val="none"/>
          <w:shd w:val="clear" w:fill="F9FAFB"/>
        </w:rPr>
        <w:fldChar w:fldCharType="separate"/>
      </w:r>
      <w:r>
        <w:rPr>
          <w:rStyle w:val="13"/>
          <w:rFonts w:hint="default" w:ascii="Times New Roman" w:hAnsi="Times New Roman" w:eastAsia="sans-serif" w:cs="Times New Roman"/>
          <w:i w:val="0"/>
          <w:iCs w:val="0"/>
          <w:caps w:val="0"/>
          <w:spacing w:val="0"/>
          <w:sz w:val="24"/>
          <w:szCs w:val="24"/>
          <w:shd w:val="clear" w:fill="F9FAFB"/>
        </w:rPr>
        <w:t xml:space="preserve"> </w:t>
      </w:r>
      <w:r>
        <w:rPr>
          <w:rStyle w:val="13"/>
          <w:rFonts w:hint="default" w:ascii="Times New Roman" w:hAnsi="Times New Roman"/>
          <w:b w:val="0"/>
          <w:bCs w:val="0"/>
          <w:sz w:val="24"/>
          <w:szCs w:val="24"/>
          <w:u w:val="none"/>
          <w:lang w:val="en-IN"/>
        </w:rPr>
        <w:t xml:space="preserve">Ge T&amp;D India limited v/s Reliable Engineering Projects </w:t>
      </w:r>
      <w:r>
        <w:rPr>
          <w:rStyle w:val="13"/>
          <w:rFonts w:hint="default" w:ascii="Times New Roman" w:hAnsi="Times New Roman" w:eastAsia="sans-serif" w:cs="Times New Roman"/>
          <w:b w:val="0"/>
          <w:bCs w:val="0"/>
          <w:i w:val="0"/>
          <w:iCs w:val="0"/>
          <w:caps w:val="0"/>
          <w:spacing w:val="0"/>
          <w:sz w:val="24"/>
          <w:szCs w:val="24"/>
          <w:u w:val="none"/>
          <w:shd w:val="clear" w:fill="F9FAFB"/>
        </w:rPr>
        <w:t xml:space="preserve">(Delhi High Court, 2017) </w:t>
      </w:r>
      <w:r>
        <w:rPr>
          <w:rFonts w:hint="default" w:ascii="Times New Roman" w:hAnsi="Times New Roman" w:eastAsia="sans-serif" w:cs="Times New Roman"/>
          <w:i w:val="0"/>
          <w:iCs w:val="0"/>
          <w:caps w:val="0"/>
          <w:color w:val="111111"/>
          <w:spacing w:val="0"/>
          <w:sz w:val="24"/>
          <w:szCs w:val="24"/>
          <w:u w:val="none"/>
          <w:shd w:val="clear" w:fill="F9FAFB"/>
        </w:rPr>
        <w:fldChar w:fldCharType="end"/>
      </w:r>
      <w:r>
        <w:rPr>
          <w:rStyle w:val="8"/>
          <w:rFonts w:hint="default" w:ascii="Times New Roman" w:hAnsi="Times New Roman" w:eastAsia="sans-serif" w:cs="Times New Roman"/>
          <w:i w:val="0"/>
          <w:iCs w:val="0"/>
          <w:caps w:val="0"/>
          <w:color w:val="111111"/>
          <w:spacing w:val="0"/>
          <w:sz w:val="24"/>
          <w:szCs w:val="24"/>
          <w:u w:val="none"/>
          <w:shd w:val="clear" w:fill="F9FAFB"/>
        </w:rPr>
        <w:endnoteReference w:id="4"/>
      </w:r>
      <w:r>
        <w:rPr>
          <w:rFonts w:hint="default" w:ascii="Times New Roman" w:hAnsi="Times New Roman" w:eastAsia="sans-serif" w:cs="Times New Roman"/>
          <w:b w:val="0"/>
          <w:bCs w:val="0"/>
          <w:i w:val="0"/>
          <w:iCs w:val="0"/>
          <w:caps w:val="0"/>
          <w:color w:val="111111"/>
          <w:spacing w:val="0"/>
          <w:sz w:val="24"/>
          <w:szCs w:val="24"/>
          <w:shd w:val="clear" w:fill="F9FAFB"/>
        </w:rPr>
        <w:t xml:space="preserve">- This judgment </w:t>
      </w:r>
      <w:r>
        <w:rPr>
          <w:rFonts w:hint="default" w:ascii="Times New Roman" w:hAnsi="Times New Roman" w:eastAsia="sans-serif" w:cs="Times New Roman"/>
          <w:b w:val="0"/>
          <w:bCs w:val="0"/>
          <w:i w:val="0"/>
          <w:iCs w:val="0"/>
          <w:caps w:val="0"/>
          <w:color w:val="111111"/>
          <w:spacing w:val="0"/>
          <w:sz w:val="24"/>
          <w:szCs w:val="24"/>
          <w:shd w:val="clear" w:fill="F9FAFB"/>
          <w:lang w:val="en-IN"/>
        </w:rPr>
        <w:t xml:space="preserve"> clarifies </w:t>
      </w:r>
      <w:r>
        <w:rPr>
          <w:rFonts w:hint="default" w:ascii="Times New Roman" w:hAnsi="Times New Roman" w:eastAsia="sans-serif" w:cs="Times New Roman"/>
          <w:b w:val="0"/>
          <w:bCs w:val="0"/>
          <w:i w:val="0"/>
          <w:iCs w:val="0"/>
          <w:caps w:val="0"/>
          <w:color w:val="111111"/>
          <w:spacing w:val="0"/>
          <w:sz w:val="24"/>
          <w:szCs w:val="24"/>
          <w:shd w:val="clear" w:fill="F9FAFB"/>
        </w:rPr>
        <w:t xml:space="preserve">the role of the conciliator in </w:t>
      </w:r>
      <w:r>
        <w:rPr>
          <w:rFonts w:hint="default" w:ascii="Times New Roman" w:hAnsi="Times New Roman" w:eastAsia="sans-serif" w:cs="Times New Roman"/>
          <w:b w:val="0"/>
          <w:bCs w:val="0"/>
          <w:i w:val="0"/>
          <w:iCs w:val="0"/>
          <w:caps w:val="0"/>
          <w:color w:val="111111"/>
          <w:spacing w:val="0"/>
          <w:sz w:val="24"/>
          <w:szCs w:val="24"/>
          <w:shd w:val="clear" w:fill="F9FAFB"/>
          <w:lang w:val="en-IN"/>
        </w:rPr>
        <w:t xml:space="preserve">getting </w:t>
      </w:r>
      <w:r>
        <w:rPr>
          <w:rFonts w:hint="default" w:ascii="Times New Roman" w:hAnsi="Times New Roman" w:eastAsia="sans-serif" w:cs="Times New Roman"/>
          <w:b w:val="0"/>
          <w:bCs w:val="0"/>
          <w:i w:val="0"/>
          <w:iCs w:val="0"/>
          <w:caps w:val="0"/>
          <w:color w:val="111111"/>
          <w:spacing w:val="0"/>
          <w:sz w:val="24"/>
          <w:szCs w:val="24"/>
          <w:shd w:val="clear" w:fill="F9FAFB"/>
        </w:rPr>
        <w:t xml:space="preserve"> parties to reach </w:t>
      </w:r>
      <w:r>
        <w:rPr>
          <w:rFonts w:hint="default" w:ascii="Times New Roman" w:hAnsi="Times New Roman" w:eastAsia="sans-serif" w:cs="Times New Roman"/>
          <w:b w:val="0"/>
          <w:bCs w:val="0"/>
          <w:i w:val="0"/>
          <w:iCs w:val="0"/>
          <w:caps w:val="0"/>
          <w:color w:val="111111"/>
          <w:spacing w:val="0"/>
          <w:sz w:val="24"/>
          <w:szCs w:val="24"/>
          <w:shd w:val="clear" w:fill="F9FAFB"/>
          <w:lang w:val="en-IN"/>
        </w:rPr>
        <w:t xml:space="preserve">settlement </w:t>
      </w:r>
      <w:r>
        <w:rPr>
          <w:rFonts w:hint="default" w:ascii="Times New Roman" w:hAnsi="Times New Roman" w:eastAsia="sans-serif" w:cs="Times New Roman"/>
          <w:b w:val="0"/>
          <w:bCs w:val="0"/>
          <w:i w:val="0"/>
          <w:iCs w:val="0"/>
          <w:caps w:val="0"/>
          <w:color w:val="111111"/>
          <w:spacing w:val="0"/>
          <w:sz w:val="24"/>
          <w:szCs w:val="24"/>
          <w:shd w:val="clear" w:fill="F9FAFB"/>
        </w:rPr>
        <w:t>impartially and independently</w:t>
      </w:r>
      <w:r>
        <w:rPr>
          <w:rFonts w:hint="default" w:ascii="Times New Roman" w:hAnsi="Times New Roman" w:eastAsia="sans-serif" w:cs="Times New Roman"/>
          <w:b w:val="0"/>
          <w:bCs w:val="0"/>
          <w:i w:val="0"/>
          <w:iCs w:val="0"/>
          <w:caps w:val="0"/>
          <w:color w:val="111111"/>
          <w:spacing w:val="0"/>
          <w:sz w:val="24"/>
          <w:szCs w:val="24"/>
          <w:shd w:val="clear" w:fill="F9FAFB"/>
          <w:lang w:val="en-IN"/>
        </w:rPr>
        <w:t xml:space="preserve">. </w:t>
      </w:r>
      <w:r>
        <w:rPr>
          <w:rFonts w:hint="default" w:ascii="Times New Roman" w:hAnsi="Times New Roman"/>
          <w:b w:val="0"/>
          <w:bCs w:val="0"/>
          <w:sz w:val="24"/>
          <w:szCs w:val="24"/>
          <w:lang w:val="en-IN"/>
        </w:rPr>
        <w:t>This demonstrates that conciliation is typically a spontaneous form of ADR conducted after a dispute has arisen.</w:t>
      </w:r>
    </w:p>
    <w:p>
      <w:pPr>
        <w:spacing w:line="360" w:lineRule="auto"/>
        <w:jc w:val="both"/>
        <w:rPr>
          <w:rFonts w:hint="default" w:ascii="Times New Roman" w:hAnsi="Times New Roman" w:eastAsia="sans-serif"/>
          <w:b w:val="0"/>
          <w:bCs w:val="0"/>
          <w:i w:val="0"/>
          <w:iCs w:val="0"/>
          <w:caps w:val="0"/>
          <w:color w:val="111111"/>
          <w:spacing w:val="0"/>
          <w:sz w:val="24"/>
          <w:szCs w:val="24"/>
          <w:shd w:val="clear" w:fill="F9FAFB"/>
          <w:lang w:val="en-IN"/>
        </w:rPr>
      </w:pPr>
      <w:r>
        <w:rPr>
          <w:rFonts w:hint="default" w:ascii="Times New Roman" w:hAnsi="Times New Roman" w:eastAsia="sans-serif"/>
          <w:b/>
          <w:bCs/>
          <w:i w:val="0"/>
          <w:iCs w:val="0"/>
          <w:caps w:val="0"/>
          <w:color w:val="111111"/>
          <w:spacing w:val="0"/>
          <w:sz w:val="24"/>
          <w:szCs w:val="24"/>
          <w:shd w:val="clear" w:fill="F9FAFB"/>
          <w:lang w:val="en-IN"/>
        </w:rPr>
        <w:t xml:space="preserve">CHALLENGES IN MODERN AVENUES OF ADR: </w:t>
      </w:r>
      <w:r>
        <w:rPr>
          <w:rFonts w:hint="default" w:ascii="Times New Roman" w:hAnsi="Times New Roman" w:eastAsia="sans-serif"/>
          <w:b w:val="0"/>
          <w:bCs w:val="0"/>
          <w:i w:val="0"/>
          <w:iCs w:val="0"/>
          <w:caps w:val="0"/>
          <w:color w:val="111111"/>
          <w:spacing w:val="0"/>
          <w:sz w:val="24"/>
          <w:szCs w:val="24"/>
          <w:shd w:val="clear" w:fill="F9FAFB"/>
          <w:lang w:val="en-IN"/>
        </w:rPr>
        <w:t xml:space="preserve">ADR with all it’s potential benefits has it’s own limitations also which need to be addrssed; </w:t>
      </w:r>
    </w:p>
    <w:p>
      <w:pPr>
        <w:numPr>
          <w:ilvl w:val="0"/>
          <w:numId w:val="1"/>
        </w:numPr>
        <w:spacing w:line="360" w:lineRule="auto"/>
        <w:jc w:val="both"/>
        <w:rPr>
          <w:rFonts w:hint="default" w:ascii="Times New Roman" w:hAnsi="Times New Roman" w:eastAsia="sans-serif"/>
          <w:b w:val="0"/>
          <w:bCs w:val="0"/>
          <w:i w:val="0"/>
          <w:iCs w:val="0"/>
          <w:caps w:val="0"/>
          <w:color w:val="111111"/>
          <w:spacing w:val="0"/>
          <w:sz w:val="24"/>
          <w:szCs w:val="24"/>
          <w:shd w:val="clear" w:fill="F9FAFB"/>
          <w:lang w:val="en-IN"/>
        </w:rPr>
      </w:pPr>
      <w:r>
        <w:rPr>
          <w:rFonts w:hint="default" w:ascii="Times New Roman" w:hAnsi="Times New Roman" w:eastAsia="sans-serif"/>
          <w:b w:val="0"/>
          <w:bCs w:val="0"/>
          <w:i w:val="0"/>
          <w:iCs w:val="0"/>
          <w:caps w:val="0"/>
          <w:color w:val="111111"/>
          <w:spacing w:val="0"/>
          <w:sz w:val="24"/>
          <w:szCs w:val="24"/>
          <w:shd w:val="clear" w:fill="F9FAFB"/>
          <w:lang w:val="en-IN"/>
        </w:rPr>
        <w:t xml:space="preserve">ADR focuses on mutual consent of both parties for resolution but if any of the party is reluctant to agree, it will result into failure. </w:t>
      </w:r>
    </w:p>
    <w:p>
      <w:pPr>
        <w:numPr>
          <w:ilvl w:val="0"/>
          <w:numId w:val="1"/>
        </w:numPr>
        <w:spacing w:line="360" w:lineRule="auto"/>
        <w:jc w:val="both"/>
        <w:rPr>
          <w:rFonts w:hint="default" w:ascii="Times New Roman" w:hAnsi="Times New Roman" w:eastAsia="sans-serif"/>
          <w:b w:val="0"/>
          <w:bCs w:val="0"/>
          <w:i w:val="0"/>
          <w:iCs w:val="0"/>
          <w:caps w:val="0"/>
          <w:color w:val="111111"/>
          <w:spacing w:val="0"/>
          <w:sz w:val="24"/>
          <w:szCs w:val="24"/>
          <w:shd w:val="clear" w:fill="F9FAFB"/>
          <w:lang w:val="en-IN"/>
        </w:rPr>
      </w:pPr>
      <w:r>
        <w:rPr>
          <w:rFonts w:hint="default" w:ascii="Times New Roman" w:hAnsi="Times New Roman" w:eastAsia="sans-serif"/>
          <w:b w:val="0"/>
          <w:bCs w:val="0"/>
          <w:i w:val="0"/>
          <w:iCs w:val="0"/>
          <w:color w:val="111111"/>
          <w:spacing w:val="0"/>
          <w:sz w:val="24"/>
          <w:szCs w:val="24"/>
          <w:shd w:val="clear" w:fill="F9FAFB"/>
          <w:lang w:val="en-IN"/>
        </w:rPr>
        <w:t>P</w:t>
      </w:r>
      <w:r>
        <w:rPr>
          <w:rFonts w:hint="default" w:ascii="Times New Roman" w:hAnsi="Times New Roman" w:eastAsia="sans-serif"/>
          <w:b w:val="0"/>
          <w:bCs w:val="0"/>
          <w:i w:val="0"/>
          <w:iCs w:val="0"/>
          <w:caps w:val="0"/>
          <w:color w:val="111111"/>
          <w:spacing w:val="0"/>
          <w:sz w:val="24"/>
          <w:szCs w:val="24"/>
          <w:shd w:val="clear" w:fill="F9FAFB"/>
          <w:lang w:val="en-IN"/>
        </w:rPr>
        <w:t xml:space="preserve">arties may not be at par with each other, giving the one with more power and dynamics to have leverage over the another. </w:t>
      </w:r>
    </w:p>
    <w:p>
      <w:pPr>
        <w:numPr>
          <w:ilvl w:val="0"/>
          <w:numId w:val="1"/>
        </w:numPr>
        <w:spacing w:line="360" w:lineRule="auto"/>
        <w:jc w:val="both"/>
        <w:rPr>
          <w:rFonts w:hint="default" w:ascii="Times New Roman" w:hAnsi="Times New Roman" w:eastAsia="sans-serif"/>
          <w:b w:val="0"/>
          <w:bCs w:val="0"/>
          <w:i w:val="0"/>
          <w:iCs w:val="0"/>
          <w:caps w:val="0"/>
          <w:color w:val="111111"/>
          <w:spacing w:val="0"/>
          <w:sz w:val="24"/>
          <w:szCs w:val="24"/>
          <w:shd w:val="clear" w:fill="F9FAFB"/>
          <w:lang w:val="en-IN"/>
        </w:rPr>
      </w:pPr>
      <w:r>
        <w:rPr>
          <w:rFonts w:hint="default" w:ascii="Times New Roman" w:hAnsi="Times New Roman" w:eastAsia="sans-serif"/>
          <w:b w:val="0"/>
          <w:bCs w:val="0"/>
          <w:i w:val="0"/>
          <w:iCs w:val="0"/>
          <w:caps w:val="0"/>
          <w:color w:val="111111"/>
          <w:spacing w:val="0"/>
          <w:sz w:val="24"/>
          <w:szCs w:val="24"/>
          <w:shd w:val="clear" w:fill="F9FAFB"/>
          <w:lang w:val="en-IN"/>
        </w:rPr>
        <w:t xml:space="preserve">ADR arguments are not always legally binding, making it strenuous to enforce. </w:t>
      </w:r>
    </w:p>
    <w:p>
      <w:pPr>
        <w:numPr>
          <w:ilvl w:val="0"/>
          <w:numId w:val="1"/>
        </w:numPr>
        <w:spacing w:line="360" w:lineRule="auto"/>
        <w:jc w:val="both"/>
        <w:rPr>
          <w:rFonts w:hint="default" w:ascii="Times New Roman" w:hAnsi="Times New Roman" w:eastAsia="sans-serif"/>
          <w:b w:val="0"/>
          <w:bCs w:val="0"/>
          <w:i w:val="0"/>
          <w:iCs w:val="0"/>
          <w:caps w:val="0"/>
          <w:color w:val="111111"/>
          <w:spacing w:val="0"/>
          <w:sz w:val="24"/>
          <w:szCs w:val="24"/>
          <w:shd w:val="clear" w:fill="F9FAFB"/>
          <w:lang w:val="en-IN"/>
        </w:rPr>
      </w:pPr>
      <w:r>
        <w:rPr>
          <w:rFonts w:hint="default" w:ascii="Times New Roman" w:hAnsi="Times New Roman" w:eastAsia="sans-serif"/>
          <w:b w:val="0"/>
          <w:bCs w:val="0"/>
          <w:i w:val="0"/>
          <w:iCs w:val="0"/>
          <w:color w:val="111111"/>
          <w:spacing w:val="0"/>
          <w:sz w:val="24"/>
          <w:szCs w:val="24"/>
          <w:shd w:val="clear" w:fill="F9FAFB"/>
          <w:lang w:val="en-IN"/>
        </w:rPr>
        <w:t>I</w:t>
      </w:r>
      <w:r>
        <w:rPr>
          <w:rFonts w:hint="default" w:ascii="Times New Roman" w:hAnsi="Times New Roman" w:eastAsia="sans-serif"/>
          <w:b w:val="0"/>
          <w:bCs w:val="0"/>
          <w:i w:val="0"/>
          <w:iCs w:val="0"/>
          <w:caps w:val="0"/>
          <w:color w:val="111111"/>
          <w:spacing w:val="0"/>
          <w:sz w:val="24"/>
          <w:szCs w:val="24"/>
          <w:shd w:val="clear" w:fill="F9FAFB"/>
          <w:lang w:val="en-IN"/>
        </w:rPr>
        <w:t xml:space="preserve">n many cases parties come to find a middle ground of solution, making it difficult for them to have access to other required discoveries like that of in court proceeding. </w:t>
      </w:r>
    </w:p>
    <w:p>
      <w:pPr>
        <w:numPr>
          <w:ilvl w:val="0"/>
          <w:numId w:val="1"/>
        </w:numPr>
        <w:spacing w:line="360" w:lineRule="auto"/>
        <w:jc w:val="both"/>
        <w:rPr>
          <w:rFonts w:hint="default" w:ascii="Times New Roman" w:hAnsi="Times New Roman" w:eastAsia="sans-serif"/>
          <w:b w:val="0"/>
          <w:bCs w:val="0"/>
          <w:i w:val="0"/>
          <w:iCs w:val="0"/>
          <w:caps w:val="0"/>
          <w:color w:val="111111"/>
          <w:spacing w:val="0"/>
          <w:sz w:val="24"/>
          <w:szCs w:val="24"/>
          <w:shd w:val="clear" w:fill="F9FAFB"/>
          <w:lang w:val="en-IN"/>
        </w:rPr>
      </w:pPr>
      <w:r>
        <w:rPr>
          <w:rFonts w:hint="default" w:ascii="Times New Roman" w:hAnsi="Times New Roman" w:eastAsia="sans-serif"/>
          <w:b w:val="0"/>
          <w:bCs w:val="0"/>
          <w:i w:val="0"/>
          <w:iCs w:val="0"/>
          <w:color w:val="111111"/>
          <w:spacing w:val="0"/>
          <w:sz w:val="24"/>
          <w:szCs w:val="24"/>
          <w:shd w:val="clear" w:fill="F9FAFB"/>
          <w:lang w:val="en-IN"/>
        </w:rPr>
        <w:t>P</w:t>
      </w:r>
      <w:r>
        <w:rPr>
          <w:rFonts w:hint="default" w:ascii="Times New Roman" w:hAnsi="Times New Roman" w:eastAsia="sans-serif"/>
          <w:b w:val="0"/>
          <w:bCs w:val="0"/>
          <w:i w:val="0"/>
          <w:iCs w:val="0"/>
          <w:caps w:val="0"/>
          <w:color w:val="111111"/>
          <w:spacing w:val="0"/>
          <w:sz w:val="24"/>
          <w:szCs w:val="24"/>
          <w:shd w:val="clear" w:fill="F9FAFB"/>
          <w:lang w:val="en-IN"/>
        </w:rPr>
        <w:t xml:space="preserve">arties may get limited protection from court in certain cases. </w:t>
      </w:r>
    </w:p>
    <w:p>
      <w:pPr>
        <w:numPr>
          <w:ilvl w:val="0"/>
          <w:numId w:val="0"/>
        </w:numPr>
        <w:spacing w:line="360" w:lineRule="auto"/>
        <w:jc w:val="both"/>
        <w:rPr>
          <w:rFonts w:hint="default" w:ascii="Times New Roman" w:hAnsi="Times New Roman" w:eastAsia="sans-serif"/>
          <w:b w:val="0"/>
          <w:bCs w:val="0"/>
          <w:i w:val="0"/>
          <w:iCs w:val="0"/>
          <w:caps w:val="0"/>
          <w:color w:val="111111"/>
          <w:spacing w:val="0"/>
          <w:sz w:val="24"/>
          <w:szCs w:val="24"/>
          <w:shd w:val="clear" w:fill="F9FAFB"/>
          <w:lang w:val="en-IN"/>
        </w:rPr>
      </w:pPr>
      <w:r>
        <w:rPr>
          <w:rFonts w:hint="default" w:ascii="Times New Roman" w:hAnsi="Times New Roman" w:eastAsia="sans-serif"/>
          <w:b w:val="0"/>
          <w:bCs w:val="0"/>
          <w:i w:val="0"/>
          <w:iCs w:val="0"/>
          <w:color w:val="111111"/>
          <w:spacing w:val="0"/>
          <w:sz w:val="24"/>
          <w:szCs w:val="24"/>
          <w:shd w:val="clear" w:fill="F9FAFB"/>
          <w:lang w:val="en-IN"/>
        </w:rPr>
        <w:t>T</w:t>
      </w:r>
      <w:r>
        <w:rPr>
          <w:rFonts w:hint="default" w:ascii="Times New Roman" w:hAnsi="Times New Roman" w:eastAsia="sans-serif"/>
          <w:b w:val="0"/>
          <w:bCs w:val="0"/>
          <w:i w:val="0"/>
          <w:iCs w:val="0"/>
          <w:caps w:val="0"/>
          <w:color w:val="111111"/>
          <w:spacing w:val="0"/>
          <w:sz w:val="24"/>
          <w:szCs w:val="24"/>
          <w:shd w:val="clear" w:fill="F9FAFB"/>
          <w:lang w:val="en-IN"/>
        </w:rPr>
        <w:t xml:space="preserve">o overcome such constraints in ADR there are third party funding (TPF), company group doctrine or pre-litigation mediation act, introduced in 2023 provide support to ADR mechanisms. </w:t>
      </w:r>
    </w:p>
    <w:p>
      <w:pPr>
        <w:pStyle w:val="2"/>
        <w:bidi w:val="0"/>
        <w:spacing w:line="360" w:lineRule="auto"/>
        <w:rPr>
          <w:rFonts w:hint="default" w:ascii="Times New Roman" w:hAnsi="Times New Roman" w:cs="Times New Roman"/>
          <w:sz w:val="24"/>
          <w:szCs w:val="24"/>
          <w:lang w:val="en-IN"/>
        </w:rPr>
      </w:pPr>
      <w:r>
        <w:rPr>
          <w:rFonts w:hint="default" w:ascii="Times New Roman" w:hAnsi="Times New Roman" w:cs="Times New Roman"/>
          <w:sz w:val="24"/>
          <w:szCs w:val="24"/>
          <w:lang w:val="en-IN"/>
        </w:rPr>
        <w:t xml:space="preserve">THIRD PARTY FUNDING: </w:t>
      </w:r>
    </w:p>
    <w:p>
      <w:pPr>
        <w:spacing w:line="360" w:lineRule="auto"/>
        <w:jc w:val="both"/>
        <w:rPr>
          <w:rFonts w:hint="default" w:ascii="Times New Roman" w:hAnsi="Times New Roman" w:eastAsia="sans-serif" w:cs="Times New Roman"/>
          <w:i w:val="0"/>
          <w:iCs w:val="0"/>
          <w:caps w:val="0"/>
          <w:color w:val="111111"/>
          <w:spacing w:val="0"/>
          <w:sz w:val="24"/>
          <w:szCs w:val="24"/>
          <w:shd w:val="clear" w:fill="F9FAFB"/>
        </w:rPr>
      </w:pPr>
      <w:r>
        <w:rPr>
          <w:rFonts w:hint="default" w:ascii="Times New Roman" w:hAnsi="Times New Roman" w:eastAsia="sans-serif" w:cs="Times New Roman"/>
          <w:i w:val="0"/>
          <w:iCs w:val="0"/>
          <w:caps w:val="0"/>
          <w:color w:val="111111"/>
          <w:spacing w:val="0"/>
          <w:sz w:val="24"/>
          <w:szCs w:val="24"/>
          <w:shd w:val="clear" w:fill="F9FAFB"/>
        </w:rPr>
        <w:t xml:space="preserve">In the context of domestic arbitration in India, third-party funding is a concept where an external entity provides financial support to one of the parties involved in the arbitration proceedings in exchange for a share in the outcome. This practice has gained traction globally as it allows parties with limited resources to pursue arbitration without bearing the financial risks associated with it. However, in India, the legality and ethical considerations surrounding third-party funding in domestic arbitration are still evolving. The Arbitration and Conciliation Act, 1996 does not explicitly address third-party funding, leading to uncertainty in its application. </w:t>
      </w:r>
    </w:p>
    <w:p>
      <w:pPr>
        <w:spacing w:line="360" w:lineRule="auto"/>
        <w:jc w:val="both"/>
        <w:rPr>
          <w:rFonts w:hint="default" w:ascii="Times New Roman" w:hAnsi="Times New Roman" w:cs="Times New Roman"/>
          <w:b w:val="0"/>
          <w:bCs w:val="0"/>
          <w:i w:val="0"/>
          <w:iCs w:val="0"/>
          <w:caps/>
          <w:color w:val="111111"/>
          <w:spacing w:val="0"/>
          <w:sz w:val="24"/>
          <w:szCs w:val="24"/>
          <w:shd w:val="clear" w:fill="FFFFFF"/>
          <w:lang w:val="en-IN"/>
        </w:rPr>
      </w:pPr>
      <w:r>
        <w:rPr>
          <w:rFonts w:hint="default" w:ascii="Times New Roman" w:hAnsi="Times New Roman" w:eastAsia="sans-serif"/>
          <w:b w:val="0"/>
          <w:bCs w:val="0"/>
          <w:i w:val="0"/>
          <w:iCs w:val="0"/>
          <w:caps w:val="0"/>
          <w:color w:val="111111"/>
          <w:spacing w:val="0"/>
          <w:sz w:val="24"/>
          <w:szCs w:val="24"/>
          <w:shd w:val="clear" w:fill="F9FAFB"/>
          <w:lang w:val="en-IN"/>
        </w:rPr>
        <w:t xml:space="preserve">A primary challenge that arises in TPF is the impartiality or potential bias in the arbitration process. When a third party is involved, questions may arise about the independence and fairness of the arbitration proceedings, as outlined in Section 12 of the Act. This section requires arbitrators to disclose any relationships that could affect their impartiality when they are appointed, to prevent challenges to the process later on. Another challenge involves maintaining confidentiality when adopting TPF. Confidentiality is a crucial aspect of arbitration.However, maintaining such confidentiality becomes challenging when involving external parties in the process. Section 2(1)(h) of the Act defines a "party" as the person involved in the arbitration agreement, excluding funders who are considered non-parties. </w:t>
      </w:r>
      <w:r>
        <w:rPr>
          <w:rFonts w:hint="default" w:ascii="Times New Roman" w:hAnsi="Times New Roman" w:eastAsia="sans-serif"/>
          <w:b w:val="0"/>
          <w:bCs w:val="0"/>
          <w:i w:val="0"/>
          <w:iCs w:val="0"/>
          <w:color w:val="111111"/>
          <w:spacing w:val="0"/>
          <w:sz w:val="24"/>
          <w:szCs w:val="24"/>
          <w:shd w:val="clear" w:fill="F9FAFB"/>
          <w:lang w:val="en-IN"/>
        </w:rPr>
        <w:t>T</w:t>
      </w:r>
      <w:r>
        <w:rPr>
          <w:rFonts w:hint="default" w:ascii="Times New Roman" w:hAnsi="Times New Roman" w:eastAsia="sans-serif"/>
          <w:b w:val="0"/>
          <w:bCs w:val="0"/>
          <w:i w:val="0"/>
          <w:iCs w:val="0"/>
          <w:caps w:val="0"/>
          <w:color w:val="111111"/>
          <w:spacing w:val="0"/>
          <w:sz w:val="24"/>
          <w:szCs w:val="24"/>
          <w:shd w:val="clear" w:fill="F9FAFB"/>
          <w:lang w:val="en-IN"/>
        </w:rPr>
        <w:t xml:space="preserve">he following case </w:t>
      </w:r>
      <w:r>
        <w:rPr>
          <w:rFonts w:hint="default" w:ascii="Times New Roman" w:hAnsi="Times New Roman" w:eastAsia="sans-serif"/>
          <w:b w:val="0"/>
          <w:bCs w:val="0"/>
          <w:i w:val="0"/>
          <w:iCs w:val="0"/>
          <w:caps w:val="0"/>
          <w:color w:val="111111"/>
          <w:spacing w:val="0"/>
          <w:sz w:val="24"/>
          <w:szCs w:val="24"/>
          <w:u w:val="none"/>
          <w:shd w:val="clear" w:fill="F9FAFB"/>
          <w:lang w:val="en-IN"/>
        </w:rPr>
        <w:fldChar w:fldCharType="begin"/>
      </w:r>
      <w:r>
        <w:rPr>
          <w:rFonts w:hint="default" w:ascii="Times New Roman" w:hAnsi="Times New Roman" w:eastAsia="sans-serif"/>
          <w:b w:val="0"/>
          <w:bCs w:val="0"/>
          <w:i w:val="0"/>
          <w:iCs w:val="0"/>
          <w:caps w:val="0"/>
          <w:color w:val="111111"/>
          <w:spacing w:val="0"/>
          <w:sz w:val="24"/>
          <w:szCs w:val="24"/>
          <w:u w:val="none"/>
          <w:shd w:val="clear" w:fill="F9FAFB"/>
          <w:lang w:val="en-IN"/>
        </w:rPr>
        <w:instrText xml:space="preserve"> HYPERLINK "https://www.casemine.com/judgement/in/620be54f9fca19159117b3ff" </w:instrText>
      </w:r>
      <w:r>
        <w:rPr>
          <w:rFonts w:hint="default" w:ascii="Times New Roman" w:hAnsi="Times New Roman" w:eastAsia="sans-serif"/>
          <w:b w:val="0"/>
          <w:bCs w:val="0"/>
          <w:i w:val="0"/>
          <w:iCs w:val="0"/>
          <w:caps w:val="0"/>
          <w:color w:val="111111"/>
          <w:spacing w:val="0"/>
          <w:sz w:val="24"/>
          <w:szCs w:val="24"/>
          <w:u w:val="none"/>
          <w:shd w:val="clear" w:fill="F9FAFB"/>
          <w:lang w:val="en-IN"/>
        </w:rPr>
        <w:fldChar w:fldCharType="separate"/>
      </w:r>
      <w:r>
        <w:rPr>
          <w:rStyle w:val="13"/>
          <w:rFonts w:hint="default" w:ascii="Times New Roman" w:hAnsi="Times New Roman" w:eastAsia="sans-serif"/>
          <w:b w:val="0"/>
          <w:bCs w:val="0"/>
          <w:i w:val="0"/>
          <w:iCs w:val="0"/>
          <w:caps w:val="0"/>
          <w:color w:val="111111"/>
          <w:spacing w:val="0"/>
          <w:sz w:val="24"/>
          <w:szCs w:val="24"/>
          <w:u w:val="none"/>
          <w:shd w:val="clear" w:fill="F9FAFB"/>
          <w:lang w:val="en-IN"/>
        </w:rPr>
        <w:t>Amazon Com NV Investment Holdings v/s Future Coupons Private Limited and Others( Delhi High Court, 2021)</w:t>
      </w:r>
      <w:r>
        <w:rPr>
          <w:rStyle w:val="13"/>
          <w:rFonts w:hint="default" w:ascii="Times New Roman" w:hAnsi="Times New Roman" w:eastAsia="sans-serif"/>
          <w:b w:val="0"/>
          <w:bCs w:val="0"/>
          <w:i w:val="0"/>
          <w:iCs w:val="0"/>
          <w:caps w:val="0"/>
          <w:color w:val="111111"/>
          <w:spacing w:val="0"/>
          <w:sz w:val="24"/>
          <w:szCs w:val="24"/>
          <w:u w:val="none"/>
          <w:shd w:val="clear" w:fill="F9FAFB"/>
          <w:lang w:val="en-IN"/>
        </w:rPr>
        <w:endnoteReference w:id="5"/>
      </w:r>
      <w:r>
        <w:rPr>
          <w:rStyle w:val="13"/>
          <w:rFonts w:hint="default" w:ascii="Times New Roman" w:hAnsi="Times New Roman" w:eastAsia="sans-serif"/>
          <w:b w:val="0"/>
          <w:bCs w:val="0"/>
          <w:i w:val="0"/>
          <w:iCs w:val="0"/>
          <w:caps w:val="0"/>
          <w:color w:val="111111"/>
          <w:spacing w:val="0"/>
          <w:sz w:val="24"/>
          <w:szCs w:val="24"/>
          <w:u w:val="none"/>
          <w:shd w:val="clear" w:fill="F9FAFB"/>
          <w:lang w:val="en-IN"/>
        </w:rPr>
        <w:t xml:space="preserve"> </w:t>
      </w:r>
      <w:r>
        <w:rPr>
          <w:rFonts w:hint="default" w:ascii="Times New Roman" w:hAnsi="Times New Roman" w:eastAsia="sans-serif"/>
          <w:b w:val="0"/>
          <w:bCs w:val="0"/>
          <w:i w:val="0"/>
          <w:iCs w:val="0"/>
          <w:caps w:val="0"/>
          <w:color w:val="111111"/>
          <w:spacing w:val="0"/>
          <w:sz w:val="24"/>
          <w:szCs w:val="24"/>
          <w:u w:val="none"/>
          <w:shd w:val="clear" w:fill="F9FAFB"/>
          <w:lang w:val="en-IN"/>
        </w:rPr>
        <w:fldChar w:fldCharType="end"/>
      </w:r>
      <w:r>
        <w:rPr>
          <w:rFonts w:hint="default" w:ascii="Times New Roman" w:hAnsi="Times New Roman" w:eastAsia="sans-serif"/>
          <w:b w:val="0"/>
          <w:bCs w:val="0"/>
          <w:i w:val="0"/>
          <w:iCs w:val="0"/>
          <w:caps w:val="0"/>
          <w:color w:val="111111"/>
          <w:spacing w:val="0"/>
          <w:sz w:val="24"/>
          <w:szCs w:val="24"/>
          <w:shd w:val="clear" w:fill="F9FAFB"/>
          <w:lang w:val="en-IN"/>
        </w:rPr>
        <w:t xml:space="preserve"> </w:t>
      </w:r>
      <w:r>
        <w:rPr>
          <w:rFonts w:hint="default" w:ascii="Times New Roman" w:hAnsi="Times New Roman" w:eastAsia="sans-serif"/>
          <w:b w:val="0"/>
          <w:bCs w:val="0"/>
          <w:i w:val="0"/>
          <w:iCs w:val="0"/>
          <w:color w:val="111111"/>
          <w:spacing w:val="0"/>
          <w:sz w:val="24"/>
          <w:szCs w:val="24"/>
          <w:shd w:val="clear" w:fill="F9FAFB"/>
          <w:lang w:val="en-IN"/>
        </w:rPr>
        <w:t>T</w:t>
      </w:r>
      <w:r>
        <w:rPr>
          <w:rFonts w:hint="default" w:ascii="Times New Roman" w:hAnsi="Times New Roman" w:eastAsia="sans-serif"/>
          <w:b w:val="0"/>
          <w:bCs w:val="0"/>
          <w:i w:val="0"/>
          <w:iCs w:val="0"/>
          <w:caps w:val="0"/>
          <w:color w:val="111111"/>
          <w:spacing w:val="0"/>
          <w:sz w:val="24"/>
          <w:szCs w:val="24"/>
          <w:shd w:val="clear" w:fill="F9FAFB"/>
          <w:lang w:val="en-IN"/>
        </w:rPr>
        <w:t xml:space="preserve">his judgement provided insights into third-party funding in arbitration and the evolving legal landscape surrounding it in domestic arbitration in India. </w:t>
      </w:r>
    </w:p>
    <w:p>
      <w:pPr>
        <w:bidi w:val="0"/>
        <w:spacing w:line="360" w:lineRule="auto"/>
        <w:jc w:val="both"/>
        <w:rPr>
          <w:rFonts w:hint="default" w:ascii="Times New Roman" w:hAnsi="Times New Roman" w:eastAsia="sans-serif"/>
          <w:b w:val="0"/>
          <w:bCs w:val="0"/>
          <w:i w:val="0"/>
          <w:iCs w:val="0"/>
          <w:caps w:val="0"/>
          <w:color w:val="111111"/>
          <w:spacing w:val="0"/>
          <w:sz w:val="24"/>
          <w:szCs w:val="24"/>
          <w:shd w:val="clear" w:fill="F9FAFB"/>
          <w:lang w:val="en-IN"/>
        </w:rPr>
      </w:pPr>
      <w:r>
        <w:rPr>
          <w:rFonts w:hint="default" w:ascii="Times New Roman" w:hAnsi="Times New Roman" w:eastAsia="sans-serif"/>
          <w:b w:val="0"/>
          <w:bCs w:val="0"/>
          <w:i w:val="0"/>
          <w:iCs w:val="0"/>
          <w:caps w:val="0"/>
          <w:color w:val="111111"/>
          <w:spacing w:val="0"/>
          <w:sz w:val="24"/>
          <w:szCs w:val="24"/>
          <w:shd w:val="clear" w:fill="F9FAFB"/>
          <w:lang w:val="en-IN"/>
        </w:rPr>
        <w:t xml:space="preserve">Considering funders as parties under TPF might not be advisable, as it could grant them equal status with the actual parties, potentially disrupting the balance of the arbitration process. </w:t>
      </w:r>
    </w:p>
    <w:p>
      <w:pPr>
        <w:bidi w:val="0"/>
        <w:spacing w:line="360" w:lineRule="auto"/>
        <w:jc w:val="both"/>
        <w:rPr>
          <w:rFonts w:hint="default" w:ascii="Times New Roman" w:hAnsi="Times New Roman" w:eastAsia="sans-serif" w:cs="Times New Roman"/>
          <w:i w:val="0"/>
          <w:iCs w:val="0"/>
          <w:caps w:val="0"/>
          <w:color w:val="111111"/>
          <w:spacing w:val="0"/>
          <w:sz w:val="24"/>
          <w:szCs w:val="24"/>
          <w:shd w:val="clear" w:fill="F9FAFB"/>
          <w:lang w:val="en-IN"/>
        </w:rPr>
      </w:pPr>
      <w:r>
        <w:rPr>
          <w:rFonts w:hint="default" w:ascii="Times New Roman" w:hAnsi="Times New Roman"/>
          <w:b/>
          <w:bCs/>
          <w:i w:val="0"/>
          <w:iCs w:val="0"/>
          <w:caps/>
          <w:color w:val="111111"/>
          <w:spacing w:val="0"/>
          <w:sz w:val="24"/>
          <w:szCs w:val="24"/>
          <w:shd w:val="clear" w:fill="FFFFFF"/>
          <w:lang w:val="en-IN"/>
        </w:rPr>
        <w:t xml:space="preserve">NOVEL CONTOURS </w:t>
      </w:r>
      <w:r>
        <w:rPr>
          <w:rFonts w:hint="default" w:ascii="Times New Roman" w:hAnsi="Times New Roman" w:eastAsia="sans-serif" w:cs="Times New Roman"/>
          <w:b/>
          <w:bCs/>
          <w:i w:val="0"/>
          <w:iCs w:val="0"/>
          <w:caps w:val="0"/>
          <w:color w:val="111111"/>
          <w:spacing w:val="0"/>
          <w:sz w:val="24"/>
          <w:szCs w:val="24"/>
          <w:shd w:val="clear" w:fill="F9FAFB"/>
          <w:lang w:val="en-IN"/>
        </w:rPr>
        <w:t xml:space="preserve">OF GROUP OF COMPANIES DOCTORINE IN INDIA: </w:t>
      </w:r>
    </w:p>
    <w:p>
      <w:pPr>
        <w:spacing w:line="360" w:lineRule="auto"/>
        <w:jc w:val="both"/>
        <w:rPr>
          <w:rFonts w:hint="default" w:ascii="Times New Roman" w:hAnsi="Times New Roman"/>
          <w:sz w:val="24"/>
          <w:szCs w:val="24"/>
          <w:lang w:val="en-IN"/>
        </w:rPr>
      </w:pPr>
      <w:r>
        <w:rPr>
          <w:rFonts w:hint="default" w:ascii="Times New Roman" w:hAnsi="Times New Roman" w:cs="Times New Roman"/>
          <w:sz w:val="24"/>
          <w:szCs w:val="24"/>
          <w:lang w:val="en-IN"/>
        </w:rPr>
        <w:t xml:space="preserve">The Group of Companies Doctrine is a legal principle that allows a non-signatory entity to be bound by an arbitration agreement if certain conditions are met, such as a clear intention of all parties to bind both signatory and non-signatory entities within the same group. In Indian it’s jurisprudence has evolved and now Understanding the nuances of this doctrine is crucial for parties involved in arbitration involving multiple entities within a corporate group. </w:t>
      </w:r>
      <w:r>
        <w:rPr>
          <w:rFonts w:hint="default" w:ascii="Times New Roman" w:hAnsi="Times New Roman"/>
          <w:sz w:val="24"/>
          <w:szCs w:val="24"/>
          <w:lang w:val="en-IN"/>
        </w:rPr>
        <w:t xml:space="preserve">in the following judgement of </w:t>
      </w:r>
      <w:r>
        <w:rPr>
          <w:rFonts w:hint="default" w:ascii="Times New Roman" w:hAnsi="Times New Roman"/>
          <w:sz w:val="24"/>
          <w:szCs w:val="24"/>
          <w:u w:val="none"/>
          <w:lang w:val="en-IN"/>
        </w:rPr>
        <w:fldChar w:fldCharType="begin"/>
      </w:r>
      <w:r>
        <w:rPr>
          <w:rFonts w:hint="default" w:ascii="Times New Roman" w:hAnsi="Times New Roman"/>
          <w:sz w:val="24"/>
          <w:szCs w:val="24"/>
          <w:u w:val="none"/>
          <w:lang w:val="en-IN"/>
        </w:rPr>
        <w:instrText xml:space="preserve"> HYPERLINK "https://www.casemine.com/judgement/in/66215b08f7602038366e7592" </w:instrText>
      </w:r>
      <w:r>
        <w:rPr>
          <w:rFonts w:hint="default" w:ascii="Times New Roman" w:hAnsi="Times New Roman"/>
          <w:sz w:val="24"/>
          <w:szCs w:val="24"/>
          <w:u w:val="none"/>
          <w:lang w:val="en-IN"/>
        </w:rPr>
        <w:fldChar w:fldCharType="separate"/>
      </w:r>
      <w:r>
        <w:rPr>
          <w:rStyle w:val="13"/>
          <w:rFonts w:hint="default" w:ascii="Times New Roman" w:hAnsi="Times New Roman"/>
          <w:sz w:val="24"/>
          <w:szCs w:val="24"/>
          <w:u w:val="none"/>
          <w:lang w:val="en-IN"/>
        </w:rPr>
        <w:t>Choloro Controls India (P) Ltd v/s Severn Trent Water Purification Inc (2012)</w:t>
      </w:r>
      <w:r>
        <w:rPr>
          <w:rFonts w:hint="default" w:ascii="Times New Roman" w:hAnsi="Times New Roman"/>
          <w:sz w:val="24"/>
          <w:szCs w:val="24"/>
          <w:u w:val="none"/>
          <w:lang w:val="en-IN"/>
        </w:rPr>
        <w:fldChar w:fldCharType="end"/>
      </w:r>
      <w:r>
        <w:rPr>
          <w:rStyle w:val="8"/>
          <w:rFonts w:hint="default" w:ascii="Times New Roman" w:hAnsi="Times New Roman"/>
          <w:sz w:val="24"/>
          <w:szCs w:val="24"/>
          <w:u w:val="none"/>
          <w:lang w:val="en-IN"/>
        </w:rPr>
        <w:endnoteReference w:id="6"/>
      </w:r>
      <w:r>
        <w:rPr>
          <w:rFonts w:hint="default" w:ascii="Times New Roman" w:hAnsi="Times New Roman"/>
          <w:sz w:val="24"/>
          <w:szCs w:val="24"/>
          <w:lang w:val="en-IN"/>
        </w:rPr>
        <w:t>, the Supreme Court (SC) of India invoked the group of companies doctrine for the first time, interpreting Section 45 of the Indian Arbitration and Conciliation Act, 1996. Section 45 grants judicial authority the power to refer parties to arbitration seated in a foreign jurisdiction upon request. The Court elucidated that this provision expands the scope of arbitration agreements beyond the signatory parties to include non-signatories. However, the Court emphasized that non-signatories can only be bound if the signatory parties express their clear intention to include them.</w:t>
      </w:r>
    </w:p>
    <w:p>
      <w:pPr>
        <w:spacing w:line="360" w:lineRule="auto"/>
        <w:jc w:val="both"/>
        <w:rPr>
          <w:rFonts w:hint="default" w:ascii="Times New Roman" w:hAnsi="Times New Roman"/>
          <w:sz w:val="24"/>
          <w:szCs w:val="24"/>
          <w:lang w:val="en-IN"/>
        </w:rPr>
      </w:pPr>
      <w:r>
        <w:rPr>
          <w:rFonts w:hint="default" w:ascii="Times New Roman" w:hAnsi="Times New Roman"/>
          <w:sz w:val="24"/>
          <w:szCs w:val="24"/>
          <w:lang w:val="en-IN"/>
        </w:rPr>
        <w:t xml:space="preserve">In the subsequent case of </w:t>
      </w:r>
      <w:r>
        <w:rPr>
          <w:rFonts w:hint="default" w:ascii="Times New Roman" w:hAnsi="Times New Roman"/>
          <w:sz w:val="24"/>
          <w:szCs w:val="24"/>
          <w:u w:val="none"/>
          <w:lang w:val="en-IN"/>
        </w:rPr>
        <w:fldChar w:fldCharType="begin"/>
      </w:r>
      <w:r>
        <w:rPr>
          <w:rFonts w:hint="default" w:ascii="Times New Roman" w:hAnsi="Times New Roman"/>
          <w:sz w:val="24"/>
          <w:szCs w:val="24"/>
          <w:u w:val="none"/>
          <w:lang w:val="en-IN"/>
        </w:rPr>
        <w:instrText xml:space="preserve"> HYPERLINK "https://www.casemine.com/judgement/in/6276c8c2b50db91e885055b0" \l "p_24" </w:instrText>
      </w:r>
      <w:r>
        <w:rPr>
          <w:rFonts w:hint="default" w:ascii="Times New Roman" w:hAnsi="Times New Roman"/>
          <w:sz w:val="24"/>
          <w:szCs w:val="24"/>
          <w:u w:val="none"/>
          <w:lang w:val="en-IN"/>
        </w:rPr>
        <w:fldChar w:fldCharType="separate"/>
      </w:r>
      <w:r>
        <w:rPr>
          <w:rStyle w:val="13"/>
          <w:rFonts w:hint="default" w:ascii="Times New Roman" w:hAnsi="Times New Roman"/>
          <w:sz w:val="24"/>
          <w:szCs w:val="24"/>
          <w:u w:val="none"/>
          <w:lang w:val="en-IN"/>
        </w:rPr>
        <w:t>Cox and Kings v/s SAP (2023)</w:t>
      </w:r>
      <w:r>
        <w:rPr>
          <w:rFonts w:hint="default" w:ascii="Times New Roman" w:hAnsi="Times New Roman"/>
          <w:sz w:val="24"/>
          <w:szCs w:val="24"/>
          <w:u w:val="none"/>
          <w:lang w:val="en-IN"/>
        </w:rPr>
        <w:fldChar w:fldCharType="end"/>
      </w:r>
      <w:r>
        <w:rPr>
          <w:rStyle w:val="8"/>
          <w:rFonts w:hint="default" w:ascii="Times New Roman" w:hAnsi="Times New Roman"/>
          <w:sz w:val="24"/>
          <w:szCs w:val="24"/>
          <w:u w:val="none"/>
          <w:lang w:val="en-IN"/>
        </w:rPr>
        <w:endnoteReference w:id="7"/>
      </w:r>
      <w:r>
        <w:rPr>
          <w:rFonts w:hint="default" w:ascii="Times New Roman" w:hAnsi="Times New Roman"/>
          <w:sz w:val="24"/>
          <w:szCs w:val="24"/>
          <w:lang w:val="en-IN"/>
        </w:rPr>
        <w:t>, the SC examined the validity of the group of companies doctrine under Indian law. The Court established guidelines for applying the doctrine;</w:t>
      </w:r>
    </w:p>
    <w:p>
      <w:pPr>
        <w:numPr>
          <w:ilvl w:val="0"/>
          <w:numId w:val="2"/>
        </w:numPr>
        <w:spacing w:line="360" w:lineRule="auto"/>
        <w:jc w:val="both"/>
        <w:rPr>
          <w:rFonts w:hint="default" w:ascii="Times New Roman" w:hAnsi="Times New Roman"/>
          <w:sz w:val="24"/>
          <w:szCs w:val="24"/>
          <w:lang w:val="en-IN"/>
        </w:rPr>
      </w:pPr>
      <w:r>
        <w:rPr>
          <w:rFonts w:hint="default" w:ascii="Times New Roman" w:hAnsi="Times New Roman"/>
          <w:sz w:val="24"/>
          <w:szCs w:val="24"/>
          <w:lang w:val="en-IN"/>
        </w:rPr>
        <w:t>the need for consensus ad idem among the parties,</w:t>
      </w:r>
    </w:p>
    <w:p>
      <w:pPr>
        <w:numPr>
          <w:ilvl w:val="0"/>
          <w:numId w:val="2"/>
        </w:numPr>
        <w:spacing w:line="360" w:lineRule="auto"/>
        <w:ind w:left="0" w:leftChars="0" w:firstLine="0" w:firstLineChars="0"/>
        <w:jc w:val="both"/>
        <w:rPr>
          <w:rFonts w:hint="default" w:ascii="Times New Roman" w:hAnsi="Times New Roman"/>
          <w:sz w:val="24"/>
          <w:szCs w:val="24"/>
          <w:lang w:val="en-IN"/>
        </w:rPr>
      </w:pPr>
      <w:r>
        <w:rPr>
          <w:rFonts w:hint="default" w:ascii="Times New Roman" w:hAnsi="Times New Roman"/>
          <w:sz w:val="24"/>
          <w:szCs w:val="24"/>
          <w:lang w:val="en-IN"/>
        </w:rPr>
        <w:t>the existence of a relationship between signatory and non-signatory parties,</w:t>
      </w:r>
    </w:p>
    <w:p>
      <w:pPr>
        <w:spacing w:line="360" w:lineRule="auto"/>
        <w:jc w:val="both"/>
        <w:rPr>
          <w:rFonts w:hint="default" w:ascii="Times New Roman" w:hAnsi="Times New Roman"/>
          <w:sz w:val="24"/>
          <w:szCs w:val="24"/>
          <w:lang w:val="en-IN"/>
        </w:rPr>
      </w:pPr>
      <w:r>
        <w:rPr>
          <w:rFonts w:hint="default" w:ascii="Times New Roman" w:hAnsi="Times New Roman"/>
          <w:sz w:val="24"/>
          <w:szCs w:val="24"/>
          <w:lang w:val="en-IN"/>
        </w:rPr>
        <w:t xml:space="preserve">3) common subject matter, </w:t>
      </w:r>
    </w:p>
    <w:p>
      <w:pPr>
        <w:spacing w:line="360" w:lineRule="auto"/>
        <w:jc w:val="both"/>
        <w:rPr>
          <w:rFonts w:hint="default" w:ascii="Times New Roman" w:hAnsi="Times New Roman"/>
          <w:sz w:val="24"/>
          <w:szCs w:val="24"/>
          <w:lang w:val="en-IN"/>
        </w:rPr>
      </w:pPr>
      <w:r>
        <w:rPr>
          <w:rFonts w:hint="default" w:ascii="Times New Roman" w:hAnsi="Times New Roman"/>
          <w:sz w:val="24"/>
          <w:szCs w:val="24"/>
          <w:lang w:val="en-IN"/>
        </w:rPr>
        <w:t xml:space="preserve">4) hybrid nature of the transaction, </w:t>
      </w:r>
    </w:p>
    <w:p>
      <w:pPr>
        <w:spacing w:line="360" w:lineRule="auto"/>
        <w:jc w:val="both"/>
        <w:rPr>
          <w:rFonts w:hint="default" w:ascii="Times New Roman" w:hAnsi="Times New Roman"/>
          <w:sz w:val="24"/>
          <w:szCs w:val="24"/>
          <w:lang w:val="en-IN"/>
        </w:rPr>
      </w:pPr>
      <w:r>
        <w:rPr>
          <w:rFonts w:hint="default" w:ascii="Times New Roman" w:hAnsi="Times New Roman"/>
          <w:sz w:val="24"/>
          <w:szCs w:val="24"/>
          <w:lang w:val="en-IN"/>
        </w:rPr>
        <w:t xml:space="preserve">5) evidence of performance. </w:t>
      </w:r>
    </w:p>
    <w:p>
      <w:pPr>
        <w:spacing w:line="360" w:lineRule="auto"/>
        <w:jc w:val="both"/>
        <w:rPr>
          <w:rFonts w:hint="default" w:ascii="Times New Roman" w:hAnsi="Times New Roman"/>
          <w:sz w:val="24"/>
          <w:szCs w:val="24"/>
          <w:lang w:val="en-IN"/>
        </w:rPr>
      </w:pPr>
      <w:r>
        <w:rPr>
          <w:rFonts w:hint="default" w:ascii="Times New Roman" w:hAnsi="Times New Roman"/>
          <w:sz w:val="24"/>
          <w:szCs w:val="24"/>
          <w:lang w:val="en-IN"/>
        </w:rPr>
        <w:t xml:space="preserve">Additionally, the Court clarified that mere membership in a group of companies does not automatically extend the arbitration agreement to a non-signatory party.  </w:t>
      </w:r>
    </w:p>
    <w:p>
      <w:pPr>
        <w:spacing w:line="360" w:lineRule="auto"/>
        <w:jc w:val="both"/>
        <w:rPr>
          <w:rFonts w:hint="default" w:ascii="Times New Roman" w:hAnsi="Times New Roman" w:eastAsia="sans-serif" w:cs="Times New Roman"/>
          <w:b/>
          <w:bCs/>
          <w:i w:val="0"/>
          <w:iCs w:val="0"/>
          <w:caps w:val="0"/>
          <w:color w:val="111111"/>
          <w:spacing w:val="0"/>
          <w:sz w:val="24"/>
          <w:szCs w:val="24"/>
          <w:shd w:val="clear" w:fill="F9FAFB"/>
          <w:lang w:val="en-IN"/>
        </w:rPr>
      </w:pPr>
      <w:r>
        <w:rPr>
          <w:rFonts w:hint="default" w:ascii="Times New Roman" w:hAnsi="Times New Roman" w:eastAsia="sans-serif" w:cs="Times New Roman"/>
          <w:b/>
          <w:bCs/>
          <w:i w:val="0"/>
          <w:iCs w:val="0"/>
          <w:caps w:val="0"/>
          <w:color w:val="111111"/>
          <w:spacing w:val="0"/>
          <w:sz w:val="24"/>
          <w:szCs w:val="24"/>
          <w:shd w:val="clear" w:fill="F9FAFB"/>
        </w:rPr>
        <w:t>P</w:t>
      </w:r>
      <w:r>
        <w:rPr>
          <w:rFonts w:hint="default" w:ascii="Times New Roman" w:hAnsi="Times New Roman" w:eastAsia="sans-serif" w:cs="Times New Roman"/>
          <w:b/>
          <w:bCs/>
          <w:i w:val="0"/>
          <w:iCs w:val="0"/>
          <w:caps w:val="0"/>
          <w:color w:val="111111"/>
          <w:spacing w:val="0"/>
          <w:sz w:val="24"/>
          <w:szCs w:val="24"/>
          <w:shd w:val="clear" w:fill="F9FAFB"/>
          <w:lang w:val="en-IN"/>
        </w:rPr>
        <w:t>RE-LITIGATION MEDIATION IN THE WAKE OF MEDIATION ACT, 2023:</w:t>
      </w:r>
    </w:p>
    <w:p>
      <w:pPr>
        <w:spacing w:line="360" w:lineRule="auto"/>
        <w:jc w:val="both"/>
        <w:rPr>
          <w:rFonts w:hint="default" w:ascii="Times New Roman" w:hAnsi="Times New Roman" w:cs="Times New Roman"/>
          <w:sz w:val="24"/>
          <w:szCs w:val="24"/>
          <w:lang w:val="en-IN"/>
        </w:rPr>
      </w:pPr>
      <w:r>
        <w:rPr>
          <w:rFonts w:hint="default" w:ascii="Times New Roman" w:hAnsi="Times New Roman" w:cs="Times New Roman"/>
          <w:sz w:val="24"/>
          <w:szCs w:val="24"/>
          <w:lang w:val="en-IN"/>
        </w:rPr>
        <w:t>The Mediation Act, 2023 introduced significant reforms to the pre-litigation mediation process in India, aiming to promote amicable dispute resolution and reduce the burden on the judicial system. This Act outlines the roles of mediators, parties, and legal representatives. It also emphasizes confidentiality, neutrality, and voluntary participation in mediation proceedings.</w:t>
      </w:r>
      <w:r>
        <w:rPr>
          <w:rFonts w:hint="default" w:ascii="Times New Roman" w:hAnsi="Times New Roman" w:eastAsia="sans-serif" w:cs="Times New Roman"/>
          <w:i w:val="0"/>
          <w:iCs w:val="0"/>
          <w:caps w:val="0"/>
          <w:color w:val="111111"/>
          <w:spacing w:val="0"/>
          <w:sz w:val="24"/>
          <w:szCs w:val="24"/>
          <w:shd w:val="clear" w:fill="F9FAFB"/>
          <w:lang w:val="en-IN"/>
        </w:rPr>
        <w:t xml:space="preserve"> </w:t>
      </w:r>
      <w:r>
        <w:rPr>
          <w:rFonts w:hint="default" w:ascii="Times New Roman" w:hAnsi="Times New Roman" w:cs="Times New Roman"/>
          <w:sz w:val="24"/>
          <w:szCs w:val="24"/>
          <w:lang w:val="en-IN"/>
        </w:rPr>
        <w:t xml:space="preserve">Parties are encouraged to engage in mediation processes to explore mutually beneficial solutions and avoid prolonged litigation. </w:t>
      </w:r>
    </w:p>
    <w:p>
      <w:pPr>
        <w:spacing w:line="360" w:lineRule="auto"/>
        <w:jc w:val="both"/>
        <w:rPr>
          <w:rFonts w:hint="default" w:ascii="Times New Roman" w:hAnsi="Times New Roman" w:eastAsia="sans-serif" w:cs="Times New Roman"/>
          <w:b w:val="0"/>
          <w:bCs w:val="0"/>
          <w:i w:val="0"/>
          <w:iCs w:val="0"/>
          <w:caps w:val="0"/>
          <w:color w:val="111111"/>
          <w:spacing w:val="0"/>
          <w:sz w:val="24"/>
          <w:szCs w:val="24"/>
          <w:shd w:val="clear" w:fill="F9FAFB"/>
          <w:lang w:val="en-IN"/>
        </w:rPr>
      </w:pPr>
      <w:r>
        <w:rPr>
          <w:rFonts w:hint="default" w:ascii="Times New Roman" w:hAnsi="Times New Roman"/>
          <w:b w:val="0"/>
          <w:bCs w:val="0"/>
          <w:sz w:val="24"/>
          <w:szCs w:val="24"/>
          <w:lang w:val="en-IN"/>
        </w:rPr>
        <w:t>The mediation act sheds light on matters such as; disputes which are not fit for mediation, applicability of mediation act, mediation process according to which resolution must be confidential and be completed within 180 days. Trial may extend 180 days if parties need and they can only opt out of it after 2 sessions. Parties can move to court before commencement or during mediation for interim relief only in exceptional circumstances. In</w:t>
      </w:r>
      <w:r>
        <w:rPr>
          <w:rStyle w:val="13"/>
          <w:rFonts w:hint="default" w:ascii="Times New Roman" w:hAnsi="Times New Roman" w:cs="Times New Roman"/>
          <w:b w:val="0"/>
          <w:bCs w:val="0"/>
          <w:sz w:val="24"/>
          <w:szCs w:val="24"/>
          <w:u w:val="none"/>
          <w:lang w:val="en-IN"/>
        </w:rPr>
        <w:t xml:space="preserve"> </w:t>
      </w:r>
      <w:r>
        <w:rPr>
          <w:rStyle w:val="13"/>
          <w:rFonts w:hint="default" w:ascii="Times New Roman" w:hAnsi="Times New Roman" w:cs="Times New Roman"/>
          <w:b w:val="0"/>
          <w:bCs w:val="0"/>
          <w:sz w:val="24"/>
          <w:szCs w:val="24"/>
          <w:u w:val="none"/>
          <w:lang w:val="en-IN"/>
        </w:rPr>
        <w:fldChar w:fldCharType="begin"/>
      </w:r>
      <w:r>
        <w:rPr>
          <w:rStyle w:val="13"/>
          <w:rFonts w:hint="default" w:ascii="Times New Roman" w:hAnsi="Times New Roman" w:cs="Times New Roman"/>
          <w:b w:val="0"/>
          <w:bCs w:val="0"/>
          <w:sz w:val="24"/>
          <w:szCs w:val="24"/>
          <w:u w:val="none"/>
          <w:lang w:val="en-IN"/>
        </w:rPr>
        <w:instrText xml:space="preserve"> HYPERLINK "https://www.casemine.com/judgement/in/65772157bc53f62112891bf9" \l "p_127" </w:instrText>
      </w:r>
      <w:r>
        <w:rPr>
          <w:rStyle w:val="13"/>
          <w:rFonts w:hint="default" w:ascii="Times New Roman" w:hAnsi="Times New Roman" w:cs="Times New Roman"/>
          <w:b w:val="0"/>
          <w:bCs w:val="0"/>
          <w:sz w:val="24"/>
          <w:szCs w:val="24"/>
          <w:u w:val="none"/>
          <w:lang w:val="en-IN"/>
        </w:rPr>
        <w:fldChar w:fldCharType="separate"/>
      </w:r>
      <w:r>
        <w:rPr>
          <w:rStyle w:val="13"/>
          <w:rFonts w:hint="default" w:ascii="Times New Roman" w:hAnsi="Times New Roman" w:cs="Times New Roman"/>
          <w:b w:val="0"/>
          <w:bCs w:val="0"/>
          <w:sz w:val="24"/>
          <w:szCs w:val="24"/>
          <w:u w:val="none"/>
          <w:lang w:val="en-IN"/>
        </w:rPr>
        <w:t>R. radha @ Radha Ramalingam v/s Madhan Raj Hindu Undivided F (Madras High Court, 2023)</w:t>
      </w:r>
      <w:r>
        <w:rPr>
          <w:rStyle w:val="13"/>
          <w:rFonts w:hint="default" w:ascii="Times New Roman" w:hAnsi="Times New Roman" w:cs="Times New Roman"/>
          <w:b w:val="0"/>
          <w:bCs w:val="0"/>
          <w:sz w:val="24"/>
          <w:szCs w:val="24"/>
          <w:u w:val="none"/>
          <w:lang w:val="en-IN"/>
        </w:rPr>
        <w:fldChar w:fldCharType="end"/>
      </w:r>
      <w:r>
        <w:rPr>
          <w:rStyle w:val="13"/>
          <w:rFonts w:hint="default" w:ascii="Times New Roman" w:hAnsi="Times New Roman" w:cs="Times New Roman"/>
          <w:b w:val="0"/>
          <w:bCs w:val="0"/>
          <w:sz w:val="24"/>
          <w:szCs w:val="24"/>
          <w:u w:val="none"/>
          <w:lang w:val="en-IN"/>
        </w:rPr>
        <w:footnoteReference w:id="0"/>
      </w:r>
      <w:r>
        <w:rPr>
          <w:rStyle w:val="8"/>
          <w:rFonts w:hint="default" w:ascii="Times New Roman" w:hAnsi="Times New Roman" w:cs="Times New Roman"/>
          <w:b w:val="0"/>
          <w:bCs w:val="0"/>
          <w:sz w:val="24"/>
          <w:szCs w:val="24"/>
          <w:u w:val="none"/>
          <w:lang w:val="en-IN"/>
        </w:rPr>
        <w:endnoteReference w:id="8"/>
      </w:r>
      <w:r>
        <w:rPr>
          <w:rFonts w:hint="default" w:ascii="Times New Roman" w:hAnsi="Times New Roman" w:cs="Times New Roman"/>
          <w:i w:val="0"/>
          <w:iCs w:val="0"/>
          <w:caps/>
          <w:color w:val="111111"/>
          <w:spacing w:val="0"/>
          <w:sz w:val="24"/>
          <w:szCs w:val="24"/>
          <w:shd w:val="clear" w:fill="FFFFFF"/>
          <w:lang w:val="en-IN"/>
        </w:rPr>
        <w:t xml:space="preserve"> </w:t>
      </w:r>
      <w:r>
        <w:rPr>
          <w:rFonts w:hint="default" w:ascii="Times New Roman" w:hAnsi="Times New Roman" w:eastAsia="sans-serif" w:cs="Times New Roman"/>
          <w:b w:val="0"/>
          <w:bCs w:val="0"/>
          <w:i w:val="0"/>
          <w:iCs w:val="0"/>
          <w:caps w:val="0"/>
          <w:color w:val="111111"/>
          <w:spacing w:val="0"/>
          <w:sz w:val="24"/>
          <w:szCs w:val="24"/>
          <w:shd w:val="clear" w:fill="F9FAFB"/>
        </w:rPr>
        <w:t>highlights the significance of pre-litigation mediation and the status of settlement agreements reached through mediation under the Arbitration and Conciliation Act, emphasizing the role of lawyers in facilitating effective settlements.</w:t>
      </w:r>
      <w:r>
        <w:rPr>
          <w:rFonts w:hint="default" w:ascii="Times New Roman" w:hAnsi="Times New Roman" w:eastAsia="sans-serif" w:cs="Times New Roman"/>
          <w:b w:val="0"/>
          <w:bCs w:val="0"/>
          <w:i w:val="0"/>
          <w:iCs w:val="0"/>
          <w:caps w:val="0"/>
          <w:color w:val="111111"/>
          <w:spacing w:val="0"/>
          <w:sz w:val="24"/>
          <w:szCs w:val="24"/>
          <w:shd w:val="clear" w:fill="F9FAFB"/>
          <w:lang w:val="en-IN"/>
        </w:rPr>
        <w:t xml:space="preserve"> </w:t>
      </w:r>
    </w:p>
    <w:p>
      <w:pPr>
        <w:pStyle w:val="2"/>
        <w:bidi w:val="0"/>
        <w:spacing w:line="360" w:lineRule="auto"/>
        <w:jc w:val="both"/>
        <w:rPr>
          <w:rFonts w:hint="default" w:ascii="Times New Roman" w:hAnsi="Times New Roman" w:cs="Times New Roman"/>
          <w:sz w:val="24"/>
          <w:szCs w:val="24"/>
          <w:lang w:val="en-IN"/>
        </w:rPr>
      </w:pPr>
      <w:r>
        <w:rPr>
          <w:rFonts w:hint="default" w:ascii="Times New Roman" w:hAnsi="Times New Roman" w:cs="Times New Roman"/>
          <w:sz w:val="24"/>
          <w:szCs w:val="24"/>
          <w:lang w:val="en-IN"/>
        </w:rPr>
        <w:t xml:space="preserve">CONCLUSION: </w:t>
      </w:r>
    </w:p>
    <w:p>
      <w:pPr>
        <w:spacing w:line="360" w:lineRule="auto"/>
        <w:jc w:val="both"/>
        <w:rPr>
          <w:rFonts w:hint="default" w:ascii="Times New Roman" w:hAnsi="Times New Roman" w:eastAsia="__Inter_Fallback_aaf875" w:cs="Times New Roman"/>
          <w:b w:val="0"/>
          <w:bCs w:val="0"/>
          <w:i w:val="0"/>
          <w:iCs w:val="0"/>
          <w:caps w:val="0"/>
          <w:color w:val="000000"/>
          <w:spacing w:val="0"/>
          <w:sz w:val="24"/>
          <w:szCs w:val="24"/>
          <w:lang w:val="en-IN"/>
        </w:rPr>
      </w:pPr>
      <w:r>
        <w:rPr>
          <w:rFonts w:hint="default" w:ascii="Times New Roman" w:hAnsi="Times New Roman" w:eastAsia="__Inter_Fallback_aaf875" w:cs="Times New Roman"/>
          <w:b w:val="0"/>
          <w:bCs w:val="0"/>
          <w:i w:val="0"/>
          <w:iCs w:val="0"/>
          <w:caps w:val="0"/>
          <w:color w:val="000000"/>
          <w:spacing w:val="0"/>
          <w:sz w:val="24"/>
          <w:szCs w:val="24"/>
        </w:rPr>
        <w:t xml:space="preserve">India has a longstanding tradition of resolving disputes outside the formal legal framework, with examples such as nyay </w:t>
      </w:r>
      <w:r>
        <w:rPr>
          <w:rFonts w:hint="default" w:ascii="Times New Roman" w:hAnsi="Times New Roman" w:eastAsia="__Inter_Fallback_aaf875" w:cs="Times New Roman"/>
          <w:b w:val="0"/>
          <w:bCs w:val="0"/>
          <w:i w:val="0"/>
          <w:iCs w:val="0"/>
          <w:caps w:val="0"/>
          <w:color w:val="000000"/>
          <w:spacing w:val="0"/>
          <w:sz w:val="24"/>
          <w:szCs w:val="24"/>
          <w:lang w:val="en-IN"/>
        </w:rPr>
        <w:t>panchayat</w:t>
      </w:r>
      <w:r>
        <w:rPr>
          <w:rFonts w:hint="default" w:ascii="Times New Roman" w:hAnsi="Times New Roman" w:eastAsia="__Inter_Fallback_aaf875" w:cs="Times New Roman"/>
          <w:b w:val="0"/>
          <w:bCs w:val="0"/>
          <w:i w:val="0"/>
          <w:iCs w:val="0"/>
          <w:caps w:val="0"/>
          <w:color w:val="000000"/>
          <w:spacing w:val="0"/>
          <w:sz w:val="24"/>
          <w:szCs w:val="24"/>
        </w:rPr>
        <w:t xml:space="preserve"> or village councils where respected elders or scholars convene to address grievances between parties. However, these practices have historically lacked formal recognition</w:t>
      </w:r>
      <w:r>
        <w:rPr>
          <w:rFonts w:hint="default" w:ascii="Times New Roman" w:hAnsi="Times New Roman" w:eastAsia="__Inter_Fallback_aaf875" w:cs="Times New Roman"/>
          <w:b w:val="0"/>
          <w:bCs w:val="0"/>
          <w:i w:val="0"/>
          <w:iCs w:val="0"/>
          <w:caps w:val="0"/>
          <w:color w:val="000000"/>
          <w:spacing w:val="0"/>
          <w:sz w:val="24"/>
          <w:szCs w:val="24"/>
          <w:lang w:val="en-IN"/>
        </w:rPr>
        <w:t xml:space="preserve"> like litigation. </w:t>
      </w:r>
      <w:r>
        <w:rPr>
          <w:rFonts w:hint="default" w:ascii="Times New Roman" w:hAnsi="Times New Roman" w:eastAsia="__Inter_Fallback_aaf875" w:cs="Times New Roman"/>
          <w:b w:val="0"/>
          <w:bCs w:val="0"/>
          <w:i w:val="0"/>
          <w:iCs w:val="0"/>
          <w:caps w:val="0"/>
          <w:color w:val="000000"/>
          <w:spacing w:val="0"/>
          <w:sz w:val="24"/>
          <w:szCs w:val="24"/>
        </w:rPr>
        <w:t>ADR serves as a complementary avenue for resolu</w:t>
      </w:r>
      <w:r>
        <w:rPr>
          <w:rFonts w:hint="default" w:ascii="Times New Roman" w:hAnsi="Times New Roman" w:eastAsia="__Inter_Fallback_aaf875" w:cs="Times New Roman"/>
          <w:b w:val="0"/>
          <w:bCs w:val="0"/>
          <w:i w:val="0"/>
          <w:iCs w:val="0"/>
          <w:caps w:val="0"/>
          <w:color w:val="000000"/>
          <w:spacing w:val="0"/>
          <w:sz w:val="24"/>
          <w:szCs w:val="24"/>
          <w:lang w:val="en-IN"/>
        </w:rPr>
        <w:t xml:space="preserve">tion </w:t>
      </w:r>
      <w:r>
        <w:rPr>
          <w:rFonts w:hint="default" w:ascii="Times New Roman" w:hAnsi="Times New Roman" w:eastAsia="__Inter_Fallback_aaf875" w:cs="Times New Roman"/>
          <w:b w:val="0"/>
          <w:bCs w:val="0"/>
          <w:i w:val="0"/>
          <w:iCs w:val="0"/>
          <w:caps w:val="0"/>
          <w:color w:val="000000"/>
          <w:spacing w:val="0"/>
          <w:sz w:val="24"/>
          <w:szCs w:val="24"/>
        </w:rPr>
        <w:t xml:space="preserve">with </w:t>
      </w:r>
      <w:r>
        <w:rPr>
          <w:rFonts w:hint="default" w:ascii="Times New Roman" w:hAnsi="Times New Roman" w:eastAsia="__Inter_Fallback_aaf875" w:cs="Times New Roman"/>
          <w:b w:val="0"/>
          <w:bCs w:val="0"/>
          <w:i w:val="0"/>
          <w:iCs w:val="0"/>
          <w:caps w:val="0"/>
          <w:color w:val="000000"/>
          <w:spacing w:val="0"/>
          <w:sz w:val="24"/>
          <w:szCs w:val="24"/>
          <w:lang w:val="en-IN"/>
        </w:rPr>
        <w:t xml:space="preserve">it’s </w:t>
      </w:r>
      <w:r>
        <w:rPr>
          <w:rFonts w:hint="default" w:ascii="Times New Roman" w:hAnsi="Times New Roman" w:eastAsia="__Inter_Fallback_aaf875" w:cs="Times New Roman"/>
          <w:b w:val="0"/>
          <w:bCs w:val="0"/>
          <w:i w:val="0"/>
          <w:iCs w:val="0"/>
          <w:caps w:val="0"/>
          <w:color w:val="000000"/>
          <w:spacing w:val="0"/>
          <w:sz w:val="24"/>
          <w:szCs w:val="24"/>
        </w:rPr>
        <w:t>inherent limitations and conflicts when compared to the traditional legislative process. While it cannot replace litigation</w:t>
      </w:r>
      <w:r>
        <w:rPr>
          <w:rFonts w:hint="default" w:ascii="Times New Roman" w:hAnsi="Times New Roman" w:eastAsia="__Inter_Fallback_aaf875" w:cs="Times New Roman"/>
          <w:b w:val="0"/>
          <w:bCs w:val="0"/>
          <w:i w:val="0"/>
          <w:iCs w:val="0"/>
          <w:caps w:val="0"/>
          <w:color w:val="000000"/>
          <w:spacing w:val="0"/>
          <w:sz w:val="24"/>
          <w:szCs w:val="24"/>
          <w:lang w:val="en-IN"/>
        </w:rPr>
        <w:t xml:space="preserve">. Yet, be certainly helpful in easing the caseload on judiciary, protecting privacy, extravagant cost and time. It will promote collaboration and communication, making the justice delivery system more flexible and adaptable. </w:t>
      </w:r>
    </w:p>
    <w:p>
      <w:pPr>
        <w:spacing w:line="360" w:lineRule="auto"/>
        <w:jc w:val="both"/>
        <w:rPr>
          <w:rFonts w:hint="default" w:ascii="Times New Roman" w:hAnsi="Times New Roman" w:eastAsia="__Inter_Fallback_aaf875" w:cs="Times New Roman"/>
          <w:b w:val="0"/>
          <w:bCs w:val="0"/>
          <w:i w:val="0"/>
          <w:iCs w:val="0"/>
          <w:caps w:val="0"/>
          <w:color w:val="000000"/>
          <w:spacing w:val="0"/>
          <w:sz w:val="24"/>
          <w:szCs w:val="24"/>
          <w:lang w:val="en-IN"/>
        </w:rPr>
      </w:pPr>
      <w:r>
        <w:rPr>
          <w:rFonts w:hint="default" w:ascii="Times New Roman" w:hAnsi="Times New Roman" w:eastAsia="__Inter_Fallback_aaf875" w:cs="Times New Roman"/>
          <w:b w:val="0"/>
          <w:bCs w:val="0"/>
          <w:i w:val="0"/>
          <w:iCs w:val="0"/>
          <w:color w:val="000000"/>
          <w:spacing w:val="0"/>
          <w:sz w:val="24"/>
          <w:szCs w:val="24"/>
          <w:lang w:val="en-IN"/>
        </w:rPr>
        <w:t>F</w:t>
      </w:r>
      <w:r>
        <w:rPr>
          <w:rFonts w:hint="default" w:ascii="Times New Roman" w:hAnsi="Times New Roman" w:eastAsia="__Inter_Fallback_aaf875" w:cs="Times New Roman"/>
          <w:b w:val="0"/>
          <w:bCs w:val="0"/>
          <w:i w:val="0"/>
          <w:iCs w:val="0"/>
          <w:caps w:val="0"/>
          <w:color w:val="000000"/>
          <w:spacing w:val="0"/>
          <w:sz w:val="24"/>
          <w:szCs w:val="24"/>
          <w:lang w:val="en-IN"/>
        </w:rPr>
        <w:t xml:space="preserve">uture of accessibility of ADR is hidden behind it’s ability to leave a lasting impact on the social milieu in a way that is generally lacked since past for resolution. ADR should be encouraged to contribute to the  administration of  justice and reach new heights of efficiency in judicial management as it will  act as stepping stone to remove the long running taboo on judiciary of “justice delayed is justice denied”. </w:t>
      </w:r>
    </w:p>
    <w:p>
      <w:pPr>
        <w:spacing w:line="360" w:lineRule="auto"/>
        <w:jc w:val="both"/>
        <w:rPr>
          <w:rFonts w:hint="default" w:ascii="Times New Roman" w:hAnsi="Times New Roman" w:eastAsia="__Inter_Fallback_aaf875" w:cs="Times New Roman"/>
          <w:b w:val="0"/>
          <w:bCs w:val="0"/>
          <w:i w:val="0"/>
          <w:iCs w:val="0"/>
          <w:caps w:val="0"/>
          <w:color w:val="000000"/>
          <w:spacing w:val="0"/>
          <w:sz w:val="24"/>
          <w:szCs w:val="24"/>
          <w:lang w:val="en-IN"/>
        </w:rPr>
      </w:pPr>
      <w:r>
        <w:rPr>
          <w:rFonts w:hint="default" w:ascii="Times New Roman" w:hAnsi="Times New Roman" w:eastAsia="__Inter_Fallback_aaf875" w:cs="Times New Roman"/>
          <w:b/>
          <w:bCs/>
          <w:i w:val="0"/>
          <w:iCs w:val="0"/>
          <w:caps w:val="0"/>
          <w:color w:val="000000"/>
          <w:spacing w:val="0"/>
          <w:sz w:val="24"/>
          <w:szCs w:val="24"/>
          <w:lang w:val="en-IN"/>
        </w:rPr>
        <w:t xml:space="preserve">END NOTES: </w:t>
      </w:r>
    </w:p>
    <w:sectPr>
      <w:pgSz w:w="11906" w:h="16838"/>
      <w:pgMar w:top="850" w:right="850" w:bottom="850" w:left="85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18">
    <w:p/>
  </w:endnote>
  <w:endnote w:type="continuationSeparator" w:id="19">
    <w:p/>
  </w:endnote>
  <w:endnote w:id="0">
    <w:p>
      <w:pPr>
        <w:pStyle w:val="12"/>
        <w:snapToGrid w:val="0"/>
        <w:spacing w:line="240" w:lineRule="auto"/>
        <w:jc w:val="both"/>
        <w:rPr>
          <w:rFonts w:hint="default" w:ascii="Times New Roman" w:hAnsi="Times New Roman" w:eastAsia="sans-serif" w:cs="Times New Roman"/>
          <w:i w:val="0"/>
          <w:iCs w:val="0"/>
          <w:caps w:val="0"/>
          <w:color w:val="111111"/>
          <w:spacing w:val="0"/>
          <w:sz w:val="20"/>
          <w:szCs w:val="20"/>
          <w:shd w:val="clear" w:fill="F9FAFB"/>
          <w:lang w:val="en-IN"/>
        </w:rPr>
      </w:pPr>
      <w:r>
        <w:rPr>
          <w:rStyle w:val="8"/>
        </w:rPr>
        <w:endnoteRef/>
      </w:r>
      <w:r>
        <w:t xml:space="preserve"> </w:t>
      </w:r>
      <w:r>
        <w:rPr>
          <w:rFonts w:hint="default" w:ascii="Times New Roman" w:hAnsi="Times New Roman" w:eastAsia="sans-serif" w:cs="Times New Roman"/>
          <w:i w:val="0"/>
          <w:iCs w:val="0"/>
          <w:caps w:val="0"/>
          <w:color w:val="111111"/>
          <w:spacing w:val="0"/>
          <w:sz w:val="20"/>
          <w:szCs w:val="20"/>
          <w:shd w:val="clear" w:fill="F9FAFB"/>
        </w:rPr>
        <w:t xml:space="preserve"> SCC 6 344, Supreme Court Of India, </w:t>
      </w:r>
      <w:r>
        <w:rPr>
          <w:rFonts w:hint="default" w:ascii="Times New Roman" w:hAnsi="Times New Roman" w:eastAsia="sans-serif" w:cs="Times New Roman"/>
          <w:i w:val="0"/>
          <w:iCs w:val="0"/>
          <w:caps w:val="0"/>
          <w:color w:val="111111"/>
          <w:spacing w:val="0"/>
          <w:sz w:val="20"/>
          <w:szCs w:val="20"/>
          <w:shd w:val="clear" w:fill="F9FAFB"/>
          <w:lang w:val="en-IN"/>
        </w:rPr>
        <w:t>(</w:t>
      </w:r>
      <w:r>
        <w:rPr>
          <w:rFonts w:hint="default" w:ascii="Times New Roman" w:hAnsi="Times New Roman" w:eastAsia="sans-serif" w:cs="Times New Roman"/>
          <w:i w:val="0"/>
          <w:iCs w:val="0"/>
          <w:caps w:val="0"/>
          <w:color w:val="111111"/>
          <w:spacing w:val="0"/>
          <w:sz w:val="20"/>
          <w:szCs w:val="20"/>
          <w:shd w:val="clear" w:fill="F9FAFB"/>
        </w:rPr>
        <w:t>2005</w:t>
      </w:r>
      <w:r>
        <w:rPr>
          <w:rFonts w:hint="default" w:ascii="Times New Roman" w:hAnsi="Times New Roman" w:eastAsia="sans-serif" w:cs="Times New Roman"/>
          <w:i w:val="0"/>
          <w:iCs w:val="0"/>
          <w:caps w:val="0"/>
          <w:color w:val="111111"/>
          <w:spacing w:val="0"/>
          <w:sz w:val="20"/>
          <w:szCs w:val="20"/>
          <w:shd w:val="clear" w:fill="F9FAFB"/>
          <w:lang w:val="en-IN"/>
        </w:rPr>
        <w:t>)</w:t>
      </w:r>
    </w:p>
    <w:p>
      <w:pPr>
        <w:pStyle w:val="12"/>
        <w:snapToGrid w:val="0"/>
        <w:spacing w:line="240" w:lineRule="auto"/>
        <w:jc w:val="both"/>
        <w:rPr>
          <w:rFonts w:hint="default" w:ascii="Times New Roman" w:hAnsi="Times New Roman" w:eastAsia="sans-serif" w:cs="Times New Roman"/>
          <w:i w:val="0"/>
          <w:iCs w:val="0"/>
          <w:caps w:val="0"/>
          <w:color w:val="111111"/>
          <w:spacing w:val="0"/>
          <w:sz w:val="20"/>
          <w:szCs w:val="20"/>
          <w:shd w:val="clear" w:fill="F9FAFB"/>
          <w:lang w:val="en-IN"/>
        </w:rPr>
      </w:pPr>
    </w:p>
  </w:endnote>
  <w:endnote w:id="1">
    <w:p>
      <w:pPr>
        <w:pStyle w:val="12"/>
        <w:snapToGrid w:val="0"/>
        <w:spacing w:line="240" w:lineRule="auto"/>
        <w:jc w:val="both"/>
        <w:rPr>
          <w:rFonts w:hint="default" w:ascii="Times New Roman" w:hAnsi="Times New Roman" w:eastAsia="SimSun" w:cs="Times New Roman"/>
          <w:i w:val="0"/>
          <w:iCs w:val="0"/>
          <w:caps w:val="0"/>
          <w:color w:val="000000"/>
          <w:spacing w:val="0"/>
          <w:sz w:val="20"/>
          <w:szCs w:val="20"/>
        </w:rPr>
      </w:pPr>
      <w:r>
        <w:rPr>
          <w:rStyle w:val="8"/>
          <w:sz w:val="20"/>
          <w:szCs w:val="20"/>
        </w:rPr>
        <w:endnoteRef/>
      </w:r>
      <w:r>
        <w:rPr>
          <w:rFonts w:hint="default" w:ascii="Times New Roman" w:hAnsi="Times New Roman" w:eastAsia="SimSun" w:cs="Times New Roman"/>
          <w:i w:val="0"/>
          <w:iCs w:val="0"/>
          <w:caps w:val="0"/>
          <w:color w:val="000000"/>
          <w:spacing w:val="0"/>
          <w:sz w:val="20"/>
          <w:szCs w:val="20"/>
        </w:rPr>
        <w:t xml:space="preserve"> 28 LJCh184:53 ER916</w:t>
      </w:r>
      <w:r>
        <w:rPr>
          <w:rFonts w:hint="default" w:ascii="Times New Roman" w:hAnsi="Times New Roman" w:eastAsia="SimSun" w:cs="Times New Roman"/>
          <w:i w:val="0"/>
          <w:iCs w:val="0"/>
          <w:caps w:val="0"/>
          <w:color w:val="000000"/>
          <w:spacing w:val="0"/>
          <w:sz w:val="20"/>
          <w:szCs w:val="20"/>
          <w:lang w:val="en-IN"/>
        </w:rPr>
        <w:t xml:space="preserve"> </w:t>
      </w:r>
      <w:r>
        <w:rPr>
          <w:rFonts w:hint="default" w:ascii="Times New Roman" w:hAnsi="Times New Roman" w:eastAsia="SimSun" w:cs="Times New Roman"/>
          <w:i w:val="0"/>
          <w:iCs w:val="0"/>
          <w:caps w:val="0"/>
          <w:color w:val="000000"/>
          <w:spacing w:val="0"/>
          <w:sz w:val="20"/>
          <w:szCs w:val="20"/>
        </w:rPr>
        <w:t>(1858)</w:t>
      </w:r>
    </w:p>
    <w:p>
      <w:pPr>
        <w:pStyle w:val="12"/>
        <w:snapToGrid w:val="0"/>
        <w:spacing w:line="240" w:lineRule="auto"/>
        <w:jc w:val="both"/>
        <w:rPr>
          <w:rFonts w:hint="default" w:ascii="Times New Roman" w:hAnsi="Times New Roman" w:eastAsia="SimSun" w:cs="Times New Roman"/>
          <w:i w:val="0"/>
          <w:iCs w:val="0"/>
          <w:caps w:val="0"/>
          <w:color w:val="000000"/>
          <w:spacing w:val="0"/>
          <w:sz w:val="20"/>
          <w:szCs w:val="20"/>
        </w:rPr>
      </w:pPr>
    </w:p>
  </w:endnote>
  <w:endnote w:id="2">
    <w:p>
      <w:pPr>
        <w:pStyle w:val="12"/>
        <w:snapToGrid w:val="0"/>
        <w:spacing w:line="240" w:lineRule="auto"/>
        <w:jc w:val="both"/>
        <w:rPr>
          <w:rFonts w:hint="default" w:ascii="Times New Roman" w:hAnsi="Times New Roman" w:cs="Times New Roman"/>
          <w:sz w:val="20"/>
          <w:szCs w:val="20"/>
          <w:lang w:val="en-IN"/>
        </w:rPr>
      </w:pPr>
      <w:r>
        <w:rPr>
          <w:rStyle w:val="8"/>
          <w:sz w:val="20"/>
          <w:szCs w:val="20"/>
        </w:rPr>
        <w:endnoteRef/>
      </w:r>
      <w:r>
        <w:rPr>
          <w:sz w:val="20"/>
          <w:szCs w:val="20"/>
        </w:rPr>
        <w:t xml:space="preserve"> </w:t>
      </w:r>
      <w:r>
        <w:rPr>
          <w:rFonts w:hint="default" w:ascii="Times New Roman" w:hAnsi="Times New Roman" w:eastAsia="sans-serif" w:cs="Times New Roman"/>
          <w:i w:val="0"/>
          <w:iCs w:val="0"/>
          <w:caps w:val="0"/>
          <w:color w:val="333333"/>
          <w:spacing w:val="0"/>
          <w:sz w:val="20"/>
          <w:szCs w:val="20"/>
          <w:shd w:val="clear" w:fill="FFFFFF"/>
        </w:rPr>
        <w:t>SCC 8</w:t>
      </w:r>
      <w:r>
        <w:rPr>
          <w:rFonts w:hint="default" w:ascii="Times New Roman" w:hAnsi="Times New Roman" w:eastAsia="sans-serif" w:cs="Times New Roman"/>
          <w:i w:val="0"/>
          <w:iCs w:val="0"/>
          <w:caps w:val="0"/>
          <w:color w:val="333333"/>
          <w:spacing w:val="0"/>
          <w:sz w:val="20"/>
          <w:szCs w:val="20"/>
          <w:shd w:val="clear" w:fill="FFFFFF"/>
          <w:lang w:val="en-IN"/>
        </w:rPr>
        <w:t xml:space="preserve">, </w:t>
      </w:r>
      <w:r>
        <w:rPr>
          <w:rFonts w:hint="default" w:ascii="Times New Roman" w:hAnsi="Times New Roman" w:eastAsia="sans-serif" w:cs="Times New Roman"/>
          <w:i w:val="0"/>
          <w:iCs w:val="0"/>
          <w:caps w:val="0"/>
          <w:color w:val="333333"/>
          <w:spacing w:val="0"/>
          <w:sz w:val="20"/>
          <w:szCs w:val="20"/>
          <w:shd w:val="clear" w:fill="FFFFFF"/>
        </w:rPr>
        <w:t>24</w:t>
      </w:r>
      <w:r>
        <w:rPr>
          <w:rFonts w:hint="default" w:ascii="Times New Roman" w:hAnsi="Times New Roman" w:eastAsia="sans-serif" w:cs="Times New Roman"/>
          <w:i w:val="0"/>
          <w:iCs w:val="0"/>
          <w:caps w:val="0"/>
          <w:color w:val="333333"/>
          <w:spacing w:val="0"/>
          <w:sz w:val="20"/>
          <w:szCs w:val="20"/>
          <w:shd w:val="clear" w:fill="FFFFFF"/>
          <w:lang w:val="en-IN"/>
        </w:rPr>
        <w:t xml:space="preserve"> (</w:t>
      </w:r>
      <w:r>
        <w:rPr>
          <w:rFonts w:hint="default" w:ascii="Times New Roman" w:hAnsi="Times New Roman" w:eastAsia="sans-serif" w:cs="Times New Roman"/>
          <w:i w:val="0"/>
          <w:iCs w:val="0"/>
          <w:caps w:val="0"/>
          <w:color w:val="333333"/>
          <w:spacing w:val="0"/>
          <w:sz w:val="20"/>
          <w:szCs w:val="20"/>
          <w:shd w:val="clear" w:fill="FFFFFF"/>
        </w:rPr>
        <w:t>2010</w:t>
      </w:r>
      <w:r>
        <w:rPr>
          <w:rFonts w:hint="default" w:ascii="Times New Roman" w:hAnsi="Times New Roman" w:eastAsia="sans-serif" w:cs="Times New Roman"/>
          <w:i w:val="0"/>
          <w:iCs w:val="0"/>
          <w:caps w:val="0"/>
          <w:color w:val="333333"/>
          <w:spacing w:val="0"/>
          <w:sz w:val="20"/>
          <w:szCs w:val="20"/>
          <w:shd w:val="clear" w:fill="FFFFFF"/>
          <w:lang w:val="en-IN"/>
        </w:rPr>
        <w:t>)</w:t>
      </w:r>
    </w:p>
    <w:p>
      <w:pPr>
        <w:pStyle w:val="9"/>
        <w:snapToGrid w:val="0"/>
        <w:spacing w:line="240" w:lineRule="auto"/>
        <w:jc w:val="both"/>
        <w:rPr>
          <w:sz w:val="20"/>
          <w:szCs w:val="20"/>
        </w:rPr>
      </w:pPr>
    </w:p>
  </w:endnote>
  <w:endnote w:id="3">
    <w:p>
      <w:pPr>
        <w:pStyle w:val="12"/>
        <w:snapToGrid w:val="0"/>
        <w:spacing w:line="240" w:lineRule="auto"/>
        <w:jc w:val="both"/>
        <w:rPr>
          <w:rFonts w:hint="default" w:ascii="Times New Roman" w:hAnsi="Times New Roman" w:cs="Times New Roman"/>
          <w:sz w:val="20"/>
          <w:szCs w:val="20"/>
          <w:lang w:val="en-IN"/>
        </w:rPr>
      </w:pPr>
      <w:r>
        <w:rPr>
          <w:rStyle w:val="8"/>
          <w:sz w:val="20"/>
          <w:szCs w:val="20"/>
        </w:rPr>
        <w:endnoteRef/>
      </w:r>
      <w:r>
        <w:rPr>
          <w:sz w:val="20"/>
          <w:szCs w:val="20"/>
        </w:rPr>
        <w:t xml:space="preserve"> </w:t>
      </w:r>
      <w:r>
        <w:rPr>
          <w:rFonts w:hint="default" w:ascii="Times New Roman" w:hAnsi="Times New Roman" w:eastAsia="sans-serif" w:cs="Times New Roman"/>
          <w:i w:val="0"/>
          <w:iCs w:val="0"/>
          <w:caps w:val="0"/>
          <w:color w:val="333333"/>
          <w:spacing w:val="0"/>
          <w:sz w:val="20"/>
          <w:szCs w:val="20"/>
          <w:shd w:val="clear" w:fill="FFFFFF"/>
        </w:rPr>
        <w:t>ALLCC 85 924</w:t>
      </w:r>
      <w:r>
        <w:rPr>
          <w:rFonts w:hint="default" w:ascii="Times New Roman" w:hAnsi="Times New Roman" w:eastAsia="sans-serif" w:cs="Times New Roman"/>
          <w:i w:val="0"/>
          <w:iCs w:val="0"/>
          <w:caps w:val="0"/>
          <w:color w:val="333333"/>
          <w:spacing w:val="0"/>
          <w:sz w:val="20"/>
          <w:szCs w:val="20"/>
          <w:shd w:val="clear" w:fill="FFFFFF"/>
          <w:lang w:val="en-IN"/>
        </w:rPr>
        <w:t xml:space="preserve"> </w:t>
      </w:r>
      <w:r>
        <w:rPr>
          <w:rFonts w:hint="default"/>
          <w:sz w:val="20"/>
          <w:szCs w:val="20"/>
          <w:lang w:val="en-IN"/>
        </w:rPr>
        <w:t>(</w:t>
      </w:r>
      <w:r>
        <w:rPr>
          <w:rFonts w:hint="default" w:ascii="Times New Roman" w:hAnsi="Times New Roman" w:eastAsia="sans-serif" w:cs="Times New Roman"/>
          <w:i w:val="0"/>
          <w:iCs w:val="0"/>
          <w:caps w:val="0"/>
          <w:color w:val="333333"/>
          <w:spacing w:val="0"/>
          <w:sz w:val="20"/>
          <w:szCs w:val="20"/>
          <w:shd w:val="clear" w:fill="FFFFFF"/>
        </w:rPr>
        <w:t>2014</w:t>
      </w:r>
      <w:r>
        <w:rPr>
          <w:rFonts w:hint="default" w:ascii="Times New Roman" w:hAnsi="Times New Roman" w:eastAsia="sans-serif" w:cs="Times New Roman"/>
          <w:i w:val="0"/>
          <w:iCs w:val="0"/>
          <w:caps w:val="0"/>
          <w:color w:val="333333"/>
          <w:spacing w:val="0"/>
          <w:sz w:val="20"/>
          <w:szCs w:val="20"/>
          <w:shd w:val="clear" w:fill="FFFFFF"/>
          <w:lang w:val="en-IN"/>
        </w:rPr>
        <w:t>)</w:t>
      </w:r>
    </w:p>
    <w:p>
      <w:pPr>
        <w:pStyle w:val="9"/>
        <w:snapToGrid w:val="0"/>
        <w:spacing w:line="240" w:lineRule="auto"/>
        <w:jc w:val="both"/>
        <w:rPr>
          <w:sz w:val="20"/>
          <w:szCs w:val="20"/>
        </w:rPr>
      </w:pPr>
    </w:p>
  </w:endnote>
  <w:endnote w:id="4">
    <w:p>
      <w:pPr>
        <w:pStyle w:val="9"/>
        <w:snapToGrid w:val="0"/>
        <w:spacing w:line="240" w:lineRule="auto"/>
        <w:jc w:val="both"/>
        <w:rPr>
          <w:rFonts w:hint="default" w:ascii="Times New Roman" w:hAnsi="Times New Roman" w:eastAsia="sans-serif" w:cs="Times New Roman"/>
          <w:b w:val="0"/>
          <w:bCs w:val="0"/>
          <w:i w:val="0"/>
          <w:iCs w:val="0"/>
          <w:caps w:val="0"/>
          <w:color w:val="333333"/>
          <w:spacing w:val="0"/>
          <w:sz w:val="20"/>
          <w:szCs w:val="20"/>
          <w:shd w:val="clear" w:fill="FFFFFF"/>
          <w:lang w:val="en-IN"/>
        </w:rPr>
      </w:pPr>
      <w:r>
        <w:rPr>
          <w:rStyle w:val="8"/>
          <w:sz w:val="20"/>
          <w:szCs w:val="20"/>
        </w:rPr>
        <w:endnoteRef/>
      </w:r>
      <w:r>
        <w:rPr>
          <w:sz w:val="20"/>
          <w:szCs w:val="20"/>
        </w:rPr>
        <w:t xml:space="preserve"> </w:t>
      </w:r>
      <w:r>
        <w:rPr>
          <w:rFonts w:hint="default" w:ascii="Times New Roman" w:hAnsi="Times New Roman" w:eastAsia="sans-serif" w:cs="Times New Roman"/>
          <w:b w:val="0"/>
          <w:bCs w:val="0"/>
          <w:i w:val="0"/>
          <w:iCs w:val="0"/>
          <w:caps w:val="0"/>
          <w:color w:val="333333"/>
          <w:spacing w:val="0"/>
          <w:sz w:val="20"/>
          <w:szCs w:val="20"/>
          <w:shd w:val="clear" w:fill="FFFFFF"/>
        </w:rPr>
        <w:t>O.M.P.(COMM)--76</w:t>
      </w:r>
      <w:r>
        <w:rPr>
          <w:rFonts w:hint="default" w:ascii="Times New Roman" w:hAnsi="Times New Roman" w:eastAsia="sans-serif" w:cs="Times New Roman"/>
          <w:b w:val="0"/>
          <w:bCs w:val="0"/>
          <w:i w:val="0"/>
          <w:iCs w:val="0"/>
          <w:caps w:val="0"/>
          <w:color w:val="333333"/>
          <w:spacing w:val="0"/>
          <w:sz w:val="20"/>
          <w:szCs w:val="20"/>
          <w:shd w:val="clear" w:fill="FFFFFF"/>
          <w:lang w:val="en-IN"/>
        </w:rPr>
        <w:t>, (</w:t>
      </w:r>
      <w:r>
        <w:rPr>
          <w:rFonts w:hint="default" w:ascii="Times New Roman" w:hAnsi="Times New Roman" w:eastAsia="sans-serif" w:cs="Times New Roman"/>
          <w:b w:val="0"/>
          <w:bCs w:val="0"/>
          <w:i w:val="0"/>
          <w:iCs w:val="0"/>
          <w:caps w:val="0"/>
          <w:color w:val="333333"/>
          <w:spacing w:val="0"/>
          <w:sz w:val="20"/>
          <w:szCs w:val="20"/>
          <w:shd w:val="clear" w:fill="FFFFFF"/>
        </w:rPr>
        <w:t>2016</w:t>
      </w:r>
      <w:r>
        <w:rPr>
          <w:rFonts w:hint="default" w:ascii="Times New Roman" w:hAnsi="Times New Roman" w:eastAsia="sans-serif" w:cs="Times New Roman"/>
          <w:b w:val="0"/>
          <w:bCs w:val="0"/>
          <w:i w:val="0"/>
          <w:iCs w:val="0"/>
          <w:caps w:val="0"/>
          <w:color w:val="333333"/>
          <w:spacing w:val="0"/>
          <w:sz w:val="20"/>
          <w:szCs w:val="20"/>
          <w:shd w:val="clear" w:fill="FFFFFF"/>
          <w:lang w:val="en-IN"/>
        </w:rPr>
        <w:t>)</w:t>
      </w:r>
    </w:p>
    <w:p>
      <w:pPr>
        <w:pStyle w:val="9"/>
        <w:snapToGrid w:val="0"/>
        <w:spacing w:line="240" w:lineRule="auto"/>
        <w:jc w:val="both"/>
        <w:rPr>
          <w:rFonts w:hint="default" w:ascii="Times New Roman" w:hAnsi="Times New Roman" w:eastAsia="sans-serif" w:cs="Times New Roman"/>
          <w:b w:val="0"/>
          <w:bCs w:val="0"/>
          <w:i w:val="0"/>
          <w:iCs w:val="0"/>
          <w:caps w:val="0"/>
          <w:color w:val="333333"/>
          <w:spacing w:val="0"/>
          <w:sz w:val="20"/>
          <w:szCs w:val="20"/>
          <w:shd w:val="clear" w:fill="FFFFFF"/>
        </w:rPr>
      </w:pPr>
    </w:p>
  </w:endnote>
  <w:endnote w:id="5">
    <w:p>
      <w:pPr>
        <w:pStyle w:val="12"/>
        <w:snapToGrid w:val="0"/>
        <w:spacing w:line="240" w:lineRule="auto"/>
        <w:jc w:val="both"/>
        <w:rPr>
          <w:rFonts w:hint="default"/>
          <w:sz w:val="20"/>
          <w:szCs w:val="20"/>
          <w:lang w:val="en-IN"/>
        </w:rPr>
      </w:pPr>
      <w:r>
        <w:rPr>
          <w:rStyle w:val="8"/>
          <w:sz w:val="20"/>
          <w:szCs w:val="20"/>
        </w:rPr>
        <w:endnoteRef/>
      </w:r>
      <w:r>
        <w:rPr>
          <w:sz w:val="20"/>
          <w:szCs w:val="20"/>
        </w:rPr>
        <w:t xml:space="preserve"> </w:t>
      </w:r>
      <w:r>
        <w:rPr>
          <w:rFonts w:hint="default" w:ascii="Times New Roman" w:hAnsi="Times New Roman" w:eastAsia="sans-serif" w:cs="Times New Roman"/>
          <w:i w:val="0"/>
          <w:iCs w:val="0"/>
          <w:caps w:val="0"/>
          <w:color w:val="333333"/>
          <w:spacing w:val="0"/>
          <w:sz w:val="20"/>
          <w:szCs w:val="20"/>
          <w:shd w:val="clear" w:fill="FFFFFF"/>
        </w:rPr>
        <w:t>ARB LR 4 67</w:t>
      </w:r>
      <w:r>
        <w:rPr>
          <w:rFonts w:hint="default" w:ascii="Times New Roman" w:hAnsi="Times New Roman" w:eastAsia="sans-serif" w:cs="Times New Roman"/>
          <w:i w:val="0"/>
          <w:iCs w:val="0"/>
          <w:caps w:val="0"/>
          <w:color w:val="333333"/>
          <w:spacing w:val="0"/>
          <w:sz w:val="20"/>
          <w:szCs w:val="20"/>
          <w:shd w:val="clear" w:fill="FFFFFF"/>
          <w:lang w:val="en-IN"/>
        </w:rPr>
        <w:t xml:space="preserve"> (2021)</w:t>
      </w:r>
    </w:p>
    <w:p>
      <w:pPr>
        <w:pStyle w:val="9"/>
        <w:snapToGrid w:val="0"/>
        <w:spacing w:line="240" w:lineRule="auto"/>
        <w:jc w:val="both"/>
        <w:rPr>
          <w:sz w:val="20"/>
          <w:szCs w:val="20"/>
        </w:rPr>
      </w:pPr>
    </w:p>
  </w:endnote>
  <w:endnote w:id="6">
    <w:p>
      <w:pPr>
        <w:pStyle w:val="3"/>
        <w:keepNext w:val="0"/>
        <w:keepLines w:val="0"/>
        <w:widowControl/>
        <w:suppressLineNumbers w:val="0"/>
        <w:shd w:val="clear" w:fill="FFFFFF"/>
        <w:spacing w:before="0" w:beforeAutospacing="0" w:after="48" w:afterAutospacing="0" w:line="240" w:lineRule="auto"/>
        <w:ind w:left="0" w:firstLine="0"/>
        <w:jc w:val="both"/>
        <w:rPr>
          <w:rFonts w:hint="default"/>
          <w:sz w:val="20"/>
          <w:szCs w:val="20"/>
          <w:lang w:val="en-IN"/>
        </w:rPr>
      </w:pPr>
      <w:r>
        <w:rPr>
          <w:rStyle w:val="8"/>
          <w:rFonts w:hint="default" w:ascii="Times New Roman" w:hAnsi="Times New Roman" w:cs="Times New Roman"/>
          <w:b w:val="0"/>
          <w:bCs w:val="0"/>
          <w:sz w:val="20"/>
          <w:szCs w:val="20"/>
        </w:rPr>
        <w:endnoteRef/>
      </w:r>
      <w:r>
        <w:rPr>
          <w:sz w:val="20"/>
          <w:szCs w:val="20"/>
        </w:rPr>
        <w:t xml:space="preserve"> </w:t>
      </w:r>
      <w:r>
        <w:rPr>
          <w:rFonts w:hint="default" w:ascii="Times New Roman" w:hAnsi="Times New Roman" w:eastAsia="sans-serif" w:cs="Times New Roman"/>
          <w:b w:val="0"/>
          <w:bCs w:val="0"/>
          <w:i w:val="0"/>
          <w:iCs w:val="0"/>
          <w:caps w:val="0"/>
          <w:color w:val="333333"/>
          <w:spacing w:val="0"/>
          <w:sz w:val="20"/>
          <w:szCs w:val="20"/>
          <w:shd w:val="clear" w:fill="FFFFFF"/>
        </w:rPr>
        <w:t>CP/857</w:t>
      </w:r>
      <w:r>
        <w:rPr>
          <w:rFonts w:hint="default" w:ascii="Times New Roman" w:hAnsi="Times New Roman" w:eastAsia="sans-serif" w:cs="Times New Roman"/>
          <w:b w:val="0"/>
          <w:bCs w:val="0"/>
          <w:i w:val="0"/>
          <w:iCs w:val="0"/>
          <w:caps w:val="0"/>
          <w:color w:val="333333"/>
          <w:spacing w:val="0"/>
          <w:sz w:val="20"/>
          <w:szCs w:val="20"/>
          <w:shd w:val="clear" w:fill="FFFFFF"/>
          <w:lang w:val="en-IN"/>
        </w:rPr>
        <w:t xml:space="preserve"> (</w:t>
      </w:r>
      <w:r>
        <w:rPr>
          <w:rFonts w:hint="default" w:ascii="Times New Roman" w:hAnsi="Times New Roman" w:eastAsia="sans-serif" w:cs="Times New Roman"/>
          <w:b w:val="0"/>
          <w:bCs w:val="0"/>
          <w:i w:val="0"/>
          <w:iCs w:val="0"/>
          <w:caps w:val="0"/>
          <w:color w:val="333333"/>
          <w:spacing w:val="0"/>
          <w:sz w:val="20"/>
          <w:szCs w:val="20"/>
          <w:shd w:val="clear" w:fill="FFFFFF"/>
        </w:rPr>
        <w:t>2004</w:t>
      </w:r>
      <w:r>
        <w:rPr>
          <w:rFonts w:hint="default" w:ascii="Times New Roman" w:hAnsi="Times New Roman" w:eastAsia="sans-serif" w:cs="Times New Roman"/>
          <w:b w:val="0"/>
          <w:bCs w:val="0"/>
          <w:i w:val="0"/>
          <w:iCs w:val="0"/>
          <w:caps w:val="0"/>
          <w:color w:val="333333"/>
          <w:spacing w:val="0"/>
          <w:sz w:val="20"/>
          <w:szCs w:val="20"/>
          <w:shd w:val="clear" w:fill="FFFFFF"/>
          <w:lang w:val="en-IN"/>
        </w:rPr>
        <w:t>)</w:t>
      </w:r>
    </w:p>
    <w:p>
      <w:pPr>
        <w:pStyle w:val="9"/>
        <w:snapToGrid w:val="0"/>
        <w:spacing w:line="240" w:lineRule="auto"/>
        <w:jc w:val="both"/>
        <w:rPr>
          <w:sz w:val="20"/>
          <w:szCs w:val="20"/>
        </w:rPr>
      </w:pPr>
    </w:p>
  </w:endnote>
  <w:endnote w:id="7">
    <w:p>
      <w:pPr>
        <w:pStyle w:val="12"/>
        <w:snapToGrid w:val="0"/>
        <w:spacing w:line="240" w:lineRule="auto"/>
        <w:jc w:val="both"/>
        <w:rPr>
          <w:rFonts w:hint="default" w:ascii="Times New Roman" w:hAnsi="Times New Roman" w:cs="Times New Roman"/>
          <w:sz w:val="20"/>
          <w:szCs w:val="20"/>
          <w:lang w:val="en-IN"/>
        </w:rPr>
      </w:pPr>
      <w:r>
        <w:rPr>
          <w:rStyle w:val="8"/>
          <w:sz w:val="20"/>
          <w:szCs w:val="20"/>
        </w:rPr>
        <w:endnoteRef/>
      </w:r>
      <w:r>
        <w:rPr>
          <w:sz w:val="20"/>
          <w:szCs w:val="20"/>
        </w:rPr>
        <w:t xml:space="preserve">  </w:t>
      </w:r>
      <w:r>
        <w:rPr>
          <w:rFonts w:hint="default" w:ascii="Times New Roman" w:hAnsi="Times New Roman" w:eastAsia="sans-serif" w:cs="Times New Roman"/>
          <w:i w:val="0"/>
          <w:iCs w:val="0"/>
          <w:caps w:val="0"/>
          <w:color w:val="333333"/>
          <w:spacing w:val="0"/>
          <w:sz w:val="20"/>
          <w:szCs w:val="20"/>
          <w:shd w:val="clear" w:fill="FFFFFF"/>
        </w:rPr>
        <w:t>INSC 523</w:t>
      </w:r>
      <w:r>
        <w:rPr>
          <w:rFonts w:hint="default" w:ascii="Times New Roman" w:hAnsi="Times New Roman" w:eastAsia="sans-serif" w:cs="Times New Roman"/>
          <w:i w:val="0"/>
          <w:iCs w:val="0"/>
          <w:caps w:val="0"/>
          <w:color w:val="333333"/>
          <w:spacing w:val="0"/>
          <w:sz w:val="20"/>
          <w:szCs w:val="20"/>
          <w:shd w:val="clear" w:fill="FFFFFF"/>
          <w:lang w:val="en-IN"/>
        </w:rPr>
        <w:t xml:space="preserve"> (2022)</w:t>
      </w:r>
    </w:p>
    <w:p>
      <w:pPr>
        <w:pStyle w:val="9"/>
        <w:snapToGrid w:val="0"/>
        <w:spacing w:line="240" w:lineRule="auto"/>
        <w:jc w:val="both"/>
        <w:rPr>
          <w:sz w:val="20"/>
          <w:szCs w:val="20"/>
        </w:rPr>
      </w:pPr>
    </w:p>
  </w:endnote>
  <w:endnote w:id="8">
    <w:p>
      <w:pPr>
        <w:pStyle w:val="9"/>
        <w:snapToGrid w:val="0"/>
        <w:spacing w:line="240" w:lineRule="auto"/>
        <w:jc w:val="both"/>
        <w:rPr>
          <w:rFonts w:hint="default" w:ascii="Times New Roman" w:hAnsi="Times New Roman" w:eastAsia="sans-serif" w:cs="Times New Roman"/>
          <w:b w:val="0"/>
          <w:bCs w:val="0"/>
          <w:i w:val="0"/>
          <w:iCs w:val="0"/>
          <w:caps w:val="0"/>
          <w:color w:val="333333"/>
          <w:spacing w:val="0"/>
          <w:sz w:val="20"/>
          <w:szCs w:val="20"/>
          <w:shd w:val="clear" w:fill="FFFFFF"/>
          <w:lang w:val="en-IN"/>
        </w:rPr>
      </w:pPr>
      <w:r>
        <w:rPr>
          <w:rStyle w:val="8"/>
          <w:sz w:val="20"/>
          <w:szCs w:val="20"/>
        </w:rPr>
        <w:endnoteRef/>
      </w:r>
      <w:r>
        <w:rPr>
          <w:sz w:val="20"/>
          <w:szCs w:val="20"/>
        </w:rPr>
        <w:t xml:space="preserve">  </w:t>
      </w:r>
      <w:r>
        <w:rPr>
          <w:rFonts w:hint="default" w:ascii="Times New Roman" w:hAnsi="Times New Roman" w:eastAsia="sans-serif" w:cs="Times New Roman"/>
          <w:b w:val="0"/>
          <w:bCs w:val="0"/>
          <w:i w:val="0"/>
          <w:iCs w:val="0"/>
          <w:caps w:val="0"/>
          <w:color w:val="333333"/>
          <w:spacing w:val="0"/>
          <w:sz w:val="20"/>
          <w:szCs w:val="20"/>
          <w:shd w:val="clear" w:fill="FFFFFF"/>
        </w:rPr>
        <w:t>CRP.3672</w:t>
      </w:r>
      <w:r>
        <w:rPr>
          <w:rFonts w:hint="default" w:ascii="Times New Roman" w:hAnsi="Times New Roman" w:eastAsia="sans-serif" w:cs="Times New Roman"/>
          <w:b w:val="0"/>
          <w:bCs w:val="0"/>
          <w:i w:val="0"/>
          <w:iCs w:val="0"/>
          <w:caps w:val="0"/>
          <w:color w:val="333333"/>
          <w:spacing w:val="0"/>
          <w:sz w:val="20"/>
          <w:szCs w:val="20"/>
          <w:shd w:val="clear" w:fill="FFFFFF"/>
          <w:lang w:val="en-IN"/>
        </w:rPr>
        <w:t xml:space="preserve"> (</w:t>
      </w:r>
      <w:r>
        <w:rPr>
          <w:rFonts w:hint="default" w:ascii="Times New Roman" w:hAnsi="Times New Roman" w:eastAsia="sans-serif" w:cs="Times New Roman"/>
          <w:b w:val="0"/>
          <w:bCs w:val="0"/>
          <w:i w:val="0"/>
          <w:iCs w:val="0"/>
          <w:caps w:val="0"/>
          <w:color w:val="333333"/>
          <w:spacing w:val="0"/>
          <w:sz w:val="20"/>
          <w:szCs w:val="20"/>
          <w:shd w:val="clear" w:fill="FFFFFF"/>
        </w:rPr>
        <w:t>2022</w:t>
      </w:r>
      <w:r>
        <w:rPr>
          <w:rFonts w:hint="default" w:ascii="Times New Roman" w:hAnsi="Times New Roman" w:eastAsia="sans-serif" w:cs="Times New Roman"/>
          <w:b w:val="0"/>
          <w:bCs w:val="0"/>
          <w:i w:val="0"/>
          <w:iCs w:val="0"/>
          <w:caps w:val="0"/>
          <w:color w:val="333333"/>
          <w:spacing w:val="0"/>
          <w:sz w:val="20"/>
          <w:szCs w:val="20"/>
          <w:shd w:val="clear" w:fill="FFFFFF"/>
          <w:lang w:val="en-IN"/>
        </w:rPr>
        <w:t>)</w:t>
      </w:r>
    </w:p>
    <w:p>
      <w:pPr>
        <w:pStyle w:val="9"/>
        <w:snapToGrid w:val="0"/>
        <w:spacing w:line="240" w:lineRule="auto"/>
        <w:jc w:val="both"/>
        <w:rPr>
          <w:rFonts w:hint="default" w:ascii="Times New Roman" w:hAnsi="Times New Roman" w:eastAsia="sans-serif" w:cs="Times New Roman"/>
          <w:b/>
          <w:bCs/>
          <w:i w:val="0"/>
          <w:iCs w:val="0"/>
          <w:caps w:val="0"/>
          <w:color w:val="333333"/>
          <w:spacing w:val="0"/>
          <w:sz w:val="20"/>
          <w:szCs w:val="20"/>
          <w:shd w:val="clear" w:fill="FFFFFF"/>
          <w:lang w:val="en-IN"/>
        </w:rPr>
      </w:pPr>
      <w:r>
        <w:rPr>
          <w:rFonts w:hint="default" w:ascii="Times New Roman" w:hAnsi="Times New Roman" w:eastAsia="sans-serif" w:cs="Times New Roman"/>
          <w:b w:val="0"/>
          <w:bCs w:val="0"/>
          <w:i w:val="0"/>
          <w:iCs w:val="0"/>
          <w:caps w:val="0"/>
          <w:color w:val="333333"/>
          <w:spacing w:val="0"/>
          <w:sz w:val="20"/>
          <w:szCs w:val="20"/>
          <w:shd w:val="clear" w:fill="FFFFFF"/>
          <w:lang w:val="en-IN"/>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__Inter_Fallback_aaf875">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Bahnschrift Condensed">
    <w:panose1 w:val="020B0502040204020203"/>
    <w:charset w:val="00"/>
    <w:family w:val="auto"/>
    <w:pitch w:val="default"/>
    <w:sig w:usb0="A00002C7" w:usb1="00000002" w:usb2="00000000" w:usb3="00000000" w:csb0="2000019F" w:csb1="00000000"/>
  </w:font>
  <w:font w:name="Nirmala UI">
    <w:panose1 w:val="020B0502040204020203"/>
    <w:charset w:val="00"/>
    <w:family w:val="auto"/>
    <w:pitch w:val="default"/>
    <w:sig w:usb0="80FF8023" w:usb1="0200004A" w:usb2="00000200" w:usb3="00040000" w:csb0="00000001"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 w:name="poppinsregular">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footnote>
  <w:footnote w:type="continuationSeparator" w:id="3">
    <w:p/>
  </w:footnote>
  <w:footnote w:id="0">
    <w:p>
      <w:pPr>
        <w:pStyle w:val="12"/>
        <w:snapToGrid w:val="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3C1D31"/>
    <w:multiLevelType w:val="singleLevel"/>
    <w:tmpl w:val="103C1D31"/>
    <w:lvl w:ilvl="0" w:tentative="0">
      <w:start w:val="1"/>
      <w:numFmt w:val="decimal"/>
      <w:suff w:val="space"/>
      <w:lvlText w:val="%1)"/>
      <w:lvlJc w:val="left"/>
    </w:lvl>
  </w:abstractNum>
  <w:abstractNum w:abstractNumId="1">
    <w:nsid w:val="49FC149F"/>
    <w:multiLevelType w:val="singleLevel"/>
    <w:tmpl w:val="49FC149F"/>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2"/>
    <w:footnote w:id="3"/>
  </w:footnotePr>
  <w:endnotePr>
    <w:endnote w:id="18"/>
    <w:endnote w:id="19"/>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3D498A"/>
    <w:rsid w:val="00DC7242"/>
    <w:rsid w:val="06654509"/>
    <w:rsid w:val="06C12C9D"/>
    <w:rsid w:val="06CF1ACA"/>
    <w:rsid w:val="09005943"/>
    <w:rsid w:val="0A9C4630"/>
    <w:rsid w:val="0AC01518"/>
    <w:rsid w:val="0F74096A"/>
    <w:rsid w:val="11D9534F"/>
    <w:rsid w:val="129D30B5"/>
    <w:rsid w:val="13045778"/>
    <w:rsid w:val="1AFF5895"/>
    <w:rsid w:val="1FE91D49"/>
    <w:rsid w:val="208F6F74"/>
    <w:rsid w:val="21290176"/>
    <w:rsid w:val="246C65F5"/>
    <w:rsid w:val="24BA4A83"/>
    <w:rsid w:val="2D3D498A"/>
    <w:rsid w:val="2FF32A53"/>
    <w:rsid w:val="30B714C1"/>
    <w:rsid w:val="32C1639E"/>
    <w:rsid w:val="34FD272A"/>
    <w:rsid w:val="42786FE5"/>
    <w:rsid w:val="433075A8"/>
    <w:rsid w:val="4B2E05B1"/>
    <w:rsid w:val="4D9C03E1"/>
    <w:rsid w:val="4F1D75D8"/>
    <w:rsid w:val="55230638"/>
    <w:rsid w:val="567120DE"/>
    <w:rsid w:val="58835CFB"/>
    <w:rsid w:val="59E67FF9"/>
    <w:rsid w:val="5C2F64FC"/>
    <w:rsid w:val="5D851BFC"/>
    <w:rsid w:val="5E0613AD"/>
    <w:rsid w:val="5EAD265E"/>
    <w:rsid w:val="660B65B7"/>
    <w:rsid w:val="697B0C32"/>
    <w:rsid w:val="6ABD6395"/>
    <w:rsid w:val="72775C3D"/>
    <w:rsid w:val="764C393A"/>
    <w:rsid w:val="782B5C23"/>
    <w:rsid w:val="78BB1219"/>
    <w:rsid w:val="7FA87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unhideWhenUsed/>
    <w:qFormat/>
    <w:uiPriority w:val="0"/>
    <w:pPr>
      <w:keepNext/>
      <w:keepLines/>
      <w:spacing w:before="280" w:after="290" w:line="376" w:lineRule="auto"/>
      <w:outlineLvl w:val="3"/>
    </w:pPr>
    <w:rPr>
      <w:b/>
      <w:bCs/>
      <w:sz w:val="28"/>
      <w:szCs w:val="28"/>
    </w:rPr>
  </w:style>
  <w:style w:type="character" w:default="1" w:styleId="6">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character" w:styleId="8">
    <w:name w:val="endnote reference"/>
    <w:basedOn w:val="6"/>
    <w:uiPriority w:val="0"/>
    <w:rPr>
      <w:vertAlign w:val="superscript"/>
    </w:rPr>
  </w:style>
  <w:style w:type="paragraph" w:styleId="9">
    <w:name w:val="endnote text"/>
    <w:basedOn w:val="1"/>
    <w:uiPriority w:val="0"/>
    <w:pPr>
      <w:snapToGrid w:val="0"/>
      <w:jc w:val="left"/>
    </w:pPr>
  </w:style>
  <w:style w:type="character" w:styleId="10">
    <w:name w:val="FollowedHyperlink"/>
    <w:basedOn w:val="6"/>
    <w:qFormat/>
    <w:uiPriority w:val="0"/>
    <w:rPr>
      <w:color w:val="800080"/>
      <w:u w:val="single"/>
    </w:rPr>
  </w:style>
  <w:style w:type="character" w:styleId="11">
    <w:name w:val="footnote reference"/>
    <w:basedOn w:val="6"/>
    <w:qFormat/>
    <w:uiPriority w:val="0"/>
    <w:rPr>
      <w:vertAlign w:val="superscript"/>
    </w:rPr>
  </w:style>
  <w:style w:type="paragraph" w:styleId="12">
    <w:name w:val="footnote text"/>
    <w:basedOn w:val="1"/>
    <w:link w:val="15"/>
    <w:qFormat/>
    <w:uiPriority w:val="0"/>
    <w:pPr>
      <w:snapToGrid w:val="0"/>
      <w:jc w:val="left"/>
    </w:pPr>
    <w:rPr>
      <w:sz w:val="18"/>
      <w:szCs w:val="18"/>
    </w:rPr>
  </w:style>
  <w:style w:type="character" w:styleId="13">
    <w:name w:val="Hyperlink"/>
    <w:basedOn w:val="6"/>
    <w:qFormat/>
    <w:uiPriority w:val="0"/>
    <w:rPr>
      <w:color w:val="0000FF"/>
      <w:u w:val="single"/>
    </w:rPr>
  </w:style>
  <w:style w:type="paragraph" w:styleId="1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customStyle="1" w:styleId="15">
    <w:name w:val="Footnote Text Char"/>
    <w:link w:val="12"/>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49</TotalTime>
  <ScaleCrop>false</ScaleCrop>
  <LinksUpToDate>false</LinksUpToDate>
  <CharactersWithSpaces>0</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2024-04-24T10:42:00Z</dcterms:created>
  <dc:creator>thaku</dc:creator>
  <cp:lastModifiedBy>Aditi Chauhan</cp:lastModifiedBy>
  <dcterms:modified xsi:type="dcterms:W3CDTF">2024-09-12T19:38:18Z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4E4A235CF1E543209F5C1D4E9D420EA0_13</vt:lpwstr>
  </property>
</Properties>
</file>