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76" w:lineRule="auto"/>
        <w:jc w:val="center"/>
        <w:rPr>
          <w:rFonts w:ascii="Times New Roman" w:cs="Times New Roman" w:eastAsia="Times New Roman" w:hAnsi="Times New Roman"/>
          <w:b w:val="1"/>
          <w:bCs w:val="1"/>
          <w:sz w:val="50"/>
          <w:szCs w:val="50"/>
        </w:rPr>
      </w:pPr>
      <w:bookmarkStart w:colFirst="0" w:colLast="0" w:name="_qbc16ojljyv1" w:id="0"/>
      <w:bookmarkEnd w:id="0"/>
      <w:r w:rsidDel="00000000" w:rsidR="00000000" w:rsidRPr="00000000">
        <w:rPr>
          <w:rFonts w:ascii="Times New Roman" w:cs="Times New Roman" w:eastAsia="Times New Roman" w:hAnsi="Times New Roman"/>
          <w:b w:val="1"/>
          <w:bCs w:val="1"/>
          <w:sz w:val="50"/>
          <w:szCs w:val="50"/>
          <w:rtl w:val="0"/>
        </w:rPr>
        <w:t xml:space="preserve">   IMPACT OF INTERNATIONAL ENVIRONMENTAL TREATIES ON INDIAN JUDICIARY: </w:t>
      </w:r>
    </w:p>
    <w:p w:rsidR="00000000" w:rsidDel="00000000" w:rsidP="00000000" w:rsidRDefault="00000000" w:rsidRPr="00000000" w14:paraId="00000002">
      <w:pPr>
        <w:pStyle w:val="Heading1"/>
        <w:spacing w:line="276" w:lineRule="auto"/>
        <w:jc w:val="center"/>
        <w:rPr/>
      </w:pPr>
      <w:bookmarkStart w:colFirst="0" w:colLast="0" w:name="_2dh8tykgq5ip" w:id="1"/>
      <w:bookmarkEnd w:id="1"/>
      <w:r w:rsidDel="00000000" w:rsidR="00000000" w:rsidRPr="00000000">
        <w:rPr>
          <w:rFonts w:ascii="Times New Roman" w:cs="Times New Roman" w:eastAsia="Times New Roman" w:hAnsi="Times New Roman"/>
          <w:b w:val="1"/>
          <w:bCs w:val="1"/>
          <w:i w:val="1"/>
          <w:iCs w:val="1"/>
          <w:sz w:val="44"/>
          <w:szCs w:val="44"/>
          <w:rtl w:val="0"/>
        </w:rPr>
        <w:t xml:space="preserve">Influence of international environmental laws, treaties and pacts on Indian Supreme Court </w:t>
      </w: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By Sarvangie Bajpai</w:t>
      </w:r>
    </w:p>
    <w:p w:rsidR="00000000" w:rsidDel="00000000" w:rsidP="00000000" w:rsidRDefault="00000000" w:rsidRPr="00000000" w14:paraId="00000004">
      <w:pPr>
        <w:spacing w:line="276" w:lineRule="auto"/>
        <w:jc w:val="center"/>
        <w:rPr/>
      </w:pPr>
      <w:r w:rsidDel="00000000" w:rsidR="00000000" w:rsidRPr="00000000">
        <w:rPr>
          <w:rtl w:val="0"/>
        </w:rPr>
      </w:r>
    </w:p>
    <w:p w:rsidR="00000000" w:rsidDel="00000000" w:rsidP="00000000" w:rsidRDefault="00000000" w:rsidRPr="00000000" w14:paraId="00000005">
      <w:pPr>
        <w:spacing w:line="276" w:lineRule="auto"/>
        <w:jc w:val="center"/>
        <w:rPr/>
      </w:pPr>
      <w:r w:rsidDel="00000000" w:rsidR="00000000" w:rsidRPr="00000000">
        <w:rPr>
          <w:rtl w:val="0"/>
        </w:rPr>
      </w:r>
    </w:p>
    <w:p w:rsidR="00000000" w:rsidDel="00000000" w:rsidP="00000000" w:rsidRDefault="00000000" w:rsidRPr="00000000" w14:paraId="00000006">
      <w:pPr>
        <w:spacing w:line="276" w:lineRule="auto"/>
        <w:jc w:val="center"/>
        <w:rPr/>
      </w:pPr>
      <w:r w:rsidDel="00000000" w:rsidR="00000000" w:rsidRPr="00000000">
        <w:rPr>
          <w:rtl w:val="0"/>
        </w:rPr>
      </w:r>
    </w:p>
    <w:p w:rsidR="00000000" w:rsidDel="00000000" w:rsidP="00000000" w:rsidRDefault="00000000" w:rsidRPr="00000000" w14:paraId="00000007">
      <w:pPr>
        <w:spacing w:line="276" w:lineRule="auto"/>
        <w:jc w:val="center"/>
        <w:rPr/>
      </w:pPr>
      <w:r w:rsidDel="00000000" w:rsidR="00000000" w:rsidRPr="00000000">
        <w:rPr>
          <w:rtl w:val="0"/>
        </w:rPr>
      </w:r>
    </w:p>
    <w:p w:rsidR="00000000" w:rsidDel="00000000" w:rsidP="00000000" w:rsidRDefault="00000000" w:rsidRPr="00000000" w14:paraId="00000008">
      <w:pPr>
        <w:spacing w:line="276" w:lineRule="auto"/>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Abstract </w:t>
      </w:r>
    </w:p>
    <w:p w:rsidR="00000000" w:rsidDel="00000000" w:rsidP="00000000" w:rsidRDefault="00000000" w:rsidRPr="00000000" w14:paraId="0000002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article focuses on the influence that international laws, precedents and, most importantly international treaty obligations executed by the Indian parliament have on the Indian judiciary and its decision making, in the new age of climate awareness and sustainable lifestyle in India. The article also touches upon the the expansion of the meaning of Article 14,  Right to equality   and Article 21, Right to Life and Liberty, for the intent of making it more accessible and time-conscious for the citizens of the country </w:t>
      </w:r>
    </w:p>
    <w:p w:rsidR="00000000" w:rsidDel="00000000" w:rsidP="00000000" w:rsidRDefault="00000000" w:rsidRPr="00000000" w14:paraId="0000002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article sheds light upon important judgements while assessing their significance in creating climate conscious precedents for future judgments along with also discussing the balance Supreme Court wants to achieve between development and environment protection, along with addressing the statutory gap between the judicial environment awareness and lack of executive action on the issue. </w:t>
      </w:r>
    </w:p>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numPr>
          <w:ilvl w:val="0"/>
          <w:numId w:val="1"/>
        </w:numPr>
        <w:spacing w:line="36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p>
    <w:p w:rsidR="00000000" w:rsidDel="00000000" w:rsidP="00000000" w:rsidRDefault="00000000" w:rsidRPr="00000000" w14:paraId="00000028">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6"/>
          <w:szCs w:val="26"/>
          <w:rtl w:val="0"/>
        </w:rPr>
        <w:t xml:space="preserve">The conversation regarding the influence of international law over the Indian judiciary appeared in  the case of </w:t>
      </w:r>
      <w:r w:rsidDel="00000000" w:rsidR="00000000" w:rsidRPr="00000000">
        <w:rPr>
          <w:rFonts w:ascii="Times New Roman" w:cs="Times New Roman" w:eastAsia="Times New Roman" w:hAnsi="Times New Roman"/>
          <w:color w:val="333333"/>
          <w:sz w:val="24"/>
          <w:szCs w:val="24"/>
          <w:rtl w:val="0"/>
        </w:rPr>
        <w:t xml:space="preserve">M.K. Ranjitsinh and Others v. Union of India and Others,</w:t>
      </w:r>
      <w:r w:rsidDel="00000000" w:rsidR="00000000" w:rsidRPr="00000000">
        <w:rPr>
          <w:rFonts w:ascii="Times New Roman" w:cs="Times New Roman" w:eastAsia="Times New Roman" w:hAnsi="Times New Roman"/>
          <w:color w:val="333333"/>
          <w:sz w:val="24"/>
          <w:szCs w:val="24"/>
          <w:vertAlign w:val="superscript"/>
        </w:rPr>
        <w:footnoteReference w:customMarkFollows="0" w:id="0"/>
      </w:r>
      <w:r w:rsidDel="00000000" w:rsidR="00000000" w:rsidRPr="00000000">
        <w:rPr>
          <w:rFonts w:ascii="Times New Roman" w:cs="Times New Roman" w:eastAsia="Times New Roman" w:hAnsi="Times New Roman"/>
          <w:color w:val="333333"/>
          <w:sz w:val="24"/>
          <w:szCs w:val="24"/>
          <w:rtl w:val="0"/>
        </w:rPr>
        <w:t xml:space="preserve"> where the main contention was regarding favoring the survival of the great indian bustard bird, a critically endangered bird, having hardly a population of 200 worldwide and out of these ,150 are surviving in the region of Thar desert, in Rajasthan</w:t>
      </w:r>
      <w:r w:rsidDel="00000000" w:rsidR="00000000" w:rsidRPr="00000000">
        <w:rPr>
          <w:rFonts w:ascii="Times New Roman" w:cs="Times New Roman" w:eastAsia="Times New Roman" w:hAnsi="Times New Roman"/>
          <w:color w:val="333333"/>
          <w:sz w:val="24"/>
          <w:szCs w:val="24"/>
          <w:vertAlign w:val="superscript"/>
        </w:rPr>
        <w:footnoteReference w:customMarkFollows="0" w:id="1"/>
      </w:r>
      <w:r w:rsidDel="00000000" w:rsidR="00000000" w:rsidRPr="00000000">
        <w:rPr>
          <w:rFonts w:ascii="Times New Roman" w:cs="Times New Roman" w:eastAsia="Times New Roman" w:hAnsi="Times New Roman"/>
          <w:color w:val="333333"/>
          <w:sz w:val="24"/>
          <w:szCs w:val="24"/>
          <w:rtl w:val="0"/>
        </w:rPr>
        <w:t xml:space="preserve"> or generating renewable energy through renewable resources. The judgement given in this case was influenced by international treaties and conventions signed by India, the court heavily relied upon the combative global warming framework set up by United Nations Framework Convention on CLimate Change and The Paris Agreement. The Supreme Court gave a groundbreaking judgment by expanding Article 14 and article 21 definition while linking it with Article 48 and 51(a) of the Indian Constitution, giving the right to citizens to be free from adverse effects of climate change. </w:t>
      </w:r>
    </w:p>
    <w:p w:rsidR="00000000" w:rsidDel="00000000" w:rsidP="00000000" w:rsidRDefault="00000000" w:rsidRPr="00000000" w14:paraId="00000029">
      <w:pPr>
        <w:spacing w:line="36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2A">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judiciary pointed out the lacking nature of the parliament to make an umbrella policy to look over the resource management in alignment with the obligations of the aforementioned treaty and framework.</w:t>
      </w:r>
    </w:p>
    <w:p w:rsidR="00000000" w:rsidDel="00000000" w:rsidP="00000000" w:rsidRDefault="00000000" w:rsidRPr="00000000" w14:paraId="0000002B">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This brings out a conversation about how influenced is our judiciary with the commitments and obligations made by the parliament at an international stage of reserving climate. The Green Jurisprudence is often influenced by international laws, treaties, etc but at the same time has to give priority to development in certain cases. The justice system has been split in its verdict along with being stringent in some, over the years the supreme court has found itself figuring its footing related to environment related cases. </w:t>
      </w:r>
    </w:p>
    <w:p w:rsidR="00000000" w:rsidDel="00000000" w:rsidP="00000000" w:rsidRDefault="00000000" w:rsidRPr="00000000" w14:paraId="0000002C">
      <w:pPr>
        <w:spacing w:line="36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2D">
      <w:pPr>
        <w:numPr>
          <w:ilvl w:val="0"/>
          <w:numId w:val="1"/>
        </w:numPr>
        <w:spacing w:line="360" w:lineRule="auto"/>
        <w:ind w:left="720" w:hanging="360"/>
        <w:jc w:val="both"/>
        <w:rPr>
          <w:rFonts w:ascii="Times New Roman" w:cs="Times New Roman" w:eastAsia="Times New Roman" w:hAnsi="Times New Roman"/>
          <w:b w:val="1"/>
          <w:bCs w:val="1"/>
          <w:color w:val="333333"/>
          <w:sz w:val="24"/>
          <w:szCs w:val="24"/>
        </w:rPr>
      </w:pPr>
      <w:r w:rsidDel="00000000" w:rsidR="00000000" w:rsidRPr="00000000">
        <w:rPr>
          <w:rFonts w:ascii="Times New Roman" w:cs="Times New Roman" w:eastAsia="Times New Roman" w:hAnsi="Times New Roman"/>
          <w:b w:val="1"/>
          <w:bCs w:val="1"/>
          <w:color w:val="333333"/>
          <w:sz w:val="24"/>
          <w:szCs w:val="24"/>
          <w:rtl w:val="0"/>
        </w:rPr>
        <w:t xml:space="preserve">Green Jurisprudence of India</w:t>
      </w:r>
    </w:p>
    <w:p w:rsidR="00000000" w:rsidDel="00000000" w:rsidP="00000000" w:rsidRDefault="00000000" w:rsidRPr="00000000" w14:paraId="0000002E">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supreme court of India has been progressive in building precedents that favour the climate and not the individuals who tend to destroy it, we see it in the  judgment of MC Mehta vs Kamal Nath</w:t>
      </w:r>
      <w:r w:rsidDel="00000000" w:rsidR="00000000" w:rsidRPr="00000000">
        <w:rPr>
          <w:rFonts w:ascii="Times New Roman" w:cs="Times New Roman" w:eastAsia="Times New Roman" w:hAnsi="Times New Roman"/>
          <w:color w:val="333333"/>
          <w:sz w:val="24"/>
          <w:szCs w:val="24"/>
          <w:vertAlign w:val="superscript"/>
        </w:rPr>
        <w:footnoteReference w:customMarkFollows="0" w:id="2"/>
      </w:r>
      <w:r w:rsidDel="00000000" w:rsidR="00000000" w:rsidRPr="00000000">
        <w:rPr>
          <w:rFonts w:ascii="Times New Roman" w:cs="Times New Roman" w:eastAsia="Times New Roman" w:hAnsi="Times New Roman"/>
          <w:color w:val="333333"/>
          <w:sz w:val="24"/>
          <w:szCs w:val="24"/>
          <w:rtl w:val="0"/>
        </w:rPr>
        <w:t xml:space="preserve">, a 1997 judgement, where the former Environment Minister wanted to divert the course of the river Beas to build his luxury motels in the kullu manali region. The supreme court gave the judgement that no economic construction or activity should be observed in the flood prone area except the preventive construction for the floods, this judgement observed the roman law, stating that water, air are common to all mankind and no  monopoly could be played. This international doctrine also touched upon the fabrics of Article 21 of Indian Constitution, stating that an  executive body or individual cannot allocate public natural assets to private commercial entities if it causes structural ecological damage.</w:t>
      </w:r>
      <w:r w:rsidDel="00000000" w:rsidR="00000000" w:rsidRPr="00000000">
        <w:rPr>
          <w:rFonts w:ascii="Times New Roman" w:cs="Times New Roman" w:eastAsia="Times New Roman" w:hAnsi="Times New Roman"/>
          <w:color w:val="333333"/>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2F">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0">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Taking the above judgements as reference, the Indian judiciary has come a long way in citing international laws, treaties and conventions  as precedents and giving them the due importance. </w:t>
      </w:r>
    </w:p>
    <w:p w:rsidR="00000000" w:rsidDel="00000000" w:rsidP="00000000" w:rsidRDefault="00000000" w:rsidRPr="00000000" w14:paraId="00000031">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 important judgement that brings out climate awareness through the lens of international treaties and conventions is Vellore Citizens Welfare Forum vs Union of India </w:t>
      </w:r>
      <w:r w:rsidDel="00000000" w:rsidR="00000000" w:rsidRPr="00000000">
        <w:rPr>
          <w:rFonts w:ascii="Times New Roman" w:cs="Times New Roman" w:eastAsia="Times New Roman" w:hAnsi="Times New Roman"/>
          <w:color w:val="333333"/>
          <w:sz w:val="24"/>
          <w:szCs w:val="24"/>
          <w:vertAlign w:val="superscript"/>
        </w:rPr>
        <w:footnoteReference w:customMarkFollows="0" w:id="4"/>
      </w:r>
      <w:r w:rsidDel="00000000" w:rsidR="00000000" w:rsidRPr="00000000">
        <w:rPr>
          <w:rFonts w:ascii="Times New Roman" w:cs="Times New Roman" w:eastAsia="Times New Roman" w:hAnsi="Times New Roman"/>
          <w:color w:val="333333"/>
          <w:sz w:val="24"/>
          <w:szCs w:val="24"/>
          <w:rtl w:val="0"/>
        </w:rPr>
        <w:t xml:space="preserve"> , one of the cases of PILs where the petition was against massive water pollution by approximately 900 tanneries in the state of Tamil Nadu, the tanneries were discharging toxic effluent into the Palar River which was surrounded by agriculture land, contaminating local drinking water, furthermore leaving the land barren and unusable. The Supreme Court judgment was based on the Stockholm Declaration 1972 and the principle 11, 13, 15 of Rio Declaration 1992. Court regarded theIndia’s participation in the Stockholm conference and its eager voice in environment conservation and protection. The principles in the Rio Declaration say that states shall pass strict laws for the protection of environment and not laws that deem as “one size fits all”(Principle 11) this principle is a Western-centric, overly rigid standard which  can impose unwarranted economic and social costs on developing nations like India., they further mention the accountability of the industry or individual who pollutes the environment, how national laws must be in place to hold the polluter liable and the victim to be compensated( Principle13). In Principle 15 :In order to protect the environment, the precautionary approach shall be widely applied by States according to their capabilities. Where there are threats of serious or irreversible damage, lack of full scientific certainty shall not be used as a reason for postponing cost-effective measures to prevent environmental degradation. </w:t>
      </w:r>
      <w:r w:rsidDel="00000000" w:rsidR="00000000" w:rsidRPr="00000000">
        <w:rPr>
          <w:rFonts w:ascii="Times New Roman" w:cs="Times New Roman" w:eastAsia="Times New Roman" w:hAnsi="Times New Roman"/>
          <w:color w:val="333333"/>
          <w:sz w:val="24"/>
          <w:szCs w:val="24"/>
          <w:vertAlign w:val="superscript"/>
        </w:rPr>
        <w:footnoteReference w:customMarkFollows="0" w:id="5"/>
      </w:r>
      <w:r w:rsidDel="00000000" w:rsidR="00000000" w:rsidRPr="00000000">
        <w:rPr>
          <w:rFonts w:ascii="Times New Roman" w:cs="Times New Roman" w:eastAsia="Times New Roman" w:hAnsi="Times New Roman"/>
          <w:color w:val="333333"/>
          <w:sz w:val="24"/>
          <w:szCs w:val="24"/>
          <w:rtl w:val="0"/>
        </w:rPr>
        <w:t xml:space="preserve"> This is a precautionary principle for the states to adopt to not wait for the absolute damage or disaster. The Supreme Court awarded the judgment to the petitioners while also touching on the fabric of Article 21 and 48 of the Indian Constitution. This became a landmark judgment being cited in cases related to environmental protection over the years. This showcases the intentions to domesticate the international obligations to fit the Indian standard.</w:t>
      </w:r>
    </w:p>
    <w:p w:rsidR="00000000" w:rsidDel="00000000" w:rsidP="00000000" w:rsidRDefault="00000000" w:rsidRPr="00000000" w14:paraId="00000032">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3">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approach of the Supreme Court relying on international declarations and treaties is prevalent, although there are judgements that override environmental rights over developmental projects, as mentioned in the Supreme Court Observer article in 2024 written by Sushon Pattnaik. We see a glimpse of this statement in the case of Gene Campaign v. Union of India</w:t>
      </w:r>
      <w:r w:rsidDel="00000000" w:rsidR="00000000" w:rsidRPr="00000000">
        <w:rPr>
          <w:rFonts w:ascii="Times New Roman" w:cs="Times New Roman" w:eastAsia="Times New Roman" w:hAnsi="Times New Roman"/>
          <w:color w:val="333333"/>
          <w:sz w:val="24"/>
          <w:szCs w:val="24"/>
          <w:vertAlign w:val="superscript"/>
        </w:rPr>
        <w:footnoteReference w:customMarkFollows="0" w:id="6"/>
      </w:r>
      <w:r w:rsidDel="00000000" w:rsidR="00000000" w:rsidRPr="00000000">
        <w:rPr>
          <w:rFonts w:ascii="Times New Roman" w:cs="Times New Roman" w:eastAsia="Times New Roman" w:hAnsi="Times New Roman"/>
          <w:color w:val="333333"/>
          <w:sz w:val="24"/>
          <w:szCs w:val="24"/>
          <w:rtl w:val="0"/>
        </w:rPr>
        <w:t xml:space="preserve">,where there was a concern related to releasing Dhara Mustard Hybrid</w:t>
      </w:r>
      <w:r w:rsidDel="00000000" w:rsidR="00000000" w:rsidRPr="00000000">
        <w:rPr>
          <w:rFonts w:ascii="Times New Roman" w:cs="Times New Roman" w:eastAsia="Times New Roman" w:hAnsi="Times New Roman"/>
          <w:b w:val="1"/>
          <w:bCs w:val="1"/>
          <w:color w:val="333333"/>
          <w:sz w:val="24"/>
          <w:szCs w:val="24"/>
          <w:rtl w:val="0"/>
        </w:rPr>
        <w:t xml:space="preserve"> </w:t>
      </w:r>
      <w:r w:rsidDel="00000000" w:rsidR="00000000" w:rsidRPr="00000000">
        <w:rPr>
          <w:rFonts w:ascii="Times New Roman" w:cs="Times New Roman" w:eastAsia="Times New Roman" w:hAnsi="Times New Roman"/>
          <w:color w:val="333333"/>
          <w:sz w:val="24"/>
          <w:szCs w:val="24"/>
          <w:rtl w:val="0"/>
        </w:rPr>
        <w:t xml:space="preserve">11, there was a split verdict, leaving the regulation of the Dhara Mustard-11uncertain. Justice BV Nagarthana was against the release of the GM, stating that “</w:t>
      </w:r>
      <w:r w:rsidDel="00000000" w:rsidR="00000000" w:rsidRPr="00000000">
        <w:rPr>
          <w:rFonts w:ascii="Times New Roman" w:cs="Times New Roman" w:eastAsia="Times New Roman" w:hAnsi="Times New Roman"/>
          <w:sz w:val="24"/>
          <w:szCs w:val="24"/>
          <w:rtl w:val="0"/>
        </w:rPr>
        <w:t xml:space="preserve">Ministry of Environment, Forest and Climate Change’s approval of the GEAC’s decision was given without consulting state governments even though agriculture fell under Entry 14 of the State list. Further, health experts were not consulted by the GEAC before approving its release. Therefore, she directed that in the future, before such a release the GEAC must consult with stakeholders and ensure that it was not a Herbicide Tolerant crop, known to cause cancer. On this front, the MoEFCC will now have to publish an official report on its website claiming that DMH-11 is not carcinogenic.”</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Justice BV </w:t>
      </w:r>
      <w:r w:rsidDel="00000000" w:rsidR="00000000" w:rsidRPr="00000000">
        <w:rPr>
          <w:rFonts w:ascii="Times New Roman" w:cs="Times New Roman" w:eastAsia="Times New Roman" w:hAnsi="Times New Roman"/>
          <w:color w:val="333333"/>
          <w:sz w:val="24"/>
          <w:szCs w:val="24"/>
          <w:rtl w:val="0"/>
        </w:rPr>
        <w:t xml:space="preserve">Nagarthana also pointed out that the release may lead to the loss of the mustard, indigenously grown in the country.while on the other hand Justice Sanja Karol was of the opinion that the GM should be released calling it a developmental approach of scientific nature. We can note from the above judgments that while Vellore established the Precautionary Principle into law, Gene Campaign shows how the Supreme Court still struggles to apply that very principle when scientific certainty conflicts with technological advancement.</w:t>
      </w:r>
    </w:p>
    <w:p w:rsidR="00000000" w:rsidDel="00000000" w:rsidP="00000000" w:rsidRDefault="00000000" w:rsidRPr="00000000" w14:paraId="00000034">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5">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When we see judgements like these we cannot entirely blame the bench since the environment laws are not specific; we mark that the laws are more inclined in “one size fits all” and remarked that : Overall, EIA is based on regulations which can neither be monitored nor effectively penalized in cases of violation, making the legal requirements toothless.</w:t>
      </w:r>
      <w:r w:rsidDel="00000000" w:rsidR="00000000" w:rsidRPr="00000000">
        <w:rPr>
          <w:rFonts w:ascii="Times New Roman" w:cs="Times New Roman" w:eastAsia="Times New Roman" w:hAnsi="Times New Roman"/>
          <w:color w:val="333333"/>
          <w:sz w:val="24"/>
          <w:szCs w:val="24"/>
          <w:vertAlign w:val="superscript"/>
        </w:rPr>
        <w:footnoteReference w:customMarkFollows="0" w:id="8"/>
      </w:r>
      <w:r w:rsidDel="00000000" w:rsidR="00000000" w:rsidRPr="00000000">
        <w:rPr>
          <w:rFonts w:ascii="Times New Roman" w:cs="Times New Roman" w:eastAsia="Times New Roman" w:hAnsi="Times New Roman"/>
          <w:color w:val="333333"/>
          <w:sz w:val="24"/>
          <w:szCs w:val="24"/>
          <w:rtl w:val="0"/>
        </w:rPr>
        <w:t xml:space="preserve"> We can observe by this that although the judiciary takes efforts, maintaining a balance between development and environment, the laws of the country are more lacking. The justice system needs to borrow and be influenced by international laws as the country itself lacks in areas which require specific attention and concentrated laws. </w:t>
      </w:r>
    </w:p>
    <w:p w:rsidR="00000000" w:rsidDel="00000000" w:rsidP="00000000" w:rsidRDefault="00000000" w:rsidRPr="00000000" w14:paraId="00000036">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7">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This delicate judicial balancing act highlights a structural paradox within India's domestic environmental framework. As noted in the paper Environment (Protection) Act, 1986 acts as an expansive umbrella law, yet its operational mechanisms often default to rigid, one-size-fits-all compliance checklists. The Environmental Impact Assessment (EIA) process, for instance, frequently utilizes generic regulations that fail to account for distinct regional micro-climates, unique geographic vulnerabilities, or local community rights.</w:t>
      </w:r>
    </w:p>
    <w:p w:rsidR="00000000" w:rsidDel="00000000" w:rsidP="00000000" w:rsidRDefault="00000000" w:rsidRPr="00000000" w14:paraId="00000038">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Because domestic statutes routinely suffer from these regulatory blind spots and toothless enforcement mechanisms, the Supreme Court is repeatedly forced to look beyond national borders. By establishing norms from international environmental pacts, agreements and global treaties, the judiciary attempts to inject local flexibility and scientific foresight into a rigid domestic system. However, relying solely on judicial intervention to patch  the statutory gaps creates an unpredictable and unstable legal landscape, as seen in the split judgement of 2024. For green jurisprudence to truly mature, India’s international treaty obligations must be translated into precise, region-specific statutory laws rather than remaining confined to the ambitious prose of judicial precedents.</w:t>
      </w:r>
    </w:p>
    <w:p w:rsidR="00000000" w:rsidDel="00000000" w:rsidP="00000000" w:rsidRDefault="00000000" w:rsidRPr="00000000" w14:paraId="00000039">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A">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judgments reflect a need of an environmentally conscious mind since they recognise it as a fundamental right under article 14 and article 21 specifically while also reflecting its importance as a Directive principle under article 48(a) and article 51 of the Indian Constitution. The law recognises the gravity of fresh air, water and nature and intends to follow through. The courts have been well aware of the rights of the citizens and duties of the parliament.</w:t>
      </w:r>
    </w:p>
    <w:p w:rsidR="00000000" w:rsidDel="00000000" w:rsidP="00000000" w:rsidRDefault="00000000" w:rsidRPr="00000000" w14:paraId="0000003B">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C">
      <w:pPr>
        <w:numPr>
          <w:ilvl w:val="0"/>
          <w:numId w:val="1"/>
        </w:numPr>
        <w:spacing w:line="360" w:lineRule="auto"/>
        <w:ind w:left="720" w:hanging="360"/>
        <w:jc w:val="both"/>
        <w:rPr>
          <w:rFonts w:ascii="Times New Roman" w:cs="Times New Roman" w:eastAsia="Times New Roman" w:hAnsi="Times New Roman"/>
          <w:b w:val="1"/>
          <w:bCs w:val="1"/>
          <w:color w:val="333333"/>
          <w:sz w:val="24"/>
          <w:szCs w:val="24"/>
        </w:rPr>
      </w:pPr>
      <w:r w:rsidDel="00000000" w:rsidR="00000000" w:rsidRPr="00000000">
        <w:rPr>
          <w:rFonts w:ascii="Times New Roman" w:cs="Times New Roman" w:eastAsia="Times New Roman" w:hAnsi="Times New Roman"/>
          <w:b w:val="1"/>
          <w:bCs w:val="1"/>
          <w:color w:val="333333"/>
          <w:sz w:val="24"/>
          <w:szCs w:val="24"/>
          <w:rtl w:val="0"/>
        </w:rPr>
        <w:t xml:space="preserve">Conclusion </w:t>
      </w:r>
    </w:p>
    <w:p w:rsidR="00000000" w:rsidDel="00000000" w:rsidP="00000000" w:rsidRDefault="00000000" w:rsidRPr="00000000" w14:paraId="0000003D">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evolution of green jurisprudence in India demonstrates a unique phenomenon of judicial transplanatation, where the Supreme Court has utilised international environmental laws, soft-law declarations, and treaty obligations to patch structural gaps within domestic legislation. From citing the ancient Roman Public Trust Doctrine in M.C. Mehta v. Kamal Nath to domesticating the Rio Declaration's Precautionary Principle in Vellore Citizens, the judiciary has utilised theinternational standards to expand constitutional protections under Articles 14 and  Aricle 21. The 2024 ruling in M.K. Ranjitsinh  marks the pinnacle of this integration, officially and legally birthing a standalone fundamental right against the adverse impacts of climate change by leaning on the obligations set by the Paris Agreement.</w:t>
      </w:r>
    </w:p>
    <w:p w:rsidR="00000000" w:rsidDel="00000000" w:rsidP="00000000" w:rsidRDefault="00000000" w:rsidRPr="00000000" w14:paraId="0000003E">
      <w:pPr>
        <w:spacing w:line="36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However,the split verdict in the Gene Campaign case and systemic criticisms of the Environmental Impact Assessment (EIA) framework,  we observe an underlying friction that still remains. While the Supreme Court frequently "speaks green" by establishing progressive, international-focused judgements, the executive branch often acts vague when confronted with the pressing demands of industrial and scientific development. This dualism underscores a deeper truth: a climate-conscious judiciary cannot protect the ecosystem in a legislative vacuum. The international law influence is prevalent but it seems not to overmine the inland laws. The judiciary actively borrows and recites the international obligations but also tied to its homeland laws </w:t>
      </w:r>
    </w:p>
    <w:p w:rsidR="00000000" w:rsidDel="00000000" w:rsidP="00000000" w:rsidRDefault="00000000" w:rsidRPr="00000000" w14:paraId="00000040">
      <w:pPr>
        <w:spacing w:line="36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For India to honor its international environmental obligations and turn a more climate conscious mindset, the executive and legislative branches must move away from rigid, "one-size-fits-all" bureaucratic mechanisms, expand the Environmental laws and policies to cater to the international principles borrowed by the judiciary , they must be systematically codified into precise, eco-region-specific domestic laws. Ultimately, the survival of India's fragile ecosystems—and the marginalized communities bound to them—depends on transitioning these international doctrines from lofty judicial precedents into proactive, daily statutory enforcement.</w:t>
      </w:r>
    </w:p>
    <w:p w:rsidR="00000000" w:rsidDel="00000000" w:rsidP="00000000" w:rsidRDefault="00000000" w:rsidRPr="00000000" w14:paraId="00000042">
      <w:pPr>
        <w:spacing w:line="36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43">
      <w:pPr>
        <w:spacing w:line="360" w:lineRule="auto"/>
        <w:ind w:left="0" w:firstLine="0"/>
        <w:jc w:val="both"/>
        <w:rPr>
          <w:rFonts w:ascii="Times New Roman" w:cs="Times New Roman" w:eastAsia="Times New Roman" w:hAnsi="Times New Roman"/>
          <w:color w:val="333333"/>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4"/>
          <w:szCs w:val="24"/>
          <w:rtl w:val="0"/>
        </w:rPr>
        <w:t xml:space="preserve">M.K. Ranjitsinh and Others v. Union of India and Others 2024 INSC 280</w:t>
      </w:r>
      <w:r w:rsidDel="00000000" w:rsidR="00000000" w:rsidRPr="00000000">
        <w:rPr>
          <w:rtl w:val="0"/>
        </w:rPr>
      </w:r>
    </w:p>
  </w:footnote>
  <w:footnote w:id="1">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iCs w:val="1"/>
          <w:sz w:val="24"/>
          <w:szCs w:val="24"/>
          <w:rtl w:val="0"/>
        </w:rPr>
        <w:t xml:space="preserve">Great Indian bustard</w:t>
      </w:r>
      <w:r w:rsidDel="00000000" w:rsidR="00000000" w:rsidRPr="00000000">
        <w:rPr>
          <w:rFonts w:ascii="Times New Roman" w:cs="Times New Roman" w:eastAsia="Times New Roman" w:hAnsi="Times New Roman"/>
          <w:sz w:val="24"/>
          <w:szCs w:val="24"/>
          <w:rtl w:val="0"/>
        </w:rPr>
        <w:t xml:space="preserve">. (n.d.). https://www.wwfindia.org/about_wwf/priority_species/threatened_species/great_indian_bustard/</w:t>
      </w:r>
    </w:p>
    <w:p w:rsidR="00000000" w:rsidDel="00000000" w:rsidP="00000000" w:rsidRDefault="00000000" w:rsidRPr="00000000" w14:paraId="00000046">
      <w:pPr>
        <w:spacing w:line="240" w:lineRule="auto"/>
        <w:rPr>
          <w:sz w:val="20"/>
          <w:szCs w:val="20"/>
        </w:rPr>
      </w:pPr>
      <w:r w:rsidDel="00000000" w:rsidR="00000000" w:rsidRPr="00000000">
        <w:rPr>
          <w:rtl w:val="0"/>
        </w:rPr>
      </w:r>
    </w:p>
  </w:footnote>
  <w:footnote w:id="2">
    <w:p w:rsidR="00000000" w:rsidDel="00000000" w:rsidP="00000000" w:rsidRDefault="00000000" w:rsidRPr="00000000" w14:paraId="00000047">
      <w:pPr>
        <w:spacing w:line="240" w:lineRule="auto"/>
        <w:rPr>
          <w:rFonts w:ascii="Times New Roman" w:cs="Times New Roman" w:eastAsia="Times New Roman" w:hAnsi="Times New Roman"/>
          <w:color w:val="333333"/>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4"/>
          <w:szCs w:val="24"/>
          <w:rtl w:val="0"/>
        </w:rPr>
        <w:t xml:space="preserve"> MC Mehta vs Kamal Nath (1997) 1 SCC 388</w:t>
      </w:r>
    </w:p>
    <w:p w:rsidR="00000000" w:rsidDel="00000000" w:rsidP="00000000" w:rsidRDefault="00000000" w:rsidRPr="00000000" w14:paraId="00000048">
      <w:pPr>
        <w:spacing w:line="240" w:lineRule="auto"/>
        <w:rPr>
          <w:sz w:val="20"/>
          <w:szCs w:val="20"/>
        </w:rPr>
      </w:pPr>
      <w:r w:rsidDel="00000000" w:rsidR="00000000" w:rsidRPr="00000000">
        <w:rPr>
          <w:rtl w:val="0"/>
        </w:rPr>
      </w:r>
    </w:p>
  </w:footnote>
  <w:footnote w:id="3">
    <w:p w:rsidR="00000000" w:rsidDel="00000000" w:rsidP="00000000" w:rsidRDefault="00000000" w:rsidRPr="00000000" w14:paraId="00000049">
      <w:pPr>
        <w:spacing w:line="240" w:lineRule="auto"/>
        <w:rPr>
          <w:rFonts w:ascii="Times New Roman" w:cs="Times New Roman" w:eastAsia="Times New Roman" w:hAnsi="Times New Roman"/>
          <w:color w:val="333333"/>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4"/>
          <w:szCs w:val="24"/>
          <w:rtl w:val="0"/>
        </w:rPr>
        <w:t xml:space="preserve">Supra 3 </w:t>
      </w:r>
    </w:p>
    <w:p w:rsidR="00000000" w:rsidDel="00000000" w:rsidP="00000000" w:rsidRDefault="00000000" w:rsidRPr="00000000" w14:paraId="0000004A">
      <w:pPr>
        <w:spacing w:line="240" w:lineRule="auto"/>
        <w:rPr>
          <w:sz w:val="20"/>
          <w:szCs w:val="20"/>
        </w:rPr>
      </w:pPr>
      <w:r w:rsidDel="00000000" w:rsidR="00000000" w:rsidRPr="00000000">
        <w:rPr>
          <w:rtl w:val="0"/>
        </w:rPr>
      </w:r>
    </w:p>
  </w:footnote>
  <w:footnote w:id="4">
    <w:p w:rsidR="00000000" w:rsidDel="00000000" w:rsidP="00000000" w:rsidRDefault="00000000" w:rsidRPr="00000000" w14:paraId="0000004B">
      <w:pPr>
        <w:spacing w:line="240" w:lineRule="auto"/>
        <w:rPr>
          <w:rFonts w:ascii="Times New Roman" w:cs="Times New Roman" w:eastAsia="Times New Roman" w:hAnsi="Times New Roman"/>
          <w:color w:val="333333"/>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4"/>
          <w:szCs w:val="24"/>
          <w:rtl w:val="0"/>
        </w:rPr>
        <w:t xml:space="preserve">Vellore Citizens Welfare Forum vs Union of India (1996) 5 SCC 647</w:t>
      </w:r>
    </w:p>
    <w:p w:rsidR="00000000" w:rsidDel="00000000" w:rsidP="00000000" w:rsidRDefault="00000000" w:rsidRPr="00000000" w14:paraId="0000004C">
      <w:pPr>
        <w:spacing w:line="240" w:lineRule="auto"/>
        <w:rPr>
          <w:sz w:val="20"/>
          <w:szCs w:val="20"/>
        </w:rPr>
      </w:pPr>
      <w:r w:rsidDel="00000000" w:rsidR="00000000" w:rsidRPr="00000000">
        <w:rPr>
          <w:rtl w:val="0"/>
        </w:rPr>
      </w:r>
    </w:p>
  </w:footnote>
  <w:footnote w:id="5">
    <w:p w:rsidR="00000000" w:rsidDel="00000000" w:rsidP="00000000" w:rsidRDefault="00000000" w:rsidRPr="00000000" w14:paraId="0000004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United Nations. (1992). </w:t>
      </w:r>
      <w:r w:rsidDel="00000000" w:rsidR="00000000" w:rsidRPr="00000000">
        <w:rPr>
          <w:rFonts w:ascii="Times New Roman" w:cs="Times New Roman" w:eastAsia="Times New Roman" w:hAnsi="Times New Roman"/>
          <w:i w:val="1"/>
          <w:iCs w:val="1"/>
          <w:sz w:val="24"/>
          <w:szCs w:val="24"/>
          <w:rtl w:val="0"/>
        </w:rPr>
        <w:t xml:space="preserve">Rio Declaration on Environment and Development 1992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ootnote>
  <w:footnote w:id="6">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24"/>
          <w:szCs w:val="24"/>
          <w:rtl w:val="0"/>
        </w:rPr>
        <w:t xml:space="preserve">Gene Campaign v. Union of India</w:t>
      </w:r>
      <w:r w:rsidDel="00000000" w:rsidR="00000000" w:rsidRPr="00000000">
        <w:rPr>
          <w:rFonts w:ascii="Times New Roman" w:cs="Times New Roman" w:eastAsia="Times New Roman" w:hAnsi="Times New Roman"/>
          <w:sz w:val="24"/>
          <w:szCs w:val="24"/>
          <w:rtl w:val="0"/>
        </w:rPr>
        <w:t xml:space="preserve">  2024 INSC 545</w:t>
      </w:r>
    </w:p>
  </w:footnote>
  <w:footnote w:id="7">
    <w:p w:rsidR="00000000" w:rsidDel="00000000" w:rsidP="00000000" w:rsidRDefault="00000000" w:rsidRPr="00000000" w14:paraId="0000004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Supreme Court Observer. (2025, January 4). </w:t>
      </w:r>
      <w:r w:rsidDel="00000000" w:rsidR="00000000" w:rsidRPr="00000000">
        <w:rPr>
          <w:rFonts w:ascii="Times New Roman" w:cs="Times New Roman" w:eastAsia="Times New Roman" w:hAnsi="Times New Roman"/>
          <w:i w:val="1"/>
          <w:iCs w:val="1"/>
          <w:sz w:val="24"/>
          <w:szCs w:val="24"/>
          <w:rtl w:val="0"/>
        </w:rPr>
        <w:t xml:space="preserve">Supreme Court Review 2024: Speaking green, acting grey on key environmental issues - Supreme Court Observer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ootnote>
  <w:footnote w:id="8">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FAT PROMISES AND LEAN PERFORMANCES: WHY IS ENVIRONMENTAL IMPACT ASSESSMENT UNDERPERFORMING IN INDIA? “ Urmila Jha Tha</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