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B9952">
      <w:pPr>
        <w:spacing w:before="480" w:after="240"/>
        <w:jc w:val="center"/>
        <w:rPr>
          <w:sz w:val="32"/>
          <w:szCs w:val="32"/>
        </w:rPr>
      </w:pPr>
      <w:r>
        <w:rPr>
          <w:rFonts w:hint="default" w:ascii="Times New Roman" w:hAnsi="Times New Roman" w:eastAsia="Times New Roman" w:cs="Times New Roman"/>
          <w:b/>
          <w:sz w:val="32"/>
          <w:szCs w:val="32"/>
          <w:lang w:val="en-IN"/>
        </w:rPr>
        <w:t>REGULATORY CHALLENGES AND LEGAL REFORMS IN ADDRESSING MONEY LAUNDERING AND CORPORATE FRAUDS IN INDIA</w:t>
      </w:r>
      <w:r>
        <w:rPr>
          <w:rFonts w:ascii="Times New Roman" w:hAnsi="Times New Roman" w:eastAsia="Times New Roman" w:cs="Times New Roman"/>
          <w:b/>
          <w:bCs/>
          <w:sz w:val="32"/>
          <w:szCs w:val="32"/>
          <w:rtl w:val="0"/>
        </w:rPr>
        <w:t>:</w:t>
      </w:r>
    </w:p>
    <w:p w14:paraId="011F4DBF">
      <w:pPr>
        <w:spacing w:before="120" w:after="120"/>
        <w:jc w:val="center"/>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lang w:val="en-IN"/>
        </w:rPr>
        <w:t xml:space="preserve">A </w:t>
      </w:r>
      <w:r>
        <w:rPr>
          <w:rFonts w:hint="default" w:ascii="Times New Roman" w:hAnsi="Times New Roman" w:eastAsia="SimSun" w:cs="Times New Roman"/>
          <w:i/>
          <w:iCs/>
          <w:sz w:val="28"/>
          <w:szCs w:val="28"/>
        </w:rPr>
        <w:t>Comparative, International, and Policy Analysis</w:t>
      </w:r>
    </w:p>
    <w:p w14:paraId="3402A0F8">
      <w:pPr>
        <w:spacing w:before="120" w:after="120"/>
        <w:jc w:val="center"/>
      </w:pPr>
      <w:r>
        <w:rPr>
          <w:rFonts w:ascii="Times New Roman" w:hAnsi="Times New Roman" w:eastAsia="Times New Roman" w:cs="Times New Roman"/>
          <w:b/>
          <w:bCs/>
          <w:sz w:val="24"/>
          <w:szCs w:val="24"/>
          <w:rtl w:val="0"/>
        </w:rPr>
        <w:t>A Legal Research Paper</w:t>
      </w:r>
    </w:p>
    <w:p w14:paraId="19FDCBB5">
      <w:pPr>
        <w:spacing w:before="80" w:after="80"/>
      </w:pPr>
    </w:p>
    <w:p w14:paraId="61F2C628">
      <w:pPr>
        <w:spacing w:before="120" w:after="120"/>
        <w:jc w:val="center"/>
      </w:pPr>
      <w:r>
        <w:rPr>
          <w:rFonts w:ascii="Times New Roman" w:hAnsi="Times New Roman" w:eastAsia="Times New Roman" w:cs="Times New Roman"/>
          <w:b w:val="0"/>
          <w:bCs w:val="0"/>
          <w:sz w:val="22"/>
          <w:szCs w:val="22"/>
          <w:rtl w:val="0"/>
        </w:rPr>
        <w:t>Submitted in Partial Fulfilment of Academic Requirements</w:t>
      </w:r>
    </w:p>
    <w:p w14:paraId="1D6573CF">
      <w:pPr>
        <w:spacing w:before="120" w:after="120"/>
        <w:jc w:val="center"/>
      </w:pPr>
      <w:r>
        <w:rPr>
          <w:rFonts w:ascii="Times New Roman" w:hAnsi="Times New Roman" w:eastAsia="Times New Roman" w:cs="Times New Roman"/>
          <w:b w:val="0"/>
          <w:bCs w:val="0"/>
          <w:sz w:val="22"/>
          <w:szCs w:val="22"/>
          <w:rtl w:val="0"/>
        </w:rPr>
        <w:t>Faculty of Law</w:t>
      </w:r>
    </w:p>
    <w:p w14:paraId="6561E2D4">
      <w:r>
        <w:br w:type="page"/>
      </w:r>
    </w:p>
    <w:p w14:paraId="2F8B095E">
      <w:pPr>
        <w:spacing w:line="360" w:lineRule="auto"/>
        <w:jc w:val="center"/>
        <w:rPr>
          <w:rFonts w:ascii="Times New Roman" w:hAnsi="Times New Roman" w:eastAsia="Times New Roman" w:cs="Times New Roman"/>
          <w:b/>
          <w:bCs/>
          <w:sz w:val="32"/>
          <w:szCs w:val="24"/>
          <w:lang w:eastAsia="en-IN"/>
        </w:rPr>
      </w:pPr>
      <w:r>
        <w:rPr>
          <w:rFonts w:ascii="Times New Roman" w:hAnsi="Times New Roman" w:eastAsia="Times New Roman" w:cs="Times New Roman"/>
          <w:b/>
          <w:bCs/>
          <w:sz w:val="32"/>
          <w:szCs w:val="24"/>
          <w:lang w:eastAsia="en-IN"/>
        </w:rPr>
        <w:t>Abstract</w:t>
      </w:r>
    </w:p>
    <w:p w14:paraId="56340CE2">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Money laundering and corporate fraud are some of the financial crimes that have posed a serious economic stability, governance and corporate integrity risk especially in developing economies such as India. As the world grows more globalized, more digital financial systems and cross</w:t>
      </w:r>
      <w:r>
        <w:rPr>
          <w:rFonts w:hint="default" w:ascii="Times New Roman" w:hAnsi="Times New Roman" w:eastAsia="Times New Roman" w:cs="Times New Roman"/>
          <w:bCs/>
          <w:sz w:val="24"/>
          <w:szCs w:val="24"/>
          <w:lang w:val="en-US" w:eastAsia="en-IN"/>
        </w:rPr>
        <w:t xml:space="preserve"> </w:t>
      </w:r>
      <w:r>
        <w:rPr>
          <w:rFonts w:ascii="Times New Roman" w:hAnsi="Times New Roman" w:eastAsia="Times New Roman" w:cs="Times New Roman"/>
          <w:bCs/>
          <w:sz w:val="24"/>
          <w:szCs w:val="24"/>
          <w:lang w:eastAsia="en-IN"/>
        </w:rPr>
        <w:t>border capital flows, the amount and intricacy of these crimes have grown manifold. Money laundering entails concealing the sources of illegal money by use of phases such as placement, layering and integration whereas corporate fraud entails misrepresenting financial information, insider trading, embezzling and falsifying financial reports. These offences are not only corrupting financial markets but also undermining investor confidence and institutional trust.</w:t>
      </w:r>
    </w:p>
    <w:p w14:paraId="093D0080">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India has established an elaborate legal and regulatory framework to curb financial crimes and has achieved this mainly under the Prevention of Money Laundering Act 2002 (PMLA), the Companies Act 2013</w:t>
      </w:r>
      <w:r>
        <w:rPr>
          <w:rFonts w:hint="default" w:ascii="Times New Roman" w:hAnsi="Times New Roman" w:eastAsia="Times New Roman" w:cs="Times New Roman"/>
          <w:bCs/>
          <w:sz w:val="24"/>
          <w:szCs w:val="24"/>
          <w:lang w:val="en-US" w:eastAsia="en-IN"/>
        </w:rPr>
        <w:t>,</w:t>
      </w:r>
      <w:r>
        <w:rPr>
          <w:rFonts w:ascii="Times New Roman" w:hAnsi="Times New Roman" w:eastAsia="Times New Roman" w:cs="Times New Roman"/>
          <w:bCs/>
          <w:sz w:val="24"/>
          <w:szCs w:val="24"/>
          <w:lang w:eastAsia="en-IN"/>
        </w:rPr>
        <w:t xml:space="preserve"> and the regulatory provisions of various bodies such as Securities and Exchange Board of India(SEBI) and the Reserve Bank of India(RBI). Also, the enforcement agencies such as the Enforcement Directorate(ED), Serious Fraud Investigation Office(SFIO), Financial Intelligence Unit(FIU-IND) and Central Bureau of Investigation (CBI) are instrumental in the investigation and prosecution. In spite of having this formidable framework, financial crimes are still on the increase because of the emerging methods like shell companies, benami transaction, offshore accounts, and digital currencies.</w:t>
      </w:r>
    </w:p>
    <w:p w14:paraId="14AB3D8E">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The paper identifies institutional fragmentation, absence of coordination between agencies, procedural delays, and inadequate technological capacity as some of the significant regulatory and enforcement issues in India. Duplication of efforts and inefficiencies in investigations and prosecutions can be common where there are various agencies that have overlapping jurisdictions. Moreover, there are evidentiary complexities especially in digital and cross-border transactions that pose considerable impediments to the effective enforcement. The deterrent effect of the existing laws is also undermined by judicial delays and low conviction rates.</w:t>
      </w:r>
    </w:p>
    <w:p w14:paraId="0F6DC801">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The second significant issue that is the focus of this paper is the abuse of corporate vehicles like shell companies and convoluted ownership arrangements to hide the beneficial ownership and move illegal finances. The absence of transparency and challenges in ownership tracing across jurisdictions are an impediment to regulation. The paper also discusses the risks of new technologies, such as fintech platforms, online payments, and cryptocurrencies, that have provided new opportunities to perpetrate financial fraud and money laundering.</w:t>
      </w:r>
    </w:p>
    <w:p w14:paraId="5394ACC2">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 xml:space="preserve">The criterion employed in the study to assess the </w:t>
      </w:r>
      <w:r>
        <w:rPr>
          <w:rFonts w:hint="default" w:ascii="Times New Roman" w:hAnsi="Times New Roman" w:eastAsia="Times New Roman" w:cs="Times New Roman"/>
          <w:bCs/>
          <w:sz w:val="24"/>
          <w:szCs w:val="24"/>
          <w:lang w:val="en-US" w:eastAsia="en-IN"/>
        </w:rPr>
        <w:t xml:space="preserve">efficiency </w:t>
      </w:r>
      <w:r>
        <w:rPr>
          <w:rFonts w:ascii="Times New Roman" w:hAnsi="Times New Roman" w:eastAsia="Times New Roman" w:cs="Times New Roman"/>
          <w:bCs/>
          <w:sz w:val="24"/>
          <w:szCs w:val="24"/>
          <w:lang w:eastAsia="en-IN"/>
        </w:rPr>
        <w:t xml:space="preserve">of the Indian </w:t>
      </w:r>
      <w:r>
        <w:rPr>
          <w:rFonts w:hint="default" w:ascii="Times New Roman" w:hAnsi="Times New Roman" w:eastAsia="Times New Roman" w:cs="Times New Roman"/>
          <w:bCs/>
          <w:sz w:val="24"/>
          <w:szCs w:val="24"/>
          <w:lang w:val="en-US" w:eastAsia="en-IN"/>
        </w:rPr>
        <w:t>L</w:t>
      </w:r>
      <w:r>
        <w:rPr>
          <w:rFonts w:ascii="Times New Roman" w:hAnsi="Times New Roman" w:eastAsia="Times New Roman" w:cs="Times New Roman"/>
          <w:bCs/>
          <w:sz w:val="24"/>
          <w:szCs w:val="24"/>
          <w:lang w:eastAsia="en-IN"/>
        </w:rPr>
        <w:t xml:space="preserve">egal system in combating the modern </w:t>
      </w:r>
      <w:r>
        <w:rPr>
          <w:rFonts w:hint="default" w:ascii="Times New Roman" w:hAnsi="Times New Roman" w:eastAsia="Times New Roman" w:cs="Times New Roman"/>
          <w:bCs/>
          <w:sz w:val="24"/>
          <w:szCs w:val="24"/>
          <w:lang w:val="en-US" w:eastAsia="en-IN"/>
        </w:rPr>
        <w:t xml:space="preserve">finance related </w:t>
      </w:r>
      <w:r>
        <w:rPr>
          <w:rFonts w:ascii="Times New Roman" w:hAnsi="Times New Roman" w:eastAsia="Times New Roman" w:cs="Times New Roman"/>
          <w:bCs/>
          <w:sz w:val="24"/>
          <w:szCs w:val="24"/>
          <w:lang w:eastAsia="en-IN"/>
        </w:rPr>
        <w:t xml:space="preserve">crimes is </w:t>
      </w:r>
      <w:r>
        <w:rPr>
          <w:rFonts w:hint="default" w:ascii="Times New Roman" w:hAnsi="Times New Roman" w:eastAsia="Times New Roman" w:cs="Times New Roman"/>
          <w:bCs/>
          <w:sz w:val="24"/>
          <w:szCs w:val="24"/>
          <w:lang w:val="en-US" w:eastAsia="en-IN"/>
        </w:rPr>
        <w:t xml:space="preserve">constructed </w:t>
      </w:r>
      <w:r>
        <w:rPr>
          <w:rFonts w:ascii="Times New Roman" w:hAnsi="Times New Roman" w:eastAsia="Times New Roman" w:cs="Times New Roman"/>
          <w:bCs/>
          <w:sz w:val="24"/>
          <w:szCs w:val="24"/>
          <w:lang w:eastAsia="en-IN"/>
        </w:rPr>
        <w:t xml:space="preserve">on a doctrinal and analytical research approach with the use of the secondary source of data. It also takes into consideration cross-border views, especially the standards of the Financial Action Task Force(FATF), to evaluate how India is </w:t>
      </w:r>
      <w:r>
        <w:rPr>
          <w:rFonts w:hint="default" w:ascii="Times New Roman" w:hAnsi="Times New Roman" w:eastAsia="Times New Roman" w:cs="Times New Roman"/>
          <w:bCs/>
          <w:sz w:val="24"/>
          <w:szCs w:val="24"/>
          <w:lang w:val="en-US" w:eastAsia="en-IN"/>
        </w:rPr>
        <w:t xml:space="preserve">keeping with </w:t>
      </w:r>
      <w:r>
        <w:rPr>
          <w:rFonts w:ascii="Times New Roman" w:hAnsi="Times New Roman" w:eastAsia="Times New Roman" w:cs="Times New Roman"/>
          <w:bCs/>
          <w:sz w:val="24"/>
          <w:szCs w:val="24"/>
          <w:lang w:eastAsia="en-IN"/>
        </w:rPr>
        <w:t>the global anti</w:t>
      </w:r>
      <w:r>
        <w:rPr>
          <w:rFonts w:hint="default" w:ascii="Times New Roman" w:hAnsi="Times New Roman" w:eastAsia="Times New Roman" w:cs="Times New Roman"/>
          <w:bCs/>
          <w:sz w:val="24"/>
          <w:szCs w:val="24"/>
          <w:lang w:val="en-US" w:eastAsia="en-IN"/>
        </w:rPr>
        <w:t xml:space="preserve"> </w:t>
      </w:r>
      <w:r>
        <w:rPr>
          <w:rFonts w:ascii="Times New Roman" w:hAnsi="Times New Roman" w:eastAsia="Times New Roman" w:cs="Times New Roman"/>
          <w:bCs/>
          <w:sz w:val="24"/>
          <w:szCs w:val="24"/>
          <w:lang w:eastAsia="en-IN"/>
        </w:rPr>
        <w:t>money laundering practices. The results indicate that the recent legal reforms have enhanced the regulatory mechanisms, but there is still a huge difference between the legal provisions and practical implementation.</w:t>
      </w:r>
    </w:p>
    <w:p w14:paraId="2B0E4B18">
      <w:pPr>
        <w:spacing w:line="360" w:lineRule="auto"/>
        <w:jc w:val="both"/>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The paper concludes by concluding that money laundering and corporate fraud in India need a multi-dimensional solution which includes legal reforms, technological development, institutional enhancement and increase in inter-agency coordination. It highlights the importance of the on-going updating of laws to ensure that they keep up with the changing patterns of financial crimes. Enhancing corporate governance, enhancing transparency in financial reporting and augmenting investigation abilities are critical to effective enforcement. Finally, there is a need to have a strong and dynamic regulatory environment to ensure the integrity of the financial system</w:t>
      </w:r>
      <w:r>
        <w:rPr>
          <w:rFonts w:hint="default" w:ascii="Times New Roman" w:hAnsi="Times New Roman" w:eastAsia="Times New Roman" w:cs="Times New Roman"/>
          <w:bCs/>
          <w:sz w:val="24"/>
          <w:szCs w:val="24"/>
          <w:lang w:val="en-US" w:eastAsia="en-IN"/>
        </w:rPr>
        <w:t xml:space="preserve"> of India</w:t>
      </w:r>
      <w:r>
        <w:rPr>
          <w:rFonts w:ascii="Times New Roman" w:hAnsi="Times New Roman" w:eastAsia="Times New Roman" w:cs="Times New Roman"/>
          <w:bCs/>
          <w:sz w:val="24"/>
          <w:szCs w:val="24"/>
          <w:lang w:eastAsia="en-IN"/>
        </w:rPr>
        <w:t xml:space="preserve"> and</w:t>
      </w:r>
      <w:r>
        <w:rPr>
          <w:rFonts w:hint="default" w:ascii="Times New Roman" w:hAnsi="Times New Roman" w:eastAsia="Times New Roman" w:cs="Times New Roman"/>
          <w:bCs/>
          <w:sz w:val="24"/>
          <w:szCs w:val="24"/>
          <w:lang w:val="en-US" w:eastAsia="en-IN"/>
        </w:rPr>
        <w:t xml:space="preserve"> it’s</w:t>
      </w:r>
      <w:r>
        <w:rPr>
          <w:rFonts w:ascii="Times New Roman" w:hAnsi="Times New Roman" w:eastAsia="Times New Roman" w:cs="Times New Roman"/>
          <w:bCs/>
          <w:sz w:val="24"/>
          <w:szCs w:val="24"/>
          <w:lang w:eastAsia="en-IN"/>
        </w:rPr>
        <w:t xml:space="preserve"> sustainable economic development.</w:t>
      </w:r>
    </w:p>
    <w:p w14:paraId="5246AF36">
      <w:pPr>
        <w:spacing w:line="360" w:lineRule="auto"/>
        <w:jc w:val="both"/>
        <w:rPr>
          <w:rFonts w:ascii="Times New Roman" w:hAnsi="Times New Roman" w:eastAsia="Times New Roman" w:cs="Times New Roman"/>
          <w:b/>
          <w:bCs/>
          <w:sz w:val="24"/>
          <w:szCs w:val="24"/>
          <w:lang w:eastAsia="en-IN"/>
        </w:rPr>
      </w:pPr>
      <w:r>
        <w:rPr>
          <w:rFonts w:ascii="Times New Roman" w:hAnsi="Times New Roman" w:eastAsia="Times New Roman" w:cs="Times New Roman"/>
          <w:b/>
          <w:bCs/>
          <w:sz w:val="24"/>
          <w:szCs w:val="24"/>
          <w:lang w:eastAsia="en-IN"/>
        </w:rPr>
        <w:t>Keywords</w:t>
      </w:r>
    </w:p>
    <w:p w14:paraId="03450CBD">
      <w:pPr>
        <w:jc w:val="left"/>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t>Money Laundering; Corporate Fraud; PMLA 2002; Financial Crime; Regulatory challenges; Enforcement Agencies; Corporate Governance; Shell Companies; Digital Fraud; India; FATF; Legal Reforms; Financial Regulation; Economic Crime; Compliance Framework.</w:t>
      </w:r>
    </w:p>
    <w:p w14:paraId="46D381EC">
      <w:pPr>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br w:type="page"/>
      </w:r>
    </w:p>
    <w:p w14:paraId="1247D255">
      <w:pPr>
        <w:pStyle w:val="7"/>
        <w:spacing w:line="360" w:lineRule="auto"/>
        <w:jc w:val="center"/>
        <w:rPr>
          <w:b/>
          <w:bCs/>
          <w:sz w:val="28"/>
          <w:szCs w:val="28"/>
        </w:rPr>
      </w:pPr>
      <w:r>
        <w:rPr>
          <w:b/>
          <w:bCs/>
          <w:sz w:val="28"/>
          <w:szCs w:val="28"/>
        </w:rPr>
        <w:t>COMPARATIVE, INTERNATIONAL AND POLICY PERSPECTIVES</w:t>
      </w:r>
    </w:p>
    <w:p w14:paraId="7E97B098">
      <w:pPr>
        <w:pStyle w:val="7"/>
        <w:spacing w:line="360" w:lineRule="auto"/>
        <w:jc w:val="both"/>
        <w:rPr>
          <w:b/>
          <w:bCs/>
        </w:rPr>
      </w:pPr>
      <w:r>
        <w:rPr>
          <w:b/>
          <w:bCs/>
        </w:rPr>
        <w:t>1</w:t>
      </w:r>
      <w:r>
        <w:rPr>
          <w:rFonts w:hint="default"/>
          <w:b/>
          <w:bCs/>
          <w:lang w:val="en-IN"/>
        </w:rPr>
        <w:t>.</w:t>
      </w:r>
      <w:r>
        <w:rPr>
          <w:b/>
          <w:bCs/>
        </w:rPr>
        <w:t xml:space="preserve"> FATF Standards and Global Anti-Money Laundering Framework – Financial Test</w:t>
      </w:r>
    </w:p>
    <w:p w14:paraId="1C6EB7E8">
      <w:pPr>
        <w:pStyle w:val="7"/>
        <w:spacing w:line="360" w:lineRule="auto"/>
        <w:jc w:val="both"/>
      </w:pPr>
      <w:r>
        <w:t xml:space="preserve">International framework on fighting money laundering and terrorist financing is largely organized on the principles of the standards that were created by the Financial Action Task Force(FATF). FATF, which was founded by the G7 countries in 1989, has become the most impactful inter-governmental policy-making body in the area of Anti-Money Laundering(AML) and Counter-Terrorist Financing(CTF). Its main responsibility is to establish and facilitate international standards that will not allow financial systems to be used in illicit activities. The </w:t>
      </w:r>
      <w:r>
        <w:rPr>
          <w:rFonts w:hint="default"/>
          <w:lang w:val="en-IN"/>
        </w:rPr>
        <w:t>“</w:t>
      </w:r>
      <w:r>
        <w:t>FATF 40 Recommendations</w:t>
      </w:r>
      <w:r>
        <w:rPr>
          <w:rFonts w:hint="default"/>
          <w:lang w:val="en-IN"/>
        </w:rPr>
        <w:t>”</w:t>
      </w:r>
      <w:r>
        <w:t xml:space="preserve"> are the international standard by which national AML regimes are assessed, sometimes referred to as a financial test of how strong the regulatory framework of a country is and how well it can enforce its regulations. </w:t>
      </w:r>
    </w:p>
    <w:p w14:paraId="6EE9F46D">
      <w:pPr>
        <w:pStyle w:val="7"/>
        <w:spacing w:line="360" w:lineRule="auto"/>
        <w:jc w:val="both"/>
      </w:pPr>
      <w:r>
        <w:t>These 40 Recommendations are broad based and encompass legal frameworks, preventive mechanisms, institutional structures and international cooperation mechanisms. These are premised on the FATF model that is risk-based, and therefore demands that countries and other financial institutions determine, evaluate, and reduce the risks of money laundering in proportion.  This ensures that more regulatory attention is paid to higher risk areas and less regulatory attention to the less risky transactions is given to simpler due diligence..</w:t>
      </w:r>
      <w:r>
        <w:rPr>
          <w:rStyle w:val="5"/>
        </w:rPr>
        <w:footnoteReference w:id="0"/>
      </w:r>
    </w:p>
    <w:p w14:paraId="604BA0CD">
      <w:pPr>
        <w:pStyle w:val="7"/>
        <w:spacing w:line="360" w:lineRule="auto"/>
        <w:jc w:val="both"/>
      </w:pPr>
      <w:r>
        <w:t>Customer Due Diligence(CDD) is a key FATF requirement that requires financial institutions to identify customers, learn the nature of business relationships with them, and track the transactions they engage in on a continuous basis.  This is a very important mechanism in deterring misuse of the financial systems by anonymous or fictitious people. Intimately connected to this is the need of a helpful ownership disclosure, that stipulates that nations will keep precise and up-to-date data about the individuals who ultimately own or control legal entities.  This clause tackles directly the proliferation of shell companies and elaborate corporate arrangements in the laundering of illegal money.</w:t>
      </w:r>
      <w:r>
        <w:rPr>
          <w:rStyle w:val="5"/>
        </w:rPr>
        <w:footnoteReference w:id="1"/>
      </w:r>
      <w:r>
        <w:t xml:space="preserve"> The other vital element of the FATF is the reporting of Suspicious Transaction Report (STRs). Any transaction which seems unusual or not in line with the profile of a customer is supposed to be reported by the financial institutions. These reports are subsequently examined by national Financial Intelligence Units (FIUs), which is central in identifying money laundering trends. Furthermore, FATF focuses on powerful enforcement procedures, such as excellent investigation, prosecution, and seizure of illicit funds. The confiscation regime is especially significant because it makes sure that crime does not pay because the offenders are deprived of the proceeds of crime.</w:t>
      </w:r>
    </w:p>
    <w:p w14:paraId="246052D3">
      <w:pPr>
        <w:pStyle w:val="7"/>
        <w:spacing w:line="360" w:lineRule="auto"/>
        <w:jc w:val="both"/>
      </w:pPr>
      <w:r>
        <w:t>The most important tool with the help of which compliance is evaluated is the FATF mutual evaluation process. In contrast to a simple legislative review, the process considers the results of technical compliance and effectiveness. Technical compliance looks at the adoption of the required laws and regulations by a country whereas effectiveness looks at the actual practice like successful prosecutions, recovery of assets and institutional performance.</w:t>
      </w:r>
      <w:r>
        <w:rPr>
          <w:rStyle w:val="5"/>
        </w:rPr>
        <w:footnoteReference w:id="2"/>
      </w:r>
    </w:p>
    <w:p w14:paraId="6B941754">
      <w:pPr>
        <w:pStyle w:val="7"/>
        <w:spacing w:line="360" w:lineRule="auto"/>
        <w:jc w:val="both"/>
      </w:pPr>
      <w:r>
        <w:t xml:space="preserve">India became a FATF member in 2010 and since then it is making gradual advancements in its national legal infrastructure to meet the international standards, with the main legislation being the </w:t>
      </w:r>
      <w:r>
        <w:rPr>
          <w:lang w:val="en-IN"/>
        </w:rPr>
        <w:t>Prevention of Money Laundering Act 2002</w:t>
      </w:r>
      <w:r>
        <w:t xml:space="preserve"> (PMLA). According to the PMLA, it is possible to attach, adjudicate and seize proceeds of crime and makes the Enforcement Directorate(ED) authorized to investigate money laundering crimes.</w:t>
      </w:r>
      <w:r>
        <w:rPr>
          <w:rStyle w:val="5"/>
        </w:rPr>
        <w:footnoteReference w:id="3"/>
      </w:r>
      <w:r>
        <w:t xml:space="preserve"> Another measure India has increased regulatory ecosystem by increasing the effectiveness of the Financial Intelligence Gathering of the FIN and by increasing reporting requirements of banks and other financial institutions.</w:t>
      </w:r>
    </w:p>
    <w:p w14:paraId="663B898A">
      <w:pPr>
        <w:pStyle w:val="7"/>
        <w:spacing w:line="360" w:lineRule="auto"/>
        <w:jc w:val="both"/>
      </w:pPr>
      <w:r>
        <w:t>Nevertheless, FATF assessments of India have pointed out that despite legislative congruence being high, effectiveness has been a point of concern. The test of financial test by FATF is an extra statutory test that evaluates whether the enforcement agencies can identify multifaceted networks of laundering, convict the offenders, and recover significant assets.</w:t>
      </w:r>
      <w:r>
        <w:rPr>
          <w:rStyle w:val="5"/>
        </w:rPr>
        <w:footnoteReference w:id="4"/>
      </w:r>
      <w:r>
        <w:t xml:space="preserve"> Delays in investigations, low conviction rates in certain instances, and bottlenecks in inter-agency coordination are some of the challenges that India experiences.</w:t>
      </w:r>
    </w:p>
    <w:p w14:paraId="6113AF3B">
      <w:pPr>
        <w:pStyle w:val="7"/>
        <w:spacing w:line="360" w:lineRule="auto"/>
        <w:jc w:val="both"/>
      </w:pPr>
      <w:r>
        <w:t>The other important element in FATF reviews is institutional capacity. The performance of AML regimes relies so much on the coordination of agencies like FIU-IND, ED, CBI, Income Tax Department, and sectoral regulators like RBI and SEBI. Lack of strong coordination may result in disjointed intelligence sharing, and slow enforcement response.  In such a way, FATF financial test is a good measure of not only legal readiness, but also administrative effectiveness or operational synergy.</w:t>
      </w:r>
    </w:p>
    <w:p w14:paraId="0D1016EE">
      <w:pPr>
        <w:pStyle w:val="7"/>
        <w:spacing w:line="360" w:lineRule="auto"/>
        <w:jc w:val="both"/>
      </w:pPr>
      <w:r>
        <w:t>Finally, FATF standards are the international gold standard of AML. In the case of India, adherence to these standards has greatly empowered its legal and institutional framework. The problem, however, is to make compliance mean quantifiable enforcement results. The financial test is therefore a permanent reference point, which compels jurisdictions to be more transparent, efficient, and collaborate with each other to fight financial crimes.</w:t>
      </w:r>
    </w:p>
    <w:p w14:paraId="40B12657">
      <w:pPr>
        <w:pStyle w:val="7"/>
        <w:spacing w:line="360" w:lineRule="auto"/>
        <w:jc w:val="both"/>
        <w:rPr>
          <w:b/>
          <w:bCs/>
        </w:rPr>
      </w:pPr>
      <w:r>
        <w:rPr>
          <w:b/>
          <w:bCs/>
        </w:rPr>
        <w:t>2</w:t>
      </w:r>
      <w:r>
        <w:rPr>
          <w:rFonts w:hint="default"/>
          <w:b/>
          <w:bCs/>
          <w:lang w:val="en-IN"/>
        </w:rPr>
        <w:t>.</w:t>
      </w:r>
      <w:r>
        <w:rPr>
          <w:b/>
          <w:bCs/>
        </w:rPr>
        <w:t xml:space="preserve"> Comparative Study: India, USA and UK</w:t>
      </w:r>
    </w:p>
    <w:p w14:paraId="4CB75735">
      <w:pPr>
        <w:pStyle w:val="7"/>
        <w:spacing w:line="360" w:lineRule="auto"/>
        <w:jc w:val="both"/>
      </w:pPr>
      <w:r>
        <w:t xml:space="preserve">The comparative analysis of India, the </w:t>
      </w:r>
      <w:r>
        <w:rPr>
          <w:lang w:val="en-IN"/>
        </w:rPr>
        <w:t>United States of America</w:t>
      </w:r>
      <w:r>
        <w:rPr>
          <w:rFonts w:hint="default"/>
          <w:lang w:val="en-IN"/>
        </w:rPr>
        <w:t xml:space="preserve"> of America</w:t>
      </w:r>
      <w:r>
        <w:t>, and the United Kingdom identifies converging and diverging trends of AML principles and strategies of institutional execution and enforcement respectively.</w:t>
      </w:r>
    </w:p>
    <w:p w14:paraId="74402DB1">
      <w:pPr>
        <w:pStyle w:val="7"/>
        <w:spacing w:line="360" w:lineRule="auto"/>
        <w:jc w:val="both"/>
      </w:pPr>
      <w:r>
        <w:t>The U.S. has one of the most developed AML systems in the world, the major regulations of which are defined by the Bank Secrecy Act (BSA) 1970, and greatly enhanced by the USA PATRIOT Act 2001. These regulations come with strict reporting and record keeping requirements on the financial institutions. Financial Crimes Enforcement Network(FinCEN) of the U.S. Department of the Treasury is the main financial intelligence service.</w:t>
      </w:r>
      <w:r>
        <w:rPr>
          <w:rStyle w:val="5"/>
        </w:rPr>
        <w:footnoteReference w:id="5"/>
      </w:r>
      <w:r>
        <w:t xml:space="preserve"> It gathers, examines and distributes financial information to the law enforcement agency.</w:t>
      </w:r>
    </w:p>
    <w:p w14:paraId="27B065AF">
      <w:pPr>
        <w:pStyle w:val="7"/>
        <w:spacing w:line="360" w:lineRule="auto"/>
        <w:jc w:val="both"/>
      </w:pPr>
      <w:r>
        <w:t>One of the unique aspects of the U.S. system is its very data-oriented system of enforcement. Financial institutions must submit Suspicious Activity Reports(SARs), Currency Transaction Reports(CTRs), and keep detailed customer records. So-called advanced analytics and artificial intelligence tools are popular to identify abnormalities in financial flows. In addition, the Department of Justice (DOJ) has a very important part to play in the prosecution of money laundering crimes and it is usually involved with several federal government agencies like the FBI and DEA.</w:t>
      </w:r>
      <w:r>
        <w:rPr>
          <w:rStyle w:val="5"/>
        </w:rPr>
        <w:footnoteReference w:id="6"/>
      </w:r>
      <w:r>
        <w:t xml:space="preserve"> The U.S. paradigm can be described as highly enforcement-driven, high penalties, and tough deterrence.</w:t>
      </w:r>
    </w:p>
    <w:p w14:paraId="5CDC94A7">
      <w:pPr>
        <w:pStyle w:val="7"/>
        <w:spacing w:line="360" w:lineRule="auto"/>
        <w:jc w:val="both"/>
      </w:pPr>
      <w:r>
        <w:t>The United Kingdom, however, follows the Proceeds of Crime Act 2002 (POCA) that offers an all-encompassing guideline on asset recovery and money laundering crimes. This statute is complemented by the Money Laundering Regulations which impose preventive duties on entities regulated by the Money Laundering Regulations. The National Crime Agency (NCA) is the headquarters of law enforcement, which investigates serious financial offenses and cooperates with international agencies.</w:t>
      </w:r>
      <w:r>
        <w:rPr>
          <w:rStyle w:val="5"/>
        </w:rPr>
        <w:footnoteReference w:id="7"/>
      </w:r>
    </w:p>
    <w:p w14:paraId="1028DA4A">
      <w:pPr>
        <w:pStyle w:val="7"/>
        <w:spacing w:line="360" w:lineRule="auto"/>
        <w:jc w:val="both"/>
      </w:pPr>
      <w:r>
        <w:t>Another outstanding addition in the UK AML regime is the development of Unexplained Wealth Orders (UWOs). Such orders enable the government to make individuals clarify how they acquired their wealth in the event that there are reasonable grounds to believe that the assets are stolen through criminal means. In case of the failure to give an acceptable explanation, the assets may be deemed to be proceeds of crime and liable to confiscation.</w:t>
      </w:r>
      <w:r>
        <w:rPr>
          <w:rStyle w:val="5"/>
        </w:rPr>
        <w:footnoteReference w:id="8"/>
      </w:r>
      <w:r>
        <w:t xml:space="preserve"> Such a mechanism is effective in placing the burden of proof on the suspect, thus increasing the efficiency of enforcement in cases of high-value financial crimes.</w:t>
      </w:r>
    </w:p>
    <w:p w14:paraId="6B2FC11B">
      <w:pPr>
        <w:pStyle w:val="7"/>
        <w:spacing w:line="360" w:lineRule="auto"/>
        <w:jc w:val="both"/>
      </w:pPr>
      <w:r>
        <w:t xml:space="preserve">Conversely, the AML framework of India, which is mainly regulated by the </w:t>
      </w:r>
      <w:r>
        <w:rPr>
          <w:lang w:val="en-IN"/>
        </w:rPr>
        <w:t>Prevention of Money Laundering Act 2002</w:t>
      </w:r>
      <w:r>
        <w:t xml:space="preserve"> (PMLA), is less institutionally integrated. The enforcement duties are shared by various agencies, such as the Enforcement Directorate(ED), Financial Intelligence Unit-India(FIU-IND), Central Bureau of Investigation(CBI), Income Tax Department, Reserve Bank of India (RBI), and Securities and Exchange Board of India(SEBI).</w:t>
      </w:r>
      <w:r>
        <w:rPr>
          <w:rStyle w:val="5"/>
        </w:rPr>
        <w:footnoteReference w:id="9"/>
      </w:r>
      <w:r>
        <w:t xml:space="preserve"> Although such multi-agency framework provides the means to regulate the sector in a specific way, it also introduces the problems of coordination and a unified enforcement system.</w:t>
      </w:r>
    </w:p>
    <w:p w14:paraId="4E6A6F74">
      <w:pPr>
        <w:pStyle w:val="7"/>
        <w:spacing w:line="360" w:lineRule="auto"/>
        <w:jc w:val="both"/>
      </w:pPr>
      <w:r>
        <w:t>The enforcement mechanism of India has continued to improve over the past few years, especially due to the emphasis on high profile economic offenders and asset attachment. Nonetheless, delays during the procedures, backlog in courts and lack of inter-agency communications still hamper the process of prosecution. India is still struggling to get convictions and successful recovery of assets on time as it has been in the U.S., and the UK.</w:t>
      </w:r>
    </w:p>
    <w:p w14:paraId="0B6F5995">
      <w:pPr>
        <w:pStyle w:val="7"/>
        <w:spacing w:line="360" w:lineRule="auto"/>
        <w:jc w:val="both"/>
      </w:pPr>
      <w:r>
        <w:t>The other notable distinction is technological integration. U.S. and UK AMLs are very digitalized with real-time monitoring of transactions and advanced data analytics. India is slowly following suit with upgrades of FIU-IND and digital reporting systems, yet ecosystem as a whole is in development.</w:t>
      </w:r>
    </w:p>
    <w:p w14:paraId="407C6387">
      <w:pPr>
        <w:pStyle w:val="7"/>
        <w:spacing w:line="360" w:lineRule="auto"/>
        <w:jc w:val="both"/>
      </w:pPr>
      <w:r>
        <w:t>Although all three jurisdictions have similar AML principles that are based on the FATF standards, their models of implementation vary greatly. The U.S. underlines the use of data-driven enforcement and tough penalties, the UK relies on new legal instruments such as UWOs and centralized enforcement via the NCA, and India has a wide but institutionally decentralized approach that still continues to be strengthened.</w:t>
      </w:r>
    </w:p>
    <w:p w14:paraId="4666E80B">
      <w:pPr>
        <w:pStyle w:val="7"/>
        <w:spacing w:line="360" w:lineRule="auto"/>
        <w:jc w:val="both"/>
        <w:rPr>
          <w:b/>
          <w:bCs/>
        </w:rPr>
      </w:pPr>
      <w:r>
        <w:rPr>
          <w:b/>
          <w:bCs/>
        </w:rPr>
        <w:t>3</w:t>
      </w:r>
      <w:r>
        <w:rPr>
          <w:rFonts w:hint="default"/>
          <w:b/>
          <w:bCs/>
          <w:lang w:val="en-IN"/>
        </w:rPr>
        <w:t>.</w:t>
      </w:r>
      <w:r>
        <w:rPr>
          <w:b/>
          <w:bCs/>
        </w:rPr>
        <w:t xml:space="preserve"> Cross-Border Money Laundering and International Cooperation</w:t>
      </w:r>
    </w:p>
    <w:p w14:paraId="58B47DE4">
      <w:pPr>
        <w:pStyle w:val="7"/>
        <w:spacing w:line="360" w:lineRule="auto"/>
        <w:jc w:val="both"/>
      </w:pPr>
      <w:r>
        <w:t>Cross-border money laundering has become one of the most multifaceted aspects of the modern financial crime, in large part because of globalization of financial systems, the speed of technological progress, and the sophistication of criminal networks. Contrary to the old-fashioned domestic laundering operations, the new-fangled money laundering operations run smoothly across various jurisdictions taking advantage of the disparities in the regulatory standards, enforcement ability, and legal processes.</w:t>
      </w:r>
    </w:p>
    <w:p w14:paraId="118B5A92">
      <w:pPr>
        <w:pStyle w:val="7"/>
        <w:spacing w:line="360" w:lineRule="auto"/>
        <w:jc w:val="both"/>
      </w:pPr>
      <w:r>
        <w:t>Fundamentally, cross-border money laundering entails the movement, hiding, or incorporation of illicit money utilizing foreign banking systems, offshore financial hubs, shell companies, and, most recently, using digital currencies like cryptocurrencies.  The transactions are often arranged by criminal actors in layers of different countries to hide the source of funds and this renders recovery and detection very challenging. Safe havens of illicit wealth are often spent in offshore jurisdictions with high financial secrecy and a lax regulatory environment.</w:t>
      </w:r>
    </w:p>
    <w:p w14:paraId="38831B30">
      <w:pPr>
        <w:pStyle w:val="7"/>
        <w:spacing w:line="360" w:lineRule="auto"/>
        <w:jc w:val="both"/>
      </w:pPr>
      <w:r>
        <w:t>One of the most common techniques used in cross-border laundering is the establishment of shell companies in jurisdictions with minimal disclosure requirements. They are entities that hide the beneficial ownership and help in the flow of funds through complicated corporate arrangements. Also, trade-based money laundering (TBML) whereby mis-invoicing across borders is employed is another common way of covering up illicit flows of cash in the pretext of legitimate trade.</w:t>
      </w:r>
      <w:r>
        <w:rPr>
          <w:rStyle w:val="5"/>
        </w:rPr>
        <w:footnoteReference w:id="10"/>
      </w:r>
      <w:r>
        <w:t xml:space="preserve"> The emergence of digital currencies also makes enforcement more difficult, because in some instances cryptocurrencies enable almost instantaneous transfers across borders and with limited traceability.</w:t>
      </w:r>
    </w:p>
    <w:p w14:paraId="1DBF7B46">
      <w:pPr>
        <w:pStyle w:val="7"/>
        <w:spacing w:line="360" w:lineRule="auto"/>
        <w:jc w:val="both"/>
      </w:pPr>
      <w:r>
        <w:t>As these crimes are transnational in nature, the cooperation of countries becomes essential. The money laundering cannot be effectively combated by a single jurisdiction. Consequently, various formal and informal systems have been established to enable cross-border enforcement and exchange of information.</w:t>
      </w:r>
    </w:p>
    <w:p w14:paraId="6C9B39CD">
      <w:pPr>
        <w:pStyle w:val="7"/>
        <w:spacing w:line="360" w:lineRule="auto"/>
        <w:jc w:val="both"/>
      </w:pPr>
      <w:r>
        <w:t>The Mutual Legal Assistance Treaty (MLAT) is one of the most influential tools of the international cooperation. MLATs are bilateral or multilateral pacts that allow nations to seek and extend aid in criminal investigations and prosecutions, such as gathering of evidence, freezing of assets and in serving of judicial papers.</w:t>
      </w:r>
      <w:r>
        <w:rPr>
          <w:rStyle w:val="5"/>
        </w:rPr>
        <w:footnoteReference w:id="11"/>
      </w:r>
      <w:r>
        <w:t xml:space="preserve"> Nevertheless, even though they are important, the MLAT processes are frequently criticized as being slow and bureaucratic which causes major delays in the time-sensitive financial investigations.</w:t>
      </w:r>
    </w:p>
    <w:p w14:paraId="7CAE4FFF">
      <w:pPr>
        <w:pStyle w:val="7"/>
        <w:spacing w:line="360" w:lineRule="auto"/>
        <w:jc w:val="both"/>
      </w:pPr>
      <w:r>
        <w:t>Extradition treaties are also important in cross border enforcement especially where the involved offender is an economic criminal and escapes jurisdictions to escape prosecution. With these treaties, states can demand the handover of offenders charged or found guilty of committing serious financial offenses. Nonetheless, the extradition process can be frequently complicated due to the discrepancies in legal definitions, the level of evidence, and human rights issues.</w:t>
      </w:r>
    </w:p>
    <w:p w14:paraId="5EB6F865">
      <w:pPr>
        <w:pStyle w:val="7"/>
        <w:spacing w:line="360" w:lineRule="auto"/>
        <w:jc w:val="both"/>
      </w:pPr>
      <w:r>
        <w:t>Financial Action Task Force (FATF) also promotes cooperation internationally with the help of its peer review process, or mutual evaluations. These tests are aimed both at determining the adherence to FATF standards domestically and the international cooperation structures. It is also advised that countries should augment their systems of sharing of information across borders and provide prompt support in overseas investigations.</w:t>
      </w:r>
      <w:r>
        <w:rPr>
          <w:rStyle w:val="5"/>
        </w:rPr>
        <w:footnoteReference w:id="12"/>
      </w:r>
    </w:p>
    <w:p w14:paraId="5DB193AD">
      <w:pPr>
        <w:pStyle w:val="7"/>
        <w:spacing w:line="360" w:lineRule="auto"/>
        <w:jc w:val="both"/>
      </w:pPr>
      <w:r>
        <w:t>Along with formal treaties, institutional cooperation is also a crucial element in the fight against cross-border financial crime. INTERPOL is an international information exchange among law enforcement agencies to communicate intelligence and issue red notices, and organize investigations of financial offenders. Likewise, the Egmont Group of Financial Intelligence Units also supports a safe information flow between the national FIUs, and in this way, suspicious information about transactions on a cross-border level can be exchanged in real-time.</w:t>
      </w:r>
      <w:r>
        <w:rPr>
          <w:rStyle w:val="5"/>
        </w:rPr>
        <w:footnoteReference w:id="13"/>
      </w:r>
    </w:p>
    <w:p w14:paraId="416DDC62">
      <w:pPr>
        <w:pStyle w:val="7"/>
        <w:spacing w:line="360" w:lineRule="auto"/>
        <w:jc w:val="both"/>
      </w:pPr>
      <w:r>
        <w:t>In recent years, India has greatly enhanced its foreign collaboration network, especially in reacting to the high profile financial frauds through offshore accounts and foreign shell companies. The Enforcement Directorat</w:t>
      </w:r>
      <w:r>
        <w:rPr>
          <w:rFonts w:hint="default"/>
          <w:lang w:val="en-IN"/>
        </w:rPr>
        <w:t>e</w:t>
      </w:r>
      <w:r>
        <w:t>(ED) and Financial Intelligence Unit-India(FIU-IND) have been proactive in collaborating with foreign partners to track the illicit money and orchestrate the investigations. India has also signed several MLATs and extradition agreements to boost the cross-border enforcement.</w:t>
      </w:r>
    </w:p>
    <w:p w14:paraId="0EACF5C7">
      <w:pPr>
        <w:pStyle w:val="7"/>
        <w:spacing w:line="360" w:lineRule="auto"/>
        <w:jc w:val="both"/>
      </w:pPr>
      <w:r>
        <w:t>In spite of these positive changes, there are still a number of structural issues that have impeded effective international collaboration. Delay in the MLAT responses is one of the most continuous problems. Mutual legal assistance requests can require months or even years to complete because of administrative delays and jurisdictional disparities in legal process. Such latency greatly erodes the efficiency of time-sensitive investigations, especially those that involve the fast-moving digital evidence.</w:t>
      </w:r>
    </w:p>
    <w:p w14:paraId="05C11855">
      <w:pPr>
        <w:pStyle w:val="7"/>
        <w:spacing w:line="360" w:lineRule="auto"/>
        <w:jc w:val="both"/>
      </w:pPr>
      <w:r>
        <w:t>The other significant issue is the differences in the levels of evidence in different jurisdictions. What can be admissible evidence in one country can fail to pass the legal test in another country and cross-border requests can be rejected or postponed. Jurisdictional disputes are other issues that occur when two or more countries assert jurisdiction over the same financial offence leading to coordination problems and inefficiency in the process.</w:t>
      </w:r>
    </w:p>
    <w:p w14:paraId="31845650">
      <w:pPr>
        <w:pStyle w:val="7"/>
        <w:spacing w:line="360" w:lineRule="auto"/>
        <w:jc w:val="both"/>
      </w:pPr>
      <w:r>
        <w:t xml:space="preserve">India has cross-border asset recovery mechanisms that are still in its infancy as compared to other jurisdictions like the United Kingdom and the </w:t>
      </w:r>
      <w:r>
        <w:rPr>
          <w:lang w:val="en-IN"/>
        </w:rPr>
        <w:t>United States of America</w:t>
      </w:r>
      <w:r>
        <w:rPr>
          <w:rFonts w:hint="default"/>
          <w:lang w:val="en-IN"/>
        </w:rPr>
        <w:t xml:space="preserve"> of America</w:t>
      </w:r>
      <w:r>
        <w:t>. Although India has come a long way in locating and reclaiming foreign assets, the process of recovering and repatriating is time-consuming and complicated. Developed jurisdictions enjoy more efficient legal systems, specialized asset recovery agencies and more diplomatic leverage in financial investigations.</w:t>
      </w:r>
    </w:p>
    <w:p w14:paraId="0A005B54">
      <w:pPr>
        <w:pStyle w:val="7"/>
        <w:spacing w:line="360" w:lineRule="auto"/>
        <w:jc w:val="both"/>
      </w:pPr>
      <w:r>
        <w:t>To sum up, cross-border money laundering is a threat that is dynamic and developing and needs strong international collaboration. As India has enhanced its international interactions, further reform is required to enhance quickness, coordination and efficacy of cross-border enforcement. It will be important to strengthen the capacity at the institutional level and improve legal practices to meet the challenge of more complex global financial crime networks.</w:t>
      </w:r>
    </w:p>
    <w:p w14:paraId="2D2B37AB">
      <w:pPr>
        <w:pStyle w:val="7"/>
        <w:spacing w:line="360" w:lineRule="auto"/>
        <w:jc w:val="both"/>
        <w:rPr>
          <w:b/>
          <w:bCs/>
        </w:rPr>
      </w:pPr>
      <w:r>
        <w:rPr>
          <w:b/>
          <w:bCs/>
        </w:rPr>
        <w:t>4</w:t>
      </w:r>
      <w:r>
        <w:rPr>
          <w:rFonts w:hint="default"/>
          <w:b/>
          <w:bCs/>
          <w:lang w:val="en-IN"/>
        </w:rPr>
        <w:t>.</w:t>
      </w:r>
      <w:r>
        <w:rPr>
          <w:b/>
          <w:bCs/>
        </w:rPr>
        <w:t xml:space="preserve"> Comparative Analysis and Key Takeaways for India</w:t>
      </w:r>
    </w:p>
    <w:p w14:paraId="6F135A1D">
      <w:pPr>
        <w:pStyle w:val="7"/>
        <w:spacing w:line="360" w:lineRule="auto"/>
        <w:jc w:val="both"/>
      </w:pPr>
      <w:r>
        <w:t xml:space="preserve">Comparative evaluation of the Anti-Money Laundering (AML) models in different jurisdictions like India, the </w:t>
      </w:r>
      <w:r>
        <w:rPr>
          <w:lang w:val="en-IN"/>
        </w:rPr>
        <w:t>United States of America</w:t>
      </w:r>
      <w:r>
        <w:rPr>
          <w:rFonts w:hint="default"/>
          <w:lang w:val="en-IN"/>
        </w:rPr>
        <w:t xml:space="preserve"> of America</w:t>
      </w:r>
      <w:r>
        <w:t xml:space="preserve"> and the United Kingdom indicates a number of significant lessons that can inform future reforms in the regulatory framework of India.</w:t>
      </w:r>
      <w:r>
        <w:cr/>
      </w:r>
      <w:r>
        <w:t xml:space="preserve">The initial significant lesson is the greater technological adoption in AML enforcement in developed jurisdictions. The </w:t>
      </w:r>
      <w:r>
        <w:rPr>
          <w:lang w:val="en-IN"/>
        </w:rPr>
        <w:t>United States of America</w:t>
      </w:r>
      <w:r>
        <w:t xml:space="preserve"> and the United Kingdom have been highly embracing artificial intelligence(AI), machine learning algorithms, and real-time transaction monitoring systems to identify suspicious financial transactions. These technologies allow detecting anomalies in a financial flow in advance and greatly enhancing the detection rate.</w:t>
      </w:r>
      <w:r>
        <w:rPr>
          <w:rStyle w:val="5"/>
        </w:rPr>
        <w:footnoteReference w:id="14"/>
      </w:r>
      <w:r>
        <w:t xml:space="preserve">  Conversely, although India has achieved progress with the Financial Intelligence UnitIndia (FIU-IND) and digital reporting, the technology ecosystem as a whole is disjointed and underutilized. Making AI-powered analytics available and combining financial databases between agencies would significantly increase the efficiency of enforcement in India.</w:t>
      </w:r>
    </w:p>
    <w:p w14:paraId="6282FE55">
      <w:pPr>
        <w:pStyle w:val="7"/>
        <w:spacing w:line="360" w:lineRule="auto"/>
        <w:jc w:val="both"/>
      </w:pPr>
      <w:r>
        <w:t>The second important lesson is connected with the enforcement orientation. The enforcement of AML is extremely prosecution-based and result-oriented in jurisdictions like the US and UK. The investigations are to guarantee rapid prosecution and deterrence, which is facilitated by dedicated financial crime units and efficient prosecutor coordination.</w:t>
      </w:r>
      <w:r>
        <w:rPr>
          <w:rStyle w:val="5"/>
        </w:rPr>
        <w:footnoteReference w:id="15"/>
      </w:r>
      <w:r>
        <w:t xml:space="preserve"> However, in India, enforcement tends to be procedural and investigation-intensive, and results in prosecution delays. Jurisdictional backlog and complexity of the procedure also undermine effectiveness of enforcement. Narrowing down the process of trying economic crimes and creating financial crime fast-track courts can dramatically enhance the conviction rates.</w:t>
      </w:r>
    </w:p>
    <w:p w14:paraId="393B4BA6">
      <w:pPr>
        <w:pStyle w:val="7"/>
        <w:spacing w:line="360" w:lineRule="auto"/>
        <w:jc w:val="both"/>
      </w:pPr>
      <w:r>
        <w:t xml:space="preserve">The third important area of comparison is the beneficial ownership transparency. Both the US and UK have enacted strict control measures that demand firms and other financial institutions to have the correct and publicly available information on ultimate beneficial owners. This would increase transparency and minimize the use of corporate structures towards illicit activities.  In India, although the situation has become better following the </w:t>
      </w:r>
      <w:r>
        <w:rPr>
          <w:lang w:val="en-IN"/>
        </w:rPr>
        <w:t>Companies Act 2013</w:t>
      </w:r>
      <w:r>
        <w:t xml:space="preserve"> and other regulations, it still faces difficulties in determining and verifying ultimate beneficial ownership due to the existence of layered corporate structures and offshore companies. The reinforcement of disclosure norms and the increase of the accuracy of the registries are the main priorities.</w:t>
      </w:r>
    </w:p>
    <w:p w14:paraId="3696435E">
      <w:pPr>
        <w:pStyle w:val="7"/>
        <w:spacing w:line="360" w:lineRule="auto"/>
        <w:jc w:val="both"/>
      </w:pPr>
      <w:r>
        <w:t>The fourth valuable lesson deals with recovery and confiscation of assets. Developed jurisdictions have put in place special agencies that are involved in tracin</w:t>
      </w:r>
      <w:bookmarkStart w:id="0" w:name="_GoBack"/>
      <w:bookmarkEnd w:id="0"/>
      <w:r>
        <w:t xml:space="preserve">g, freezing and recovery of proceeds of crime. As an example, the National Crime Agency (NCA) in the UK and the US Department of Justice Asset Forfeiture Program are at the forefront of providing effective recovery of illegal assets.  These agencies have the advantage of simplified legal processes and inter-agency coordination. In India, the recovery process is commonly lengthy and complicated through legal procedures despite the fact that the Enforcement Directorate(ED) under the </w:t>
      </w:r>
      <w:r>
        <w:rPr>
          <w:lang w:val="en-IN"/>
        </w:rPr>
        <w:t>Prevention of Money Laundering Act 2002</w:t>
      </w:r>
      <w:r>
        <w:t>, carries out the functions of asset attachment. Enhancing institutional specialization and establishing special asset recovery units may also be quite effective.</w:t>
      </w:r>
    </w:p>
    <w:p w14:paraId="0086051C">
      <w:pPr>
        <w:pStyle w:val="7"/>
        <w:spacing w:line="360" w:lineRule="auto"/>
        <w:jc w:val="both"/>
      </w:pPr>
      <w:r>
        <w:t>The other major comparative lesson is the emphasis on judicial efficiency. Established jurisdictions have comparatively quicker adjudication procedures on financial offenses backed by special courts and knowledgeable prosecutors. In India, the most significant bottleneck is still the judicial delays, which have an impact on the deterrence and the asset recovery results. Reforms of the judiciary should be targeted at capacity building in economic crimes and streamlining of procedures.</w:t>
      </w:r>
    </w:p>
    <w:p w14:paraId="270A3AEB">
      <w:pPr>
        <w:pStyle w:val="7"/>
        <w:spacing w:line="360" w:lineRule="auto"/>
        <w:jc w:val="both"/>
      </w:pPr>
      <w:r>
        <w:t>Lastly, there is a more integrated and operationally efficient international cooperation structure in developed countries. The US and UK have had well developed systems of bilateral arrangements, intelligence sharing forums and synchronized enforcement systems. India has achieved some strides in this regard and continues to grapple with issues pertaining to the delays in the coordination process and the inefficiencies in the mutual legal assistance process.</w:t>
      </w:r>
    </w:p>
    <w:p w14:paraId="63796604">
      <w:pPr>
        <w:pStyle w:val="7"/>
        <w:spacing w:line="360" w:lineRule="auto"/>
        <w:jc w:val="both"/>
      </w:pPr>
      <w:r>
        <w:t>The comparative analysis indicates that India has established an effective legal framework on which AML is applied but there are still major weaknesses in the enforcement, integration of technology, institutional specialization, and coordination across borders. These gaps will be critical to close with specific reforms that can help to bring the AML regime in India in line with the global best practice and increase its efficiency in fighting an ever-complex financial crime..</w:t>
      </w:r>
    </w:p>
    <w:p w14:paraId="46D491A4">
      <w:pPr>
        <w:rPr>
          <w:rFonts w:ascii="Times New Roman" w:hAnsi="Times New Roman" w:eastAsia="Times New Roman" w:cs="Times New Roman"/>
          <w:bCs/>
          <w:sz w:val="24"/>
          <w:szCs w:val="24"/>
          <w:lang w:eastAsia="en-IN"/>
        </w:rPr>
      </w:pPr>
      <w:r>
        <w:rPr>
          <w:rFonts w:ascii="Times New Roman" w:hAnsi="Times New Roman" w:eastAsia="Times New Roman" w:cs="Times New Roman"/>
          <w:bCs/>
          <w:sz w:val="24"/>
          <w:szCs w:val="24"/>
          <w:lang w:eastAsia="en-IN"/>
        </w:rPr>
        <w:br w:type="page"/>
      </w:r>
    </w:p>
    <w:p w14:paraId="0D12D205">
      <w:pPr>
        <w:jc w:val="center"/>
        <w:rPr>
          <w:rFonts w:hint="default" w:ascii="Times New Roman" w:hAnsi="Times New Roman" w:eastAsia="Times New Roman" w:cs="Times New Roman"/>
          <w:b/>
          <w:bCs w:val="0"/>
          <w:sz w:val="32"/>
          <w:szCs w:val="32"/>
          <w:lang w:val="en-US" w:eastAsia="en-IN"/>
        </w:rPr>
      </w:pPr>
      <w:r>
        <w:rPr>
          <w:rFonts w:hint="default" w:ascii="Times New Roman" w:hAnsi="Times New Roman" w:eastAsia="Times New Roman" w:cs="Times New Roman"/>
          <w:b/>
          <w:bCs w:val="0"/>
          <w:sz w:val="32"/>
          <w:szCs w:val="32"/>
          <w:lang w:val="en-US" w:eastAsia="en-IN"/>
        </w:rPr>
        <w:t>BIBLIOGRAPHY</w:t>
      </w:r>
    </w:p>
    <w:p w14:paraId="40A15A25">
      <w:pPr>
        <w:jc w:val="center"/>
        <w:rPr>
          <w:rFonts w:hint="default" w:ascii="Times New Roman" w:hAnsi="Times New Roman" w:eastAsia="Times New Roman" w:cs="Times New Roman"/>
          <w:b/>
          <w:bCs w:val="0"/>
          <w:sz w:val="32"/>
          <w:szCs w:val="32"/>
          <w:lang w:val="en-US" w:eastAsia="en-IN"/>
        </w:rPr>
      </w:pPr>
    </w:p>
    <w:p w14:paraId="3366D36A">
      <w:pPr>
        <w:jc w:val="left"/>
        <w:rPr>
          <w:rFonts w:hint="default" w:ascii="Times New Roman" w:hAnsi="Times New Roman" w:eastAsia="Times New Roman" w:cs="Times New Roman"/>
          <w:b/>
          <w:bCs w:val="0"/>
          <w:sz w:val="32"/>
          <w:szCs w:val="32"/>
          <w:lang w:val="en-US" w:eastAsia="en-IN"/>
        </w:rPr>
      </w:pPr>
      <w:r>
        <w:rPr>
          <w:rFonts w:hint="default" w:ascii="Times New Roman" w:hAnsi="Times New Roman" w:eastAsia="Times New Roman" w:cs="Times New Roman"/>
          <w:b/>
          <w:bCs w:val="0"/>
          <w:sz w:val="32"/>
          <w:szCs w:val="32"/>
          <w:lang w:val="en-US" w:eastAsia="en-IN"/>
        </w:rPr>
        <w:t>Books</w:t>
      </w:r>
    </w:p>
    <w:p w14:paraId="56889055">
      <w:pPr>
        <w:jc w:val="left"/>
        <w:rPr>
          <w:rFonts w:hint="default" w:ascii="Times New Roman" w:hAnsi="Times New Roman" w:eastAsia="Times New Roman" w:cs="Times New Roman"/>
          <w:b/>
          <w:bCs w:val="0"/>
          <w:sz w:val="32"/>
          <w:szCs w:val="32"/>
          <w:lang w:val="en-US" w:eastAsia="en-IN"/>
        </w:rPr>
      </w:pPr>
    </w:p>
    <w:p w14:paraId="6F10AF8A">
      <w:pPr>
        <w:jc w:val="left"/>
        <w:rPr>
          <w:rFonts w:hint="default" w:ascii="Times New Roman" w:hAnsi="Times New Roman" w:eastAsia="Times New Roman" w:cs="Times New Roman"/>
          <w:b/>
          <w:bCs w:val="0"/>
          <w:sz w:val="32"/>
          <w:szCs w:val="32"/>
          <w:lang w:val="en-US" w:eastAsia="en-IN"/>
        </w:rPr>
      </w:pPr>
    </w:p>
    <w:p w14:paraId="4B724835">
      <w:pPr>
        <w:pStyle w:val="7"/>
        <w:numPr>
          <w:ilvl w:val="0"/>
          <w:numId w:val="1"/>
        </w:numPr>
        <w:spacing w:line="360" w:lineRule="auto"/>
        <w:jc w:val="both"/>
      </w:pPr>
      <w:r>
        <w:t xml:space="preserve">K.P. Singh, Legal Framework for Combating Money Laundering, Universal Law Publishing, 2020.  </w:t>
      </w:r>
    </w:p>
    <w:p w14:paraId="4E6F4C35">
      <w:pPr>
        <w:pStyle w:val="7"/>
        <w:numPr>
          <w:ilvl w:val="0"/>
          <w:numId w:val="1"/>
        </w:numPr>
        <w:spacing w:line="360" w:lineRule="auto"/>
        <w:jc w:val="both"/>
      </w:pPr>
      <w:r>
        <w:t xml:space="preserve">S. M. Singh, Financial Regulation and Crime Control, Routledge, 2022.  </w:t>
      </w:r>
    </w:p>
    <w:p w14:paraId="04D328DB">
      <w:pPr>
        <w:pStyle w:val="7"/>
        <w:numPr>
          <w:ilvl w:val="0"/>
          <w:numId w:val="1"/>
        </w:numPr>
        <w:spacing w:line="360" w:lineRule="auto"/>
        <w:jc w:val="both"/>
      </w:pPr>
      <w:r>
        <w:t xml:space="preserve">R. R. Bhatia, Legal Reforms and Financial Crimes, Oxford University Press, 2020.  </w:t>
      </w:r>
    </w:p>
    <w:p w14:paraId="08A8959B">
      <w:pPr>
        <w:pStyle w:val="7"/>
        <w:spacing w:line="360" w:lineRule="auto"/>
        <w:jc w:val="both"/>
        <w:rPr>
          <w:b/>
          <w:bCs/>
        </w:rPr>
      </w:pPr>
      <w:r>
        <w:rPr>
          <w:b/>
          <w:bCs/>
        </w:rPr>
        <w:t>Research Paper</w:t>
      </w:r>
    </w:p>
    <w:p w14:paraId="05DA3206">
      <w:pPr>
        <w:pStyle w:val="7"/>
        <w:numPr>
          <w:ilvl w:val="0"/>
          <w:numId w:val="2"/>
        </w:numPr>
        <w:spacing w:line="360" w:lineRule="auto"/>
      </w:pPr>
      <w:r>
        <w:t>Choudhury, S., &amp; Roy, P. (2021). Regulatory Challenges in the Prevention of Money Laundering in India. International Journal of Law and Management, 63(4), 589-603.</w:t>
      </w:r>
    </w:p>
    <w:p w14:paraId="43791400">
      <w:pPr>
        <w:pStyle w:val="7"/>
        <w:numPr>
          <w:ilvl w:val="0"/>
          <w:numId w:val="2"/>
        </w:numPr>
        <w:spacing w:line="360" w:lineRule="auto"/>
      </w:pPr>
      <w:r>
        <w:t>Reddy, K., &amp; Srinivasan, P. (2022). Legal Reforms and Institutional Challenges in Addressing Corporate Frauds. Indian Journal of Corporate Law, 19(4), 415-430.</w:t>
      </w:r>
    </w:p>
    <w:p w14:paraId="369D11BB">
      <w:pPr>
        <w:pStyle w:val="7"/>
        <w:numPr>
          <w:ilvl w:val="0"/>
          <w:numId w:val="2"/>
        </w:numPr>
        <w:spacing w:line="360" w:lineRule="auto"/>
      </w:pPr>
      <w:r>
        <w:t xml:space="preserve">Sharma, M. (2020). The Effectiveness of the </w:t>
      </w:r>
      <w:r>
        <w:rPr>
          <w:lang w:val="en-IN"/>
        </w:rPr>
        <w:t>Prevention of Money Laundering Act 2002</w:t>
      </w:r>
      <w:r>
        <w:t>. Asian Journal of Comparative Law, 15(2), 201-218.</w:t>
      </w:r>
    </w:p>
    <w:p w14:paraId="0C0DD762">
      <w:pPr>
        <w:pStyle w:val="7"/>
        <w:numPr>
          <w:ilvl w:val="0"/>
          <w:numId w:val="2"/>
        </w:numPr>
        <w:spacing w:line="360" w:lineRule="auto"/>
      </w:pPr>
      <w:r>
        <w:t>Yadav, S. (2023). Recent Legal Reforms to Strengthen Anti-Money Laundering Measures in India. Journal of Financial Crime, 30(1), 45-62.</w:t>
      </w:r>
    </w:p>
    <w:p w14:paraId="4D41A1C5">
      <w:pPr>
        <w:pStyle w:val="7"/>
        <w:numPr>
          <w:numId w:val="0"/>
        </w:numPr>
        <w:spacing w:line="360" w:lineRule="auto"/>
      </w:pPr>
      <w:r>
        <w:rPr>
          <w:b/>
          <w:bCs/>
        </w:rPr>
        <w:t>Articles</w:t>
      </w:r>
    </w:p>
    <w:p w14:paraId="5E4F8D88">
      <w:pPr>
        <w:pStyle w:val="7"/>
        <w:numPr>
          <w:ilvl w:val="0"/>
          <w:numId w:val="3"/>
        </w:numPr>
        <w:spacing w:line="360" w:lineRule="auto"/>
        <w:jc w:val="both"/>
      </w:pPr>
      <w:r>
        <w:t xml:space="preserve">"Money Laundering and Corporate Crime: A Comparative Analysis," Journal of Legal Perspectives, 2021.  </w:t>
      </w:r>
    </w:p>
    <w:p w14:paraId="7236E0BF">
      <w:pPr>
        <w:pStyle w:val="7"/>
        <w:numPr>
          <w:ilvl w:val="0"/>
          <w:numId w:val="3"/>
        </w:numPr>
        <w:spacing w:line="360" w:lineRule="auto"/>
        <w:jc w:val="both"/>
      </w:pPr>
      <w:r>
        <w:t xml:space="preserve">"Regulatory Challenges in Combating Money Laundering in India," Journal of Financial Crime, 2022.  </w:t>
      </w:r>
    </w:p>
    <w:p w14:paraId="0CC408DB">
      <w:pPr>
        <w:pStyle w:val="7"/>
        <w:numPr>
          <w:ilvl w:val="0"/>
          <w:numId w:val="3"/>
        </w:numPr>
        <w:spacing w:line="360" w:lineRule="auto"/>
        <w:jc w:val="both"/>
      </w:pPr>
      <w:r>
        <w:t xml:space="preserve">"Reforming Indian Laws to Tackle Financial Crimes," Law and Society Review, 2022.  </w:t>
      </w:r>
    </w:p>
    <w:p w14:paraId="32C4E4FC">
      <w:pPr>
        <w:rPr>
          <w:b/>
          <w:bCs/>
        </w:rPr>
      </w:pPr>
      <w:r>
        <w:rPr>
          <w:b/>
          <w:bCs/>
        </w:rPr>
        <w:br w:type="page"/>
      </w:r>
    </w:p>
    <w:p w14:paraId="06F1D50D">
      <w:pPr>
        <w:pStyle w:val="7"/>
        <w:spacing w:line="360" w:lineRule="auto"/>
        <w:jc w:val="both"/>
        <w:rPr>
          <w:b/>
          <w:bCs/>
        </w:rPr>
      </w:pPr>
      <w:r>
        <w:rPr>
          <w:b/>
          <w:bCs/>
        </w:rPr>
        <w:t>Websites</w:t>
      </w:r>
    </w:p>
    <w:p w14:paraId="6FC01057">
      <w:pPr>
        <w:pStyle w:val="7"/>
        <w:numPr>
          <w:ilvl w:val="0"/>
          <w:numId w:val="4"/>
        </w:numPr>
        <w:spacing w:line="360" w:lineRule="auto"/>
        <w:jc w:val="both"/>
      </w:pPr>
      <w:r>
        <w:t xml:space="preserve">Financial Action Task Force (FATF)  </w:t>
      </w:r>
    </w:p>
    <w:p w14:paraId="3588EA98">
      <w:pPr>
        <w:pStyle w:val="7"/>
        <w:numPr>
          <w:ilvl w:val="0"/>
          <w:numId w:val="4"/>
        </w:numPr>
        <w:spacing w:line="360" w:lineRule="auto"/>
        <w:jc w:val="both"/>
      </w:pPr>
      <w:r>
        <w:t xml:space="preserve">Securities and Exchange Board of India (SEBI)  </w:t>
      </w:r>
    </w:p>
    <w:p w14:paraId="008DC06C">
      <w:pPr>
        <w:pStyle w:val="7"/>
        <w:numPr>
          <w:ilvl w:val="0"/>
          <w:numId w:val="4"/>
        </w:numPr>
        <w:spacing w:line="360" w:lineRule="auto"/>
        <w:jc w:val="both"/>
      </w:pPr>
      <w:r>
        <w:t xml:space="preserve">Reserve Bank of India (RBI)  </w:t>
      </w:r>
    </w:p>
    <w:p w14:paraId="107D517F">
      <w:pPr>
        <w:pStyle w:val="7"/>
        <w:numPr>
          <w:ilvl w:val="0"/>
          <w:numId w:val="4"/>
        </w:numPr>
        <w:spacing w:line="360" w:lineRule="auto"/>
        <w:jc w:val="both"/>
      </w:pPr>
      <w:r>
        <w:t xml:space="preserve">Ministry of Finance, Government of India  </w:t>
      </w:r>
    </w:p>
    <w:p w14:paraId="6ABEF8B4">
      <w:pPr>
        <w:pStyle w:val="7"/>
        <w:numPr>
          <w:numId w:val="0"/>
        </w:numPr>
        <w:spacing w:line="360" w:lineRule="auto"/>
        <w:ind w:left="360" w:leftChars="0"/>
        <w:jc w:val="both"/>
      </w:pPr>
    </w:p>
    <w:p w14:paraId="4DBFB3B1">
      <w:pPr>
        <w:jc w:val="left"/>
        <w:rPr>
          <w:rFonts w:hint="default" w:ascii="Times New Roman" w:hAnsi="Times New Roman" w:eastAsia="Times New Roman" w:cs="Times New Roman"/>
          <w:b/>
          <w:bCs w:val="0"/>
          <w:sz w:val="32"/>
          <w:szCs w:val="32"/>
          <w:lang w:val="en-US" w:eastAsia="en-IN"/>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2">
    <w:p>
      <w:r>
        <w:separator/>
      </w:r>
    </w:p>
  </w:footnote>
  <w:footnote w:type="continuationSeparator" w:id="33">
    <w:p>
      <w:r>
        <w:continuationSeparator/>
      </w:r>
    </w:p>
  </w:footnote>
  <w:footnote w:id="0">
    <w:p w14:paraId="5C715B82">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Financial Action Task Force, </w:t>
      </w:r>
      <w:r>
        <w:rPr>
          <w:rStyle w:val="4"/>
          <w:rFonts w:ascii="Times New Roman" w:hAnsi="Times New Roman" w:cs="Times New Roman"/>
        </w:rPr>
        <w:t>International Standards on Combating Money Laundering and the Financing of Terrorism &amp; Proliferation: The FATF Recommendations</w:t>
      </w:r>
      <w:r>
        <w:rPr>
          <w:rFonts w:ascii="Times New Roman" w:hAnsi="Times New Roman" w:cs="Times New Roman"/>
        </w:rPr>
        <w:t xml:space="preserve"> (FATF, Paris, 2012, updated 2023).</w:t>
      </w:r>
    </w:p>
  </w:footnote>
  <w:footnote w:id="1">
    <w:p w14:paraId="050CD45A">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Ibid, Recommendation 1 (Risk-Based Approach).</w:t>
      </w:r>
    </w:p>
  </w:footnote>
  <w:footnote w:id="2">
    <w:p w14:paraId="64B6B2AE">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FATF, </w:t>
      </w:r>
      <w:r>
        <w:rPr>
          <w:rStyle w:val="4"/>
          <w:rFonts w:ascii="Times New Roman" w:hAnsi="Times New Roman" w:cs="Times New Roman"/>
        </w:rPr>
        <w:t>Methodology for Assessing Technical Compliance and Effectiveness</w:t>
      </w:r>
      <w:r>
        <w:rPr>
          <w:rFonts w:ascii="Times New Roman" w:hAnsi="Times New Roman" w:cs="Times New Roman"/>
        </w:rPr>
        <w:t xml:space="preserve"> (FATF, 2022).</w:t>
      </w:r>
    </w:p>
  </w:footnote>
  <w:footnote w:id="3">
    <w:p w14:paraId="3BEBDB8A">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lang w:val="en-IN"/>
        </w:rPr>
        <w:t>Prevention of Money Laundering Act 2002</w:t>
      </w:r>
      <w:r>
        <w:rPr>
          <w:rFonts w:ascii="Times New Roman" w:hAnsi="Times New Roman" w:cs="Times New Roman"/>
        </w:rPr>
        <w:t xml:space="preserve"> (Act 15 of 2003), ss. 3–8.</w:t>
      </w:r>
    </w:p>
  </w:footnote>
  <w:footnote w:id="4">
    <w:p w14:paraId="38D5239F">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FATF, </w:t>
      </w:r>
      <w:r>
        <w:rPr>
          <w:rStyle w:val="4"/>
          <w:rFonts w:ascii="Times New Roman" w:hAnsi="Times New Roman" w:cs="Times New Roman"/>
        </w:rPr>
        <w:t>Mutual Evaluation Report: India</w:t>
      </w:r>
      <w:r>
        <w:rPr>
          <w:rFonts w:ascii="Times New Roman" w:hAnsi="Times New Roman" w:cs="Times New Roman"/>
        </w:rPr>
        <w:t xml:space="preserve"> (FATF &amp; APG, 2024).</w:t>
      </w:r>
    </w:p>
  </w:footnote>
  <w:footnote w:id="5">
    <w:p w14:paraId="07A4A158">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Bank Secrecy Act, 1970 (31 U.S.C. § 5311 et seq.); USA PATRIOT Act, 2001.</w:t>
      </w:r>
    </w:p>
  </w:footnote>
  <w:footnote w:id="6">
    <w:p w14:paraId="3748BD45">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U.S. Department of Justice, </w:t>
      </w:r>
      <w:r>
        <w:rPr>
          <w:rStyle w:val="4"/>
          <w:rFonts w:ascii="Times New Roman" w:hAnsi="Times New Roman" w:cs="Times New Roman"/>
        </w:rPr>
        <w:t>Money Laundering and Asset Recovery Framework</w:t>
      </w:r>
      <w:r>
        <w:rPr>
          <w:rFonts w:ascii="Times New Roman" w:hAnsi="Times New Roman" w:cs="Times New Roman"/>
        </w:rPr>
        <w:t xml:space="preserve"> (DOJ Publications).</w:t>
      </w:r>
    </w:p>
  </w:footnote>
  <w:footnote w:id="7">
    <w:p w14:paraId="4CD728B9">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Proceeds of Crime Act 2002 (UK); National Crime Agency (NCA) Operational Reports.</w:t>
      </w:r>
    </w:p>
  </w:footnote>
  <w:footnote w:id="8">
    <w:p w14:paraId="321691E1">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Criminal Finances Act 2017 (UK), provisions on Unexplained Wealth Orders.</w:t>
      </w:r>
    </w:p>
  </w:footnote>
  <w:footnote w:id="9">
    <w:p w14:paraId="6BC379F2">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Enforcement Directorate (ED), </w:t>
      </w:r>
      <w:r>
        <w:rPr>
          <w:rStyle w:val="4"/>
          <w:rFonts w:ascii="Times New Roman" w:hAnsi="Times New Roman" w:cs="Times New Roman"/>
        </w:rPr>
        <w:t>Annual Report</w:t>
      </w:r>
      <w:r>
        <w:rPr>
          <w:rFonts w:ascii="Times New Roman" w:hAnsi="Times New Roman" w:cs="Times New Roman"/>
        </w:rPr>
        <w:t xml:space="preserve">; Reserve Bank of India (RBI), </w:t>
      </w:r>
      <w:r>
        <w:rPr>
          <w:rStyle w:val="4"/>
          <w:rFonts w:ascii="Times New Roman" w:hAnsi="Times New Roman" w:cs="Times New Roman"/>
        </w:rPr>
        <w:t>AML/CFT Guidelines for Regulated Entities</w:t>
      </w:r>
      <w:r>
        <w:rPr>
          <w:rFonts w:ascii="Times New Roman" w:hAnsi="Times New Roman" w:cs="Times New Roman"/>
        </w:rPr>
        <w:t>.</w:t>
      </w:r>
    </w:p>
  </w:footnote>
  <w:footnote w:id="10">
    <w:p w14:paraId="4E97F5F6">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Financial Action Task Force (FATF), </w:t>
      </w:r>
      <w:r>
        <w:rPr>
          <w:rStyle w:val="4"/>
          <w:rFonts w:ascii="Times New Roman" w:hAnsi="Times New Roman" w:cs="Times New Roman"/>
        </w:rPr>
        <w:t>Trade-Based Money Laundering: Trends and Developments</w:t>
      </w:r>
      <w:r>
        <w:rPr>
          <w:rFonts w:ascii="Times New Roman" w:hAnsi="Times New Roman" w:cs="Times New Roman"/>
        </w:rPr>
        <w:t xml:space="preserve"> (FATF Report, 2022).</w:t>
      </w:r>
    </w:p>
  </w:footnote>
  <w:footnote w:id="11">
    <w:p w14:paraId="0C2195C3">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United Nations Convention against Transnational Organized Crime (UNTOC), 2000, Article 18 (Mutual Legal Assistance).</w:t>
      </w:r>
    </w:p>
  </w:footnote>
  <w:footnote w:id="12">
    <w:p w14:paraId="05DCB8B2">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FATF, </w:t>
      </w:r>
      <w:r>
        <w:rPr>
          <w:rStyle w:val="4"/>
          <w:rFonts w:ascii="Times New Roman" w:hAnsi="Times New Roman" w:cs="Times New Roman"/>
        </w:rPr>
        <w:t>Mutual Evaluation Methodology: Assessment of International Cooperation</w:t>
      </w:r>
      <w:r>
        <w:rPr>
          <w:rFonts w:ascii="Times New Roman" w:hAnsi="Times New Roman" w:cs="Times New Roman"/>
        </w:rPr>
        <w:t xml:space="preserve"> (FATF, 2022).</w:t>
      </w:r>
    </w:p>
  </w:footnote>
  <w:footnote w:id="13">
    <w:p w14:paraId="27967CFA">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Egmont Group of Financial Intelligence Units, </w:t>
      </w:r>
      <w:r>
        <w:rPr>
          <w:rStyle w:val="4"/>
          <w:rFonts w:ascii="Times New Roman" w:hAnsi="Times New Roman" w:cs="Times New Roman"/>
        </w:rPr>
        <w:t>Information Exchange Principles and Guidelines</w:t>
      </w:r>
      <w:r>
        <w:rPr>
          <w:rFonts w:ascii="Times New Roman" w:hAnsi="Times New Roman" w:cs="Times New Roman"/>
        </w:rPr>
        <w:t xml:space="preserve"> (Egmont Publications).</w:t>
      </w:r>
    </w:p>
  </w:footnote>
  <w:footnote w:id="14">
    <w:p w14:paraId="60798107">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U.S. Department of Treasury, </w:t>
      </w:r>
      <w:r>
        <w:rPr>
          <w:rStyle w:val="4"/>
          <w:rFonts w:ascii="Times New Roman" w:hAnsi="Times New Roman" w:cs="Times New Roman"/>
        </w:rPr>
        <w:t>FinCEN Strategic Technology and Data Analytics Report</w:t>
      </w:r>
      <w:r>
        <w:rPr>
          <w:rFonts w:ascii="Times New Roman" w:hAnsi="Times New Roman" w:cs="Times New Roman"/>
        </w:rPr>
        <w:t xml:space="preserve"> (latest edition).</w:t>
      </w:r>
    </w:p>
  </w:footnote>
  <w:footnote w:id="15">
    <w:p w14:paraId="1D964C06">
      <w:pPr>
        <w:pStyle w:val="6"/>
        <w:rPr>
          <w:rFonts w:ascii="Times New Roman" w:hAnsi="Times New Roman" w:cs="Times New Roman"/>
        </w:rPr>
      </w:pPr>
      <w:r>
        <w:rPr>
          <w:rStyle w:val="5"/>
          <w:rFonts w:ascii="Times New Roman" w:hAnsi="Times New Roman" w:cs="Times New Roman"/>
        </w:rPr>
        <w:footnoteRef/>
      </w:r>
      <w:r>
        <w:rPr>
          <w:rFonts w:ascii="Times New Roman" w:hAnsi="Times New Roman" w:cs="Times New Roman"/>
        </w:rPr>
        <w:t xml:space="preserve"> U.S. Department of Justice, </w:t>
      </w:r>
      <w:r>
        <w:rPr>
          <w:rStyle w:val="4"/>
          <w:rFonts w:ascii="Times New Roman" w:hAnsi="Times New Roman" w:cs="Times New Roman"/>
        </w:rPr>
        <w:t>Financial Crimes Enforcement Framework and Prosecution Strategy</w:t>
      </w:r>
      <w:r>
        <w:rPr>
          <w:rFonts w:ascii="Times New Roman" w:hAnsi="Times New Roman" w:cs="Times New Roman"/>
        </w:rPr>
        <w:t xml:space="preserve"> (DOJ Publications).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1275AD"/>
    <w:multiLevelType w:val="multilevel"/>
    <w:tmpl w:val="451275A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5C2C3B57"/>
    <w:multiLevelType w:val="multilevel"/>
    <w:tmpl w:val="5C2C3B5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6EE47285"/>
    <w:multiLevelType w:val="multilevel"/>
    <w:tmpl w:val="6EE4728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7BDB5147"/>
    <w:multiLevelType w:val="multilevel"/>
    <w:tmpl w:val="7BDB514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footnotePr>
    <w:footnote w:id="32"/>
    <w:footnote w:id="33"/>
  </w:foot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E6536"/>
    <w:rsid w:val="589E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Emphasis"/>
    <w:basedOn w:val="2"/>
    <w:qFormat/>
    <w:uiPriority w:val="20"/>
    <w:rPr>
      <w:i/>
      <w:iCs/>
    </w:rPr>
  </w:style>
  <w:style w:type="character" w:styleId="5">
    <w:name w:val="footnote reference"/>
    <w:basedOn w:val="2"/>
    <w:unhideWhenUsed/>
    <w:qFormat/>
    <w:uiPriority w:val="99"/>
    <w:rPr>
      <w:vertAlign w:val="superscript"/>
    </w:rPr>
  </w:style>
  <w:style w:type="paragraph" w:styleId="6">
    <w:name w:val="footnote text"/>
    <w:basedOn w:val="1"/>
    <w:unhideWhenUsed/>
    <w:qFormat/>
    <w:uiPriority w:val="99"/>
    <w:pPr>
      <w:spacing w:after="0" w:line="240" w:lineRule="auto"/>
    </w:pPr>
    <w:rPr>
      <w:sz w:val="20"/>
      <w:szCs w:val="20"/>
    </w:rPr>
  </w:style>
  <w:style w:type="paragraph" w:styleId="7">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en-I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8</TotalTime>
  <ScaleCrop>false</ScaleCrop>
  <LinksUpToDate>false</LinksUpToDate>
  <CharactersWithSpaces>0</CharactersWithSpaces>
  <Application>WPS Office_12.2.0.23202_F1E327BC-269C-435d-A152-05C5408002CA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2026-04-24T07:33:00Z</dcterms:created>
  <dc:creator>devan</dc:creator>
  <cp:lastModifiedBy>devan</cp:lastModifiedBy>
  <dcterms:modified xsi:type="dcterms:W3CDTF">2026-04-24T08:15:12Z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2057-12.2.0.23202</vt:lpwstr>
  </property>
  <property fmtid="{D5CDD505-2E9C-101B-9397-08002B2CF9AE}" pid="3" name="ICV">
    <vt:lpwstr>E422263DB0014F5490AE1939CDD79777_11</vt:lpwstr>
  </property>
</Properties>
</file>