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60" w:before="60" w:lineRule="auto"/>
        <w:rPr/>
      </w:pPr>
      <w:r w:rsidDel="00000000" w:rsidR="00000000" w:rsidRPr="00000000">
        <w:rPr>
          <w:rtl w:val="0"/>
        </w:rPr>
      </w:r>
    </w:p>
    <w:p w:rsidR="00000000" w:rsidDel="00000000" w:rsidP="00000000" w:rsidRDefault="00000000" w:rsidRPr="00000000" w14:paraId="00000002">
      <w:pPr>
        <w:spacing w:after="60" w:before="60" w:lineRule="auto"/>
        <w:rPr/>
      </w:pPr>
      <w:r w:rsidDel="00000000" w:rsidR="00000000" w:rsidRPr="00000000">
        <w:rPr>
          <w:rtl w:val="0"/>
        </w:rPr>
      </w:r>
    </w:p>
    <w:p w:rsidR="00000000" w:rsidDel="00000000" w:rsidP="00000000" w:rsidRDefault="00000000" w:rsidRPr="00000000" w14:paraId="00000003">
      <w:pPr>
        <w:spacing w:after="120" w:before="120" w:lineRule="auto"/>
        <w:jc w:val="center"/>
        <w:rPr/>
      </w:pPr>
      <w:r w:rsidDel="00000000" w:rsidR="00000000" w:rsidRPr="00000000">
        <w:rPr>
          <w:b w:val="1"/>
          <w:bCs w:val="1"/>
          <w:sz w:val="30"/>
          <w:szCs w:val="30"/>
          <w:rtl w:val="0"/>
        </w:rPr>
        <w:t xml:space="preserve">SOCIO-LEGAL STUDY ON JUVENILE DELINQUENTS,</w:t>
      </w:r>
      <w:r w:rsidDel="00000000" w:rsidR="00000000" w:rsidRPr="00000000">
        <w:rPr>
          <w:rtl w:val="0"/>
        </w:rPr>
      </w:r>
    </w:p>
    <w:p w:rsidR="00000000" w:rsidDel="00000000" w:rsidP="00000000" w:rsidRDefault="00000000" w:rsidRPr="00000000" w14:paraId="00000004">
      <w:pPr>
        <w:spacing w:after="120" w:before="120" w:lineRule="auto"/>
        <w:jc w:val="center"/>
        <w:rPr/>
      </w:pPr>
      <w:r w:rsidDel="00000000" w:rsidR="00000000" w:rsidRPr="00000000">
        <w:rPr>
          <w:b w:val="1"/>
          <w:bCs w:val="1"/>
          <w:sz w:val="30"/>
          <w:szCs w:val="30"/>
          <w:rtl w:val="0"/>
        </w:rPr>
        <w:t xml:space="preserve">THEIR REFORMATION AND REHABILITATION</w:t>
      </w:r>
      <w:r w:rsidDel="00000000" w:rsidR="00000000" w:rsidRPr="00000000">
        <w:rPr>
          <w:rtl w:val="0"/>
        </w:rPr>
      </w:r>
    </w:p>
    <w:p w:rsidR="00000000" w:rsidDel="00000000" w:rsidP="00000000" w:rsidRDefault="00000000" w:rsidRPr="00000000" w14:paraId="00000005">
      <w:pPr>
        <w:spacing w:after="60" w:before="60" w:lineRule="auto"/>
        <w:rPr/>
      </w:pPr>
      <w:r w:rsidDel="00000000" w:rsidR="00000000" w:rsidRPr="00000000">
        <w:rPr>
          <w:rtl w:val="0"/>
        </w:rPr>
      </w:r>
    </w:p>
    <w:p w:rsidR="00000000" w:rsidDel="00000000" w:rsidP="00000000" w:rsidRDefault="00000000" w:rsidRPr="00000000" w14:paraId="00000006">
      <w:pPr>
        <w:pBdr>
          <w:bottom w:color="000000" w:space="1" w:sz="6" w:val="single"/>
        </w:pBdr>
        <w:spacing w:after="240" w:before="240" w:lineRule="auto"/>
        <w:rPr/>
      </w:pPr>
      <w:r w:rsidDel="00000000" w:rsidR="00000000" w:rsidRPr="00000000">
        <w:rPr>
          <w:rtl w:val="0"/>
        </w:rPr>
      </w:r>
    </w:p>
    <w:p w:rsidR="00000000" w:rsidDel="00000000" w:rsidP="00000000" w:rsidRDefault="00000000" w:rsidRPr="00000000" w14:paraId="00000007">
      <w:pPr>
        <w:spacing w:after="60" w:before="60" w:lineRule="auto"/>
        <w:rPr/>
      </w:pPr>
      <w:r w:rsidDel="00000000" w:rsidR="00000000" w:rsidRPr="00000000">
        <w:rPr>
          <w:rtl w:val="0"/>
        </w:rPr>
      </w:r>
    </w:p>
    <w:p w:rsidR="00000000" w:rsidDel="00000000" w:rsidP="00000000" w:rsidRDefault="00000000" w:rsidRPr="00000000" w14:paraId="00000008">
      <w:pPr>
        <w:spacing w:after="80" w:before="80" w:lineRule="auto"/>
        <w:jc w:val="center"/>
        <w:rPr/>
      </w:pPr>
      <w:r w:rsidDel="00000000" w:rsidR="00000000" w:rsidRPr="00000000">
        <w:rPr>
          <w:sz w:val="22"/>
          <w:szCs w:val="22"/>
          <w:rtl w:val="0"/>
        </w:rPr>
        <w:t xml:space="preserve">A Legal Research Paper</w:t>
      </w:r>
      <w:r w:rsidDel="00000000" w:rsidR="00000000" w:rsidRPr="00000000">
        <w:rPr>
          <w:rtl w:val="0"/>
        </w:rPr>
      </w:r>
    </w:p>
    <w:p w:rsidR="00000000" w:rsidDel="00000000" w:rsidP="00000000" w:rsidRDefault="00000000" w:rsidRPr="00000000" w14:paraId="00000009">
      <w:pPr>
        <w:spacing w:after="60" w:before="60" w:lineRule="auto"/>
        <w:rPr/>
      </w:pPr>
      <w:r w:rsidDel="00000000" w:rsidR="00000000" w:rsidRPr="00000000">
        <w:rPr>
          <w:rtl w:val="0"/>
        </w:rPr>
      </w:r>
    </w:p>
    <w:p w:rsidR="00000000" w:rsidDel="00000000" w:rsidP="00000000" w:rsidRDefault="00000000" w:rsidRPr="00000000" w14:paraId="0000000A">
      <w:pPr>
        <w:spacing w:after="60" w:before="60" w:lineRule="auto"/>
        <w:rPr/>
      </w:pPr>
      <w:r w:rsidDel="00000000" w:rsidR="00000000" w:rsidRPr="00000000">
        <w:rPr>
          <w:rtl w:val="0"/>
        </w:rPr>
      </w:r>
    </w:p>
    <w:p w:rsidR="00000000" w:rsidDel="00000000" w:rsidP="00000000" w:rsidRDefault="00000000" w:rsidRPr="00000000" w14:paraId="0000000B">
      <w:pPr>
        <w:spacing w:after="80" w:before="80" w:lineRule="auto"/>
        <w:jc w:val="center"/>
        <w:rPr/>
      </w:pPr>
      <w:r w:rsidDel="00000000" w:rsidR="00000000" w:rsidRPr="00000000">
        <w:rPr>
          <w:rtl w:val="0"/>
        </w:rPr>
      </w:r>
    </w:p>
    <w:p w:rsidR="00000000" w:rsidDel="00000000" w:rsidP="00000000" w:rsidRDefault="00000000" w:rsidRPr="00000000" w14:paraId="0000000C">
      <w:pPr>
        <w:spacing w:after="60" w:before="60" w:lineRule="auto"/>
        <w:rPr/>
      </w:pPr>
      <w:r w:rsidDel="00000000" w:rsidR="00000000" w:rsidRPr="00000000">
        <w:rPr>
          <w:rtl w:val="0"/>
        </w:rPr>
      </w:r>
    </w:p>
    <w:p w:rsidR="00000000" w:rsidDel="00000000" w:rsidP="00000000" w:rsidRDefault="00000000" w:rsidRPr="00000000" w14:paraId="0000000D">
      <w:pPr>
        <w:pBdr>
          <w:bottom w:color="000000" w:space="1" w:sz="6" w:val="single"/>
        </w:pBdr>
        <w:spacing w:after="240" w:before="240" w:lineRule="auto"/>
        <w:rPr/>
      </w:pPr>
      <w:r w:rsidDel="00000000" w:rsidR="00000000" w:rsidRPr="00000000">
        <w:rPr>
          <w:rtl w:val="0"/>
        </w:rPr>
      </w:r>
    </w:p>
    <w:p w:rsidR="00000000" w:rsidDel="00000000" w:rsidP="00000000" w:rsidRDefault="00000000" w:rsidRPr="00000000" w14:paraId="0000000E">
      <w:pPr>
        <w:rPr/>
      </w:pPr>
      <w:r w:rsidDel="00000000" w:rsidR="00000000" w:rsidRPr="00000000">
        <w:br w:type="page"/>
      </w:r>
      <w:r w:rsidDel="00000000" w:rsidR="00000000" w:rsidRPr="00000000">
        <w:rPr>
          <w:rtl w:val="0"/>
        </w:rPr>
      </w:r>
    </w:p>
    <w:p w:rsidR="00000000" w:rsidDel="00000000" w:rsidP="00000000" w:rsidRDefault="00000000" w:rsidRPr="00000000" w14:paraId="0000000F">
      <w:pPr>
        <w:spacing w:after="120" w:before="120" w:lineRule="auto"/>
        <w:jc w:val="center"/>
        <w:rPr/>
      </w:pPr>
      <w:r w:rsidDel="00000000" w:rsidR="00000000" w:rsidRPr="00000000">
        <w:rPr>
          <w:b w:val="1"/>
          <w:bCs w:val="1"/>
          <w:sz w:val="28"/>
          <w:szCs w:val="28"/>
          <w:rtl w:val="0"/>
        </w:rPr>
        <w:t xml:space="preserve">ABSTRACT</w:t>
      </w:r>
      <w:r w:rsidDel="00000000" w:rsidR="00000000" w:rsidRPr="00000000">
        <w:rPr>
          <w:rtl w:val="0"/>
        </w:rPr>
      </w:r>
    </w:p>
    <w:p w:rsidR="00000000" w:rsidDel="00000000" w:rsidP="00000000" w:rsidRDefault="00000000" w:rsidRPr="00000000" w14:paraId="00000010">
      <w:pPr>
        <w:pBdr>
          <w:bottom w:color="000000" w:space="1" w:sz="6" w:val="single"/>
        </w:pBdr>
        <w:spacing w:after="240" w:before="240" w:lineRule="auto"/>
        <w:rPr/>
      </w:pPr>
      <w:r w:rsidDel="00000000" w:rsidR="00000000" w:rsidRPr="00000000">
        <w:rPr>
          <w:rtl w:val="0"/>
        </w:rPr>
      </w:r>
    </w:p>
    <w:p w:rsidR="00000000" w:rsidDel="00000000" w:rsidP="00000000" w:rsidRDefault="00000000" w:rsidRPr="00000000" w14:paraId="00000011">
      <w:pPr>
        <w:spacing w:after="120" w:before="120" w:line="360" w:lineRule="auto"/>
        <w:ind w:firstLine="720"/>
        <w:jc w:val="both"/>
        <w:rPr/>
      </w:pPr>
      <w:r w:rsidDel="00000000" w:rsidR="00000000" w:rsidRPr="00000000">
        <w:rPr>
          <w:rtl w:val="0"/>
        </w:rPr>
        <w:t xml:space="preserve">Juvenile delinquency constitutes one of the most persistent and complex socio-legal challenges confronting contemporary societies. The phenomenon, which encompasses criminal or anti-social conduct committed by persons below the legally prescribed age of criminal majority, lies at the intersection of sociology, psychology, criminology, and law. This research paper undertakes a comprehensive socio-legal inquiry into the nature, causes, and dimensions of juvenile delinquency with particular reference to the Indian legislative framework and comparative international standards. The paper critically examines the constitutional, statutory, and judicial architecture governing juvenile justice in India, focusing primarily on the Juvenile Justice (Care and Protection of Children) Act, 2015, and its accompanying Model Rules of 2016.</w:t>
      </w:r>
    </w:p>
    <w:p w:rsidR="00000000" w:rsidDel="00000000" w:rsidP="00000000" w:rsidRDefault="00000000" w:rsidRPr="00000000" w14:paraId="00000012">
      <w:pPr>
        <w:spacing w:after="120" w:before="120" w:line="360" w:lineRule="auto"/>
        <w:ind w:firstLine="720"/>
        <w:jc w:val="both"/>
        <w:rPr/>
      </w:pPr>
      <w:r w:rsidDel="00000000" w:rsidR="00000000" w:rsidRPr="00000000">
        <w:rPr>
          <w:rtl w:val="0"/>
        </w:rPr>
        <w:t xml:space="preserve">The study argues that effective juvenile justice must move decisively beyond the punitive paradigm toward a rehabilitative and restorative model that recognises the malleable nature of adolescent personality and the social determinants of delinquent behaviour. Drawing upon seminal criminological theories, including Merton's strain theory, Hirschi's social bond theory, and Sutherland's differential association theory, as well as Bronfenbrenner's ecological systems framework, the paper maps the multi-layered causal factors that drive juveniles into conflict with the law. These include structural poverty, family dysfunction, educational deprivation, peer influence, media exposure, and the absence of adequate social support systems.</w:t>
      </w:r>
    </w:p>
    <w:p w:rsidR="00000000" w:rsidDel="00000000" w:rsidP="00000000" w:rsidRDefault="00000000" w:rsidRPr="00000000" w14:paraId="00000013">
      <w:pPr>
        <w:spacing w:after="120" w:before="120" w:line="360" w:lineRule="auto"/>
        <w:ind w:firstLine="720"/>
        <w:jc w:val="both"/>
        <w:rPr/>
      </w:pPr>
      <w:r w:rsidDel="00000000" w:rsidR="00000000" w:rsidRPr="00000000">
        <w:rPr>
          <w:rtl w:val="0"/>
        </w:rPr>
        <w:t xml:space="preserve">Through an examination of empirical data, landmark judicial pronouncements, and reform initiatives, the paper evaluates the institutional mechanisms for reformation and rehabilitation, including Juvenile Justice Boards, Observation Homes, Special Homes, and open shelter facilities. It further explores restorative justice practices, community-based interventions, and aftercare programmes as viable alternatives to custodial detention. The paper concludes with concrete policy recommendations aimed at strengthening child-sensitive adjudication, improving infrastructure, training stakeholders, and building inter-departmental synergies for meaningful juvenile reintegration.</w:t>
      </w:r>
    </w:p>
    <w:p w:rsidR="00000000" w:rsidDel="00000000" w:rsidP="00000000" w:rsidRDefault="00000000" w:rsidRPr="00000000" w14:paraId="00000014">
      <w:pPr>
        <w:spacing w:after="60" w:before="60" w:lineRule="auto"/>
        <w:rPr/>
      </w:pPr>
      <w:r w:rsidDel="00000000" w:rsidR="00000000" w:rsidRPr="00000000">
        <w:rPr>
          <w:rtl w:val="0"/>
        </w:rPr>
      </w:r>
    </w:p>
    <w:p w:rsidR="00000000" w:rsidDel="00000000" w:rsidP="00000000" w:rsidRDefault="00000000" w:rsidRPr="00000000" w14:paraId="00000015">
      <w:pPr>
        <w:spacing w:after="120" w:before="120" w:line="360" w:lineRule="auto"/>
        <w:jc w:val="both"/>
        <w:rPr/>
      </w:pPr>
      <w:r w:rsidDel="00000000" w:rsidR="00000000" w:rsidRPr="00000000">
        <w:rPr>
          <w:rtl w:val="0"/>
        </w:rPr>
        <w:t xml:space="preserve">Keywords: </w:t>
      </w:r>
      <w:r w:rsidDel="00000000" w:rsidR="00000000" w:rsidRPr="00000000">
        <w:rPr>
          <w:i w:val="1"/>
          <w:iCs w:val="1"/>
          <w:rtl w:val="0"/>
        </w:rPr>
        <w:t xml:space="preserve">Juvenile Delinquency, Juvenile Justice, Reformation, Rehabilitation, JJ Act 2015, Restorative Justice, Child Rights, Criminological Theories.</w:t>
      </w:r>
      <w:r w:rsidDel="00000000" w:rsidR="00000000" w:rsidRPr="00000000">
        <w:br w:type="page"/>
      </w:r>
      <w:r w:rsidDel="00000000" w:rsidR="00000000" w:rsidRPr="00000000">
        <w:rPr>
          <w:rtl w:val="0"/>
        </w:rPr>
      </w:r>
    </w:p>
    <w:p w:rsidR="00000000" w:rsidDel="00000000" w:rsidP="00000000" w:rsidRDefault="00000000" w:rsidRPr="00000000" w14:paraId="00000016">
      <w:pPr>
        <w:pStyle w:val="Heading1"/>
        <w:spacing w:after="160" w:before="320" w:lineRule="auto"/>
        <w:rPr/>
      </w:pPr>
      <w:r w:rsidDel="00000000" w:rsidR="00000000" w:rsidRPr="00000000">
        <w:rPr>
          <w:rtl w:val="0"/>
        </w:rPr>
        <w:t xml:space="preserve">I. INTRODUCTION</w:t>
      </w:r>
    </w:p>
    <w:p w:rsidR="00000000" w:rsidDel="00000000" w:rsidP="00000000" w:rsidRDefault="00000000" w:rsidRPr="00000000" w14:paraId="00000017">
      <w:pPr>
        <w:spacing w:after="120" w:before="120" w:line="360" w:lineRule="auto"/>
        <w:ind w:firstLine="720"/>
        <w:jc w:val="both"/>
        <w:rPr/>
      </w:pPr>
      <w:r w:rsidDel="00000000" w:rsidR="00000000" w:rsidRPr="00000000">
        <w:rPr>
          <w:rtl w:val="0"/>
        </w:rPr>
        <w:t xml:space="preserve">Juvenile delinquency is a pervasive social phenomenon that transcends geographical, cultural, and economic boundaries. In its broadest sense, it refers to the violation of penal laws by individuals who, by virtue of their age, are classified as juveniles under the applicable legal system.</w:t>
      </w:r>
      <w:r w:rsidDel="00000000" w:rsidR="00000000" w:rsidRPr="00000000">
        <w:rPr>
          <w:vertAlign w:val="superscript"/>
        </w:rPr>
        <w:footnoteReference w:customMarkFollows="0" w:id="0"/>
      </w:r>
      <w:r w:rsidDel="00000000" w:rsidR="00000000" w:rsidRPr="00000000">
        <w:rPr>
          <w:rtl w:val="0"/>
        </w:rPr>
        <w:t xml:space="preserve"> The problem is particularly acute in developing nations such as India, where rapid urbanisation, economic inequality, fractured family structures, and inadequate access to quality education create a fertile environment for adolescent misbehaviour and conflict with the law.</w:t>
      </w:r>
    </w:p>
    <w:p w:rsidR="00000000" w:rsidDel="00000000" w:rsidP="00000000" w:rsidRDefault="00000000" w:rsidRPr="00000000" w14:paraId="00000018">
      <w:pPr>
        <w:spacing w:after="120" w:before="120" w:line="360" w:lineRule="auto"/>
        <w:ind w:firstLine="720"/>
        <w:jc w:val="both"/>
        <w:rPr/>
      </w:pPr>
      <w:r w:rsidDel="00000000" w:rsidR="00000000" w:rsidRPr="00000000">
        <w:rPr>
          <w:rtl w:val="0"/>
        </w:rPr>
        <w:t xml:space="preserve">The treatment of young offenders has evolved significantly over the past century. Classical penal philosophy, which treated juveniles identically to adult criminals, has progressively been supplanted by a welfare-oriented approach that recognises the distinctive vulnerability and reformative potential of young persons. This paradigm shift is reflected in India's legislative journey from the Children Act, 1960, through the Juvenile Justice Act, 1986 and 2000, to the present Juvenile Justice (Care and Protection of Children) Act, 2015.</w:t>
      </w:r>
      <w:r w:rsidDel="00000000" w:rsidR="00000000" w:rsidRPr="00000000">
        <w:rPr>
          <w:vertAlign w:val="superscript"/>
        </w:rPr>
        <w:footnoteReference w:customMarkFollows="0" w:id="1"/>
      </w:r>
      <w:r w:rsidDel="00000000" w:rsidR="00000000" w:rsidRPr="00000000">
        <w:rPr>
          <w:rtl w:val="0"/>
        </w:rPr>
        <w:t xml:space="preserve"> The 2015 Act marked a pivotal departure by introducing a dual-track system that distinguishes between juveniles in conflict with the law and children in need of care and protection, while simultaneously creating a controversial provision for trying certain heinous offenders between the ages of sixteen and eighteen as adults.</w:t>
      </w:r>
    </w:p>
    <w:p w:rsidR="00000000" w:rsidDel="00000000" w:rsidP="00000000" w:rsidRDefault="00000000" w:rsidRPr="00000000" w14:paraId="00000019">
      <w:pPr>
        <w:spacing w:after="120" w:before="120" w:line="360" w:lineRule="auto"/>
        <w:ind w:firstLine="720"/>
        <w:jc w:val="both"/>
        <w:rPr/>
      </w:pPr>
      <w:r w:rsidDel="00000000" w:rsidR="00000000" w:rsidRPr="00000000">
        <w:rPr>
          <w:rtl w:val="0"/>
        </w:rPr>
        <w:t xml:space="preserve">The statistics paint a sobering picture. According to the National Crime Records Bureau, Indian courts registered approximately 31,170 cases against juveniles in 2022, with a significant proportion involving offences against the body and property.</w:t>
      </w:r>
      <w:r w:rsidDel="00000000" w:rsidR="00000000" w:rsidRPr="00000000">
        <w:rPr>
          <w:vertAlign w:val="superscript"/>
        </w:rPr>
        <w:footnoteReference w:customMarkFollows="0" w:id="2"/>
      </w:r>
      <w:r w:rsidDel="00000000" w:rsidR="00000000" w:rsidRPr="00000000">
        <w:rPr>
          <w:rtl w:val="0"/>
        </w:rPr>
        <w:t xml:space="preserve"> Yet these figures represent only those cases that enter the formal justice system; the dark figure of unreported juvenile crime remains substantially higher. More troublingly, studies suggest that a substantial number of juvenile offenders who pass through custodial facilities without adequate rehabilitative intervention go on to commit further offences upon release, highlighting the critical importance of effective reformation programmes.</w:t>
      </w:r>
    </w:p>
    <w:p w:rsidR="00000000" w:rsidDel="00000000" w:rsidP="00000000" w:rsidRDefault="00000000" w:rsidRPr="00000000" w14:paraId="0000001A">
      <w:pPr>
        <w:spacing w:after="120" w:before="120" w:line="360" w:lineRule="auto"/>
        <w:ind w:firstLine="720"/>
        <w:jc w:val="both"/>
        <w:rPr/>
      </w:pPr>
      <w:r w:rsidDel="00000000" w:rsidR="00000000" w:rsidRPr="00000000">
        <w:rPr>
          <w:rtl w:val="0"/>
        </w:rPr>
        <w:t xml:space="preserve">This research paper proceeds from the premise that juvenile delinquency is not merely a legal problem to be addressed through adjudication and detention, but a multidimensional social problem rooted in systemic deprivation and requiring systemic remedies. The paper is organised as follows: Section II surveys the relevant academic and legal literature; Section III examines the criminological theories explaining delinquent behaviour; Section IV traces the legal framework governing juvenile justice in India and at the international level; Section V analyses the institutional mechanisms and processes for adjudication; Section VI evaluates reformation and rehabilitation strategies; Section VII identifies existing lacunae and challenges; and Section VIII sets out conclusions and recommendations.</w:t>
      </w:r>
    </w:p>
    <w:p w:rsidR="00000000" w:rsidDel="00000000" w:rsidP="00000000" w:rsidRDefault="00000000" w:rsidRPr="00000000" w14:paraId="0000001B">
      <w:pPr>
        <w:pStyle w:val="Heading1"/>
        <w:spacing w:after="160" w:before="320" w:lineRule="auto"/>
        <w:rPr/>
      </w:pPr>
      <w:r w:rsidDel="00000000" w:rsidR="00000000" w:rsidRPr="00000000">
        <w:rPr>
          <w:rtl w:val="0"/>
        </w:rPr>
        <w:t xml:space="preserve">II. LITERATURE REVIEW</w:t>
      </w:r>
    </w:p>
    <w:p w:rsidR="00000000" w:rsidDel="00000000" w:rsidP="00000000" w:rsidRDefault="00000000" w:rsidRPr="00000000" w14:paraId="0000001C">
      <w:pPr>
        <w:spacing w:after="120" w:before="120" w:line="360" w:lineRule="auto"/>
        <w:ind w:firstLine="720"/>
        <w:jc w:val="both"/>
        <w:rPr/>
      </w:pPr>
      <w:r w:rsidDel="00000000" w:rsidR="00000000" w:rsidRPr="00000000">
        <w:rPr>
          <w:rtl w:val="0"/>
        </w:rPr>
        <w:t xml:space="preserve">The scholarly literature on juvenile delinquency is vast and multidisciplinary, drawing upon contributions from criminology, sociology, developmental psychology, legal scholarship, and public policy studies. An appreciation of the foundational works is essential to contextualising the present inquiry.</w:t>
      </w:r>
    </w:p>
    <w:p w:rsidR="00000000" w:rsidDel="00000000" w:rsidP="00000000" w:rsidRDefault="00000000" w:rsidRPr="00000000" w14:paraId="0000001D">
      <w:pPr>
        <w:pStyle w:val="Heading2"/>
        <w:rPr/>
      </w:pPr>
      <w:r w:rsidDel="00000000" w:rsidR="00000000" w:rsidRPr="00000000">
        <w:rPr>
          <w:rtl w:val="0"/>
        </w:rPr>
        <w:t xml:space="preserve">2.1 Criminological Contributions</w:t>
      </w:r>
    </w:p>
    <w:p w:rsidR="00000000" w:rsidDel="00000000" w:rsidP="00000000" w:rsidRDefault="00000000" w:rsidRPr="00000000" w14:paraId="0000001E">
      <w:pPr>
        <w:spacing w:after="120" w:before="120" w:line="360" w:lineRule="auto"/>
        <w:ind w:firstLine="720"/>
        <w:jc w:val="both"/>
        <w:rPr/>
      </w:pPr>
      <w:r w:rsidDel="00000000" w:rsidR="00000000" w:rsidRPr="00000000">
        <w:rPr>
          <w:rtl w:val="0"/>
        </w:rPr>
        <w:t xml:space="preserve">Robert K Merton's seminal 1938 paper on social structure and anomie laid the groundwork for understanding delinquency as a product of structural disjunction between culturally sanctioned goals and the legitimate means available to achieve them.</w:t>
      </w:r>
      <w:r w:rsidDel="00000000" w:rsidR="00000000" w:rsidRPr="00000000">
        <w:rPr>
          <w:vertAlign w:val="superscript"/>
        </w:rPr>
        <w:footnoteReference w:customMarkFollows="0" w:id="3"/>
      </w:r>
      <w:r w:rsidDel="00000000" w:rsidR="00000000" w:rsidRPr="00000000">
        <w:rPr>
          <w:rtl w:val="0"/>
        </w:rPr>
        <w:t xml:space="preserve"> Merton argued that individuals who lack access to legitimate means may resort to 'innovation', including criminal activity, as an alternative adaptive strategy. This insight retains particular salience in the Indian context, where socioeconomic stratification denies millions of young persons access to education and economic opportunity.</w:t>
      </w:r>
    </w:p>
    <w:p w:rsidR="00000000" w:rsidDel="00000000" w:rsidP="00000000" w:rsidRDefault="00000000" w:rsidRPr="00000000" w14:paraId="0000001F">
      <w:pPr>
        <w:spacing w:after="120" w:before="120" w:line="360" w:lineRule="auto"/>
        <w:ind w:firstLine="720"/>
        <w:jc w:val="both"/>
        <w:rPr/>
      </w:pPr>
      <w:r w:rsidDel="00000000" w:rsidR="00000000" w:rsidRPr="00000000">
        <w:rPr>
          <w:rtl w:val="0"/>
        </w:rPr>
        <w:t xml:space="preserve">Travis Hirschi's social bond theory, articulated in his landmark work Causes of Delinquency (1969), offers a complementary perspective. Hirschi posited that delinquency occurs when an individual's bond to conventional society is weakened or broken across four dimensions: attachment, commitment, involvement, and belief.</w:t>
      </w:r>
      <w:r w:rsidDel="00000000" w:rsidR="00000000" w:rsidRPr="00000000">
        <w:rPr>
          <w:vertAlign w:val="superscript"/>
        </w:rPr>
        <w:footnoteReference w:customMarkFollows="0" w:id="4"/>
      </w:r>
      <w:r w:rsidDel="00000000" w:rsidR="00000000" w:rsidRPr="00000000">
        <w:rPr>
          <w:rtl w:val="0"/>
        </w:rPr>
        <w:t xml:space="preserve"> His empirical research demonstrated that juveniles with strong family bonds and educational engagement were significantly less likely to engage in criminal behaviour, reinforcing the centrality of family and school as protective institutions.</w:t>
      </w:r>
    </w:p>
    <w:p w:rsidR="00000000" w:rsidDel="00000000" w:rsidP="00000000" w:rsidRDefault="00000000" w:rsidRPr="00000000" w14:paraId="00000020">
      <w:pPr>
        <w:spacing w:after="120" w:before="120" w:line="360" w:lineRule="auto"/>
        <w:ind w:firstLine="720"/>
        <w:jc w:val="both"/>
        <w:rPr/>
      </w:pPr>
      <w:r w:rsidDel="00000000" w:rsidR="00000000" w:rsidRPr="00000000">
        <w:rPr>
          <w:rtl w:val="0"/>
        </w:rPr>
        <w:t xml:space="preserve">Edwin Sutherland's differential association theory holds that criminal behaviour is learned through intimate personal groups, implying that exposure to delinquent peers substantially increases the risk of offending.</w:t>
      </w:r>
      <w:r w:rsidDel="00000000" w:rsidR="00000000" w:rsidRPr="00000000">
        <w:rPr>
          <w:vertAlign w:val="superscript"/>
        </w:rPr>
        <w:footnoteReference w:customMarkFollows="0" w:id="5"/>
      </w:r>
      <w:r w:rsidDel="00000000" w:rsidR="00000000" w:rsidRPr="00000000">
        <w:rPr>
          <w:rtl w:val="0"/>
        </w:rPr>
        <w:t xml:space="preserve"> This theory has proven particularly influential in designing targeted interventions that seek to remove at-risk youth from criminogenic environments and reintegrate them into prosocial networks.</w:t>
      </w:r>
    </w:p>
    <w:p w:rsidR="00000000" w:rsidDel="00000000" w:rsidP="00000000" w:rsidRDefault="00000000" w:rsidRPr="00000000" w14:paraId="00000021">
      <w:pPr>
        <w:pStyle w:val="Heading2"/>
        <w:rPr/>
      </w:pPr>
      <w:r w:rsidDel="00000000" w:rsidR="00000000" w:rsidRPr="00000000">
        <w:rPr>
          <w:rtl w:val="0"/>
        </w:rPr>
        <w:t xml:space="preserve">2.2 Developmental and Ecological Perspectives</w:t>
      </w:r>
    </w:p>
    <w:p w:rsidR="00000000" w:rsidDel="00000000" w:rsidP="00000000" w:rsidRDefault="00000000" w:rsidRPr="00000000" w14:paraId="00000022">
      <w:pPr>
        <w:spacing w:after="120" w:before="120" w:line="360" w:lineRule="auto"/>
        <w:ind w:firstLine="720"/>
        <w:jc w:val="both"/>
        <w:rPr/>
      </w:pPr>
      <w:r w:rsidDel="00000000" w:rsidR="00000000" w:rsidRPr="00000000">
        <w:rPr>
          <w:rtl w:val="0"/>
        </w:rPr>
        <w:t xml:space="preserve">Urie Bronfenbrenner's ecological systems theory provides a sophisticated framework for understanding the interplay of environmental factors in shaping adolescent behaviour. By situating the individual within concentric circles of influence—the microsystem (family, school, peers), the mesosystem, the exosystem, and the macrosystem (cultural and societal norms)—Bronfenbrenner's model highlights that delinquency cannot be attributed to any single cause but emerges from the complex interaction of multiple ecological layers.</w:t>
      </w:r>
      <w:r w:rsidDel="00000000" w:rsidR="00000000" w:rsidRPr="00000000">
        <w:rPr>
          <w:vertAlign w:val="superscript"/>
        </w:rPr>
        <w:footnoteReference w:customMarkFollows="0" w:id="6"/>
      </w:r>
      <w:r w:rsidDel="00000000" w:rsidR="00000000" w:rsidRPr="00000000">
        <w:rPr>
          <w:rtl w:val="0"/>
        </w:rPr>
        <w:t xml:space="preserve"> This framework has profoundly influenced contemporary juvenile justice policy, which increasingly emphasises holistic, family-centred, and community-based interventions.</w:t>
      </w:r>
    </w:p>
    <w:p w:rsidR="00000000" w:rsidDel="00000000" w:rsidP="00000000" w:rsidRDefault="00000000" w:rsidRPr="00000000" w14:paraId="00000023">
      <w:pPr>
        <w:pStyle w:val="Heading2"/>
        <w:rPr/>
      </w:pPr>
      <w:r w:rsidDel="00000000" w:rsidR="00000000" w:rsidRPr="00000000">
        <w:rPr>
          <w:rtl w:val="0"/>
        </w:rPr>
        <w:t xml:space="preserve">2.3 Legal and Policy Scholarship</w:t>
      </w:r>
    </w:p>
    <w:p w:rsidR="00000000" w:rsidDel="00000000" w:rsidP="00000000" w:rsidRDefault="00000000" w:rsidRPr="00000000" w14:paraId="00000024">
      <w:pPr>
        <w:spacing w:after="120" w:before="120" w:line="360" w:lineRule="auto"/>
        <w:ind w:firstLine="720"/>
        <w:jc w:val="both"/>
        <w:rPr/>
      </w:pPr>
      <w:r w:rsidDel="00000000" w:rsidR="00000000" w:rsidRPr="00000000">
        <w:rPr>
          <w:rtl w:val="0"/>
        </w:rPr>
        <w:t xml:space="preserve">In the Indian context, legal scholars such as Sanjay Sinha, Geeta Ramaseshan, and R.K. Bag have critically examined the evolution of juvenile justice legislation and its implementation deficits. These scholars have highlighted the persistent gap between legislative intent and ground-level reality, noting inadequate infrastructure, untrained personnel, overcrowding in observation homes, and the absence of meaningful rehabilitative programming. The Law Commission of India's Reports, particularly Report No. 259 on early childhood development, have also contributed significant policy analysis to the discourse.</w:t>
      </w:r>
      <w:r w:rsidDel="00000000" w:rsidR="00000000" w:rsidRPr="00000000">
        <w:rPr>
          <w:vertAlign w:val="superscript"/>
        </w:rPr>
        <w:footnoteReference w:customMarkFollows="0" w:id="7"/>
      </w:r>
      <w:r w:rsidDel="00000000" w:rsidR="00000000" w:rsidRPr="00000000">
        <w:rPr>
          <w:rtl w:val="0"/>
        </w:rPr>
      </w:r>
    </w:p>
    <w:p w:rsidR="00000000" w:rsidDel="00000000" w:rsidP="00000000" w:rsidRDefault="00000000" w:rsidRPr="00000000" w14:paraId="00000025">
      <w:pPr>
        <w:spacing w:after="120" w:before="120" w:line="360" w:lineRule="auto"/>
        <w:ind w:firstLine="720"/>
        <w:jc w:val="both"/>
        <w:rPr/>
      </w:pPr>
      <w:r w:rsidDel="00000000" w:rsidR="00000000" w:rsidRPr="00000000">
        <w:rPr>
          <w:rtl w:val="0"/>
        </w:rPr>
        <w:t xml:space="preserve">Internationally, scholars including David Farrington, Brandon Welsh, Mark Lipsey, and Laurence Steinberg have produced extensive empirical evidence on the effectiveness of various juvenile rehabilitation programmes, including cognitive behavioural therapy, family intervention models, vocational training, and mentorship initiatives. Their research forms the evidentiary basis for contemporary best-practice recommendations in juvenile justice reform.</w:t>
      </w:r>
    </w:p>
    <w:p w:rsidR="00000000" w:rsidDel="00000000" w:rsidP="00000000" w:rsidRDefault="00000000" w:rsidRPr="00000000" w14:paraId="00000026">
      <w:pPr>
        <w:pStyle w:val="Heading1"/>
        <w:spacing w:after="160" w:before="320" w:lineRule="auto"/>
        <w:rPr/>
      </w:pPr>
      <w:r w:rsidDel="00000000" w:rsidR="00000000" w:rsidRPr="00000000">
        <w:rPr>
          <w:rtl w:val="0"/>
        </w:rPr>
        <w:t xml:space="preserve">III. CRIMINOLOGICAL THEORIES EXPLAINING JUVENILE DELINQUENCY</w:t>
      </w:r>
    </w:p>
    <w:p w:rsidR="00000000" w:rsidDel="00000000" w:rsidP="00000000" w:rsidRDefault="00000000" w:rsidRPr="00000000" w14:paraId="00000027">
      <w:pPr>
        <w:spacing w:after="120" w:before="120" w:line="360" w:lineRule="auto"/>
        <w:ind w:firstLine="720"/>
        <w:jc w:val="both"/>
        <w:rPr/>
      </w:pPr>
      <w:r w:rsidDel="00000000" w:rsidR="00000000" w:rsidRPr="00000000">
        <w:rPr>
          <w:rtl w:val="0"/>
        </w:rPr>
        <w:t xml:space="preserve">Understanding juvenile delinquency requires a theoretical framework that can account for the diversity of pathways through which young persons come into conflict with the law. The major criminological theories each illuminate a distinct dimension of this complex phenomenon.</w:t>
      </w:r>
    </w:p>
    <w:p w:rsidR="00000000" w:rsidDel="00000000" w:rsidP="00000000" w:rsidRDefault="00000000" w:rsidRPr="00000000" w14:paraId="00000028">
      <w:pPr>
        <w:pStyle w:val="Heading2"/>
        <w:rPr/>
      </w:pPr>
      <w:r w:rsidDel="00000000" w:rsidR="00000000" w:rsidRPr="00000000">
        <w:rPr>
          <w:rtl w:val="0"/>
        </w:rPr>
        <w:t xml:space="preserve">3.1 Biological and Psychological Theories</w:t>
      </w:r>
    </w:p>
    <w:p w:rsidR="00000000" w:rsidDel="00000000" w:rsidP="00000000" w:rsidRDefault="00000000" w:rsidRPr="00000000" w14:paraId="00000029">
      <w:pPr>
        <w:spacing w:after="120" w:before="120" w:line="360" w:lineRule="auto"/>
        <w:ind w:firstLine="720"/>
        <w:jc w:val="both"/>
        <w:rPr/>
      </w:pPr>
      <w:r w:rsidDel="00000000" w:rsidR="00000000" w:rsidRPr="00000000">
        <w:rPr>
          <w:rtl w:val="0"/>
        </w:rPr>
        <w:t xml:space="preserve">Early biological theories, associated with Cesare Lombroso, posited that criminal tendencies were innate and heritable. While these crude determinist theories have been largely discredited, modern neuroscience has revived interest in the biological underpinnings of adolescent risk-taking and impulsivity. Research by Steinberg and colleagues has demonstrated that the prefrontal cortex, which governs impulse control and long-term planning, does not fully mature until the mid-twenties, rendering adolescents neurobiologically predisposed to risk-seeking behaviour.</w:t>
      </w:r>
      <w:r w:rsidDel="00000000" w:rsidR="00000000" w:rsidRPr="00000000">
        <w:rPr>
          <w:vertAlign w:val="superscript"/>
        </w:rPr>
        <w:footnoteReference w:customMarkFollows="0" w:id="8"/>
      </w:r>
      <w:r w:rsidDel="00000000" w:rsidR="00000000" w:rsidRPr="00000000">
        <w:rPr>
          <w:rtl w:val="0"/>
        </w:rPr>
        <w:t xml:space="preserve"> This scientific insight has important implications for juvenile justice policy, supporting the argument that young offenders possess diminished culpability and greater capacity for change relative to adults.</w:t>
      </w:r>
    </w:p>
    <w:p w:rsidR="00000000" w:rsidDel="00000000" w:rsidP="00000000" w:rsidRDefault="00000000" w:rsidRPr="00000000" w14:paraId="0000002A">
      <w:pPr>
        <w:spacing w:after="120" w:before="120" w:line="360" w:lineRule="auto"/>
        <w:ind w:firstLine="720"/>
        <w:jc w:val="both"/>
        <w:rPr/>
      </w:pPr>
      <w:r w:rsidDel="00000000" w:rsidR="00000000" w:rsidRPr="00000000">
        <w:rPr>
          <w:rtl w:val="0"/>
        </w:rPr>
        <w:t xml:space="preserve">Psychologically, theories of attachment, trauma, and personality development have generated significant evidence that adverse childhood experiences—including physical and sexual abuse, neglect, and witnessing domestic violence—substantially elevate the risk of juvenile delinquency.</w:t>
      </w:r>
      <w:r w:rsidDel="00000000" w:rsidR="00000000" w:rsidRPr="00000000">
        <w:rPr>
          <w:vertAlign w:val="superscript"/>
        </w:rPr>
        <w:footnoteReference w:customMarkFollows="0" w:id="9"/>
      </w:r>
      <w:r w:rsidDel="00000000" w:rsidR="00000000" w:rsidRPr="00000000">
        <w:rPr>
          <w:rtl w:val="0"/>
        </w:rPr>
        <w:t xml:space="preserve"> Trauma-informed approaches to juvenile rehabilitation, which address the underlying psychological harm before attempting behavioural change, have accordingly gained considerable traction in contemporary juvenile justice practice.</w:t>
      </w:r>
    </w:p>
    <w:p w:rsidR="00000000" w:rsidDel="00000000" w:rsidP="00000000" w:rsidRDefault="00000000" w:rsidRPr="00000000" w14:paraId="0000002B">
      <w:pPr>
        <w:pStyle w:val="Heading2"/>
        <w:rPr/>
      </w:pPr>
      <w:r w:rsidDel="00000000" w:rsidR="00000000" w:rsidRPr="00000000">
        <w:rPr>
          <w:rtl w:val="0"/>
        </w:rPr>
        <w:t xml:space="preserve">3.2 Social and Structural Theories</w:t>
      </w:r>
    </w:p>
    <w:p w:rsidR="00000000" w:rsidDel="00000000" w:rsidP="00000000" w:rsidRDefault="00000000" w:rsidRPr="00000000" w14:paraId="0000002C">
      <w:pPr>
        <w:spacing w:after="120" w:before="120" w:line="360" w:lineRule="auto"/>
        <w:ind w:firstLine="720"/>
        <w:jc w:val="both"/>
        <w:rPr/>
      </w:pPr>
      <w:r w:rsidDel="00000000" w:rsidR="00000000" w:rsidRPr="00000000">
        <w:rPr>
          <w:rtl w:val="0"/>
        </w:rPr>
        <w:t xml:space="preserve">Social disorganisation theory, developed by Shaw and McKay through their landmark Chicago studies, attributes high rates of juvenile delinquency to the breakdown of social institutions in economically deprived urban neighbourhoods. In conditions of residential instability, poverty concentration, and ethnic heterogeneity, informal social controls that ordinarily deter criminal behaviour are weakened, creating environments in which delinquency becomes normalised. This theoretical lens is highly relevant to Indian metropolitan conditions, where rapid rural-urban migration has produced sprawling informal settlements characterised by precisely such disorganisational features.</w:t>
      </w:r>
    </w:p>
    <w:p w:rsidR="00000000" w:rsidDel="00000000" w:rsidP="00000000" w:rsidRDefault="00000000" w:rsidRPr="00000000" w14:paraId="0000002D">
      <w:pPr>
        <w:spacing w:after="120" w:before="120" w:line="360" w:lineRule="auto"/>
        <w:ind w:firstLine="720"/>
        <w:jc w:val="both"/>
        <w:rPr/>
      </w:pPr>
      <w:r w:rsidDel="00000000" w:rsidR="00000000" w:rsidRPr="00000000">
        <w:rPr>
          <w:rtl w:val="0"/>
        </w:rPr>
        <w:t xml:space="preserve">Labelling theory, associated with Howard Becker and Edwin Lemert, shifts attention from the causes of initial delinquency to the consequences of official societal reaction. By stigmatising young offenders through arrest, prosecution, and incarceration, the criminal justice system may paradoxically entrench criminal identity and propel juveniles deeper into delinquent careers—a process Lemert termed 'secondary deviance'. This theoretical insight provides strong support for diversion strategies and the minimisation of formal justice contact for minor juvenile offenders.</w:t>
      </w:r>
    </w:p>
    <w:p w:rsidR="00000000" w:rsidDel="00000000" w:rsidP="00000000" w:rsidRDefault="00000000" w:rsidRPr="00000000" w14:paraId="0000002E">
      <w:pPr>
        <w:pStyle w:val="Heading2"/>
        <w:rPr/>
      </w:pPr>
      <w:r w:rsidDel="00000000" w:rsidR="00000000" w:rsidRPr="00000000">
        <w:rPr>
          <w:rtl w:val="0"/>
        </w:rPr>
        <w:t xml:space="preserve">3.3 Integrated Theories</w:t>
      </w:r>
    </w:p>
    <w:p w:rsidR="00000000" w:rsidDel="00000000" w:rsidP="00000000" w:rsidRDefault="00000000" w:rsidRPr="00000000" w14:paraId="0000002F">
      <w:pPr>
        <w:spacing w:after="120" w:before="120" w:line="360" w:lineRule="auto"/>
        <w:ind w:firstLine="720"/>
        <w:jc w:val="both"/>
        <w:rPr/>
      </w:pPr>
      <w:r w:rsidDel="00000000" w:rsidR="00000000" w:rsidRPr="00000000">
        <w:rPr>
          <w:rtl w:val="0"/>
        </w:rPr>
        <w:t xml:space="preserve">Contemporary criminological scholarship increasingly favours integrated theories that draw upon multiple traditions. Thornberry's interactional theory, for instance, posits a bidirectional relationship between weakened social bonds and delinquent peer associations, suggesting that the two processes mutually reinforce each other over time. Similarly, Moffitt's developmental taxonomy distinguishes between 'life-course-persistent' offenders, who exhibit antisocial behaviour from childhood through adulthood due to neuropsychological deficits interacting with adverse social environments, and 'adolescence-limited' offenders, who engage in delinquency temporarily as a response to the social gap between biological maturity and social adulthood. This distinction has important implications for targeting rehabilitative resources toward those most likely to benefit.</w:t>
      </w:r>
    </w:p>
    <w:p w:rsidR="00000000" w:rsidDel="00000000" w:rsidP="00000000" w:rsidRDefault="00000000" w:rsidRPr="00000000" w14:paraId="00000030">
      <w:pPr>
        <w:pStyle w:val="Heading1"/>
        <w:spacing w:after="160" w:before="320" w:lineRule="auto"/>
        <w:rPr/>
      </w:pPr>
      <w:r w:rsidDel="00000000" w:rsidR="00000000" w:rsidRPr="00000000">
        <w:rPr>
          <w:rtl w:val="0"/>
        </w:rPr>
        <w:t xml:space="preserve">IV. LEGAL FRAMEWORK GOVERNING JUVENILE JUSTICE</w:t>
      </w:r>
    </w:p>
    <w:p w:rsidR="00000000" w:rsidDel="00000000" w:rsidP="00000000" w:rsidRDefault="00000000" w:rsidRPr="00000000" w14:paraId="00000031">
      <w:pPr>
        <w:pStyle w:val="Heading2"/>
        <w:rPr/>
      </w:pPr>
      <w:r w:rsidDel="00000000" w:rsidR="00000000" w:rsidRPr="00000000">
        <w:rPr>
          <w:rtl w:val="0"/>
        </w:rPr>
        <w:t xml:space="preserve">4.1 International Legal Instruments</w:t>
      </w:r>
    </w:p>
    <w:p w:rsidR="00000000" w:rsidDel="00000000" w:rsidP="00000000" w:rsidRDefault="00000000" w:rsidRPr="00000000" w14:paraId="00000032">
      <w:pPr>
        <w:spacing w:after="120" w:before="120" w:line="360" w:lineRule="auto"/>
        <w:ind w:firstLine="720"/>
        <w:jc w:val="both"/>
        <w:rPr/>
      </w:pPr>
      <w:r w:rsidDel="00000000" w:rsidR="00000000" w:rsidRPr="00000000">
        <w:rPr>
          <w:rtl w:val="0"/>
        </w:rPr>
        <w:t xml:space="preserve">The international legal framework governing juvenile justice rests upon a constellation of human rights instruments that collectively articulate a child-rights-centred approach to young offenders. The United Nations Convention on the Rights of the Child (CRC), 1989, forms the cornerstone of this framework.</w:t>
      </w:r>
      <w:r w:rsidDel="00000000" w:rsidR="00000000" w:rsidRPr="00000000">
        <w:rPr>
          <w:vertAlign w:val="superscript"/>
        </w:rPr>
        <w:footnoteReference w:customMarkFollows="0" w:id="10"/>
      </w:r>
      <w:r w:rsidDel="00000000" w:rsidR="00000000" w:rsidRPr="00000000">
        <w:rPr>
          <w:rtl w:val="0"/>
        </w:rPr>
        <w:t xml:space="preserve"> Articles 37 and 40 of the CRC specifically address children in conflict with the law, mandating that detention be used as a measure of last resort, that alternative measures be available, and that the primary objective of the juvenile justice system be rehabilitation and reintegration into society.</w:t>
      </w:r>
    </w:p>
    <w:p w:rsidR="00000000" w:rsidDel="00000000" w:rsidP="00000000" w:rsidRDefault="00000000" w:rsidRPr="00000000" w14:paraId="00000033">
      <w:pPr>
        <w:spacing w:after="120" w:before="120" w:line="360" w:lineRule="auto"/>
        <w:ind w:firstLine="720"/>
        <w:jc w:val="both"/>
        <w:rPr/>
      </w:pPr>
      <w:r w:rsidDel="00000000" w:rsidR="00000000" w:rsidRPr="00000000">
        <w:rPr>
          <w:rtl w:val="0"/>
        </w:rPr>
        <w:t xml:space="preserve">Complementing the CRC are the Beijing Rules (1985), which establish minimum standards for the administration of juvenile justice, emphasising diversion, proportionality, and the protection of due process rights.</w:t>
      </w:r>
      <w:r w:rsidDel="00000000" w:rsidR="00000000" w:rsidRPr="00000000">
        <w:rPr>
          <w:vertAlign w:val="superscript"/>
        </w:rPr>
        <w:footnoteReference w:customMarkFollows="0" w:id="11"/>
      </w:r>
      <w:r w:rsidDel="00000000" w:rsidR="00000000" w:rsidRPr="00000000">
        <w:rPr>
          <w:rtl w:val="0"/>
        </w:rPr>
        <w:t xml:space="preserve"> The Riyadh Guidelines (1990) take a preventive approach, recognising that the socialisation of children is a cooperative endeavour requiring the active participation of family, school, community, and media.</w:t>
      </w:r>
      <w:r w:rsidDel="00000000" w:rsidR="00000000" w:rsidRPr="00000000">
        <w:rPr>
          <w:vertAlign w:val="superscript"/>
        </w:rPr>
        <w:footnoteReference w:customMarkFollows="0" w:id="12"/>
      </w:r>
      <w:r w:rsidDel="00000000" w:rsidR="00000000" w:rsidRPr="00000000">
        <w:rPr>
          <w:rtl w:val="0"/>
        </w:rPr>
        <w:t xml:space="preserve"> The Havana Rules (1990) provide detailed standards for the treatment of juveniles deprived of their liberty, affirming that deprivation of liberty should be a disposition of last resort and for the minimum necessary period.</w:t>
      </w:r>
      <w:r w:rsidDel="00000000" w:rsidR="00000000" w:rsidRPr="00000000">
        <w:rPr>
          <w:vertAlign w:val="superscript"/>
        </w:rPr>
        <w:footnoteReference w:customMarkFollows="0" w:id="13"/>
      </w:r>
      <w:r w:rsidDel="00000000" w:rsidR="00000000" w:rsidRPr="00000000">
        <w:rPr>
          <w:rtl w:val="0"/>
        </w:rPr>
      </w:r>
    </w:p>
    <w:p w:rsidR="00000000" w:rsidDel="00000000" w:rsidP="00000000" w:rsidRDefault="00000000" w:rsidRPr="00000000" w14:paraId="00000034">
      <w:pPr>
        <w:pStyle w:val="Heading2"/>
        <w:rPr/>
      </w:pPr>
      <w:r w:rsidDel="00000000" w:rsidR="00000000" w:rsidRPr="00000000">
        <w:rPr>
          <w:rtl w:val="0"/>
        </w:rPr>
        <w:t xml:space="preserve">4.2 Constitutional Provisions in India</w:t>
      </w:r>
    </w:p>
    <w:p w:rsidR="00000000" w:rsidDel="00000000" w:rsidP="00000000" w:rsidRDefault="00000000" w:rsidRPr="00000000" w14:paraId="00000035">
      <w:pPr>
        <w:spacing w:after="120" w:before="120" w:line="360" w:lineRule="auto"/>
        <w:ind w:firstLine="720"/>
        <w:jc w:val="both"/>
        <w:rPr/>
      </w:pPr>
      <w:r w:rsidDel="00000000" w:rsidR="00000000" w:rsidRPr="00000000">
        <w:rPr>
          <w:rtl w:val="0"/>
        </w:rPr>
        <w:t xml:space="preserve">The Constitution of India provides a robust normative foundation for child-protective juvenile justice. Articles 15(3) and 39(f) impose positive obligations upon the State to make special provisions for children and to ensure that children are not abused or forced into occupations unsuited to their age. Article 45 (as amended by the 86th Constitutional Amendment, 2002) guarantees free and compulsory education for children up to the age of fourteen, while Article 21A makes this a fundamental right. These provisions collectively situate juvenile welfare within the ambit of fundamental and directive state obligations, requiring the justice system to function as an instrument of protection rather than merely punishment.</w:t>
      </w:r>
    </w:p>
    <w:p w:rsidR="00000000" w:rsidDel="00000000" w:rsidP="00000000" w:rsidRDefault="00000000" w:rsidRPr="00000000" w14:paraId="00000036">
      <w:pPr>
        <w:pStyle w:val="Heading2"/>
        <w:rPr/>
      </w:pPr>
      <w:r w:rsidDel="00000000" w:rsidR="00000000" w:rsidRPr="00000000">
        <w:rPr>
          <w:rtl w:val="0"/>
        </w:rPr>
        <w:t xml:space="preserve">4.3 Legislative Evolution in India</w:t>
      </w:r>
    </w:p>
    <w:p w:rsidR="00000000" w:rsidDel="00000000" w:rsidP="00000000" w:rsidRDefault="00000000" w:rsidRPr="00000000" w14:paraId="00000037">
      <w:pPr>
        <w:spacing w:after="120" w:before="120" w:line="360" w:lineRule="auto"/>
        <w:ind w:firstLine="720"/>
        <w:jc w:val="both"/>
        <w:rPr/>
      </w:pPr>
      <w:r w:rsidDel="00000000" w:rsidR="00000000" w:rsidRPr="00000000">
        <w:rPr>
          <w:rtl w:val="0"/>
        </w:rPr>
        <w:t xml:space="preserve">India's statutory response to juvenile delinquency has undergone substantial transformation across several legislative generations. The Children Act, 1960, was the earliest central legislation to establish a distinct institutional framework for juveniles, providing for the establishment of children's courts and remand homes.</w:t>
      </w:r>
      <w:r w:rsidDel="00000000" w:rsidR="00000000" w:rsidRPr="00000000">
        <w:rPr>
          <w:vertAlign w:val="superscript"/>
        </w:rPr>
        <w:footnoteReference w:customMarkFollows="0" w:id="14"/>
      </w:r>
      <w:r w:rsidDel="00000000" w:rsidR="00000000" w:rsidRPr="00000000">
        <w:rPr>
          <w:rtl w:val="0"/>
        </w:rPr>
        <w:t xml:space="preserve"> However, the Act's reach was limited and its implementation uneven, with significant state-level variation in standards and outcomes.</w:t>
      </w:r>
    </w:p>
    <w:p w:rsidR="00000000" w:rsidDel="00000000" w:rsidP="00000000" w:rsidRDefault="00000000" w:rsidRPr="00000000" w14:paraId="00000038">
      <w:pPr>
        <w:spacing w:after="120" w:before="120" w:line="360" w:lineRule="auto"/>
        <w:ind w:firstLine="720"/>
        <w:jc w:val="both"/>
        <w:rPr/>
      </w:pPr>
      <w:r w:rsidDel="00000000" w:rsidR="00000000" w:rsidRPr="00000000">
        <w:rPr>
          <w:rtl w:val="0"/>
        </w:rPr>
        <w:t xml:space="preserve">The Juvenile Justice Act, 1986, sought greater uniformity, while the Juvenile Justice (Care and Protection of Children) Act, 2000, further reformed the system in alignment with India's commitments under the CRC. The 2000 Act raised the age of juvenile protection uniformly to eighteen years for both boys and girls</w:t>
      </w:r>
      <w:r w:rsidDel="00000000" w:rsidR="00000000" w:rsidRPr="00000000">
        <w:rPr>
          <w:vertAlign w:val="superscript"/>
        </w:rPr>
        <w:footnoteReference w:customMarkFollows="0" w:id="15"/>
      </w:r>
      <w:r w:rsidDel="00000000" w:rsidR="00000000" w:rsidRPr="00000000">
        <w:rPr>
          <w:rtl w:val="0"/>
        </w:rPr>
        <w:t xml:space="preserve"> and emphasised rehabilitation over punishment. However, the Nirbhaya gang rape case of December 2012, in which one of the perpetrators was a seventeen-year-old who received the maximum juvenile sentence of three years, provoked intense public debate about the adequacy of the juvenile justice framework for heinous offences.</w:t>
      </w:r>
    </w:p>
    <w:p w:rsidR="00000000" w:rsidDel="00000000" w:rsidP="00000000" w:rsidRDefault="00000000" w:rsidRPr="00000000" w14:paraId="00000039">
      <w:pPr>
        <w:spacing w:after="120" w:before="120" w:line="360" w:lineRule="auto"/>
        <w:ind w:firstLine="720"/>
        <w:jc w:val="both"/>
        <w:rPr/>
      </w:pPr>
      <w:r w:rsidDel="00000000" w:rsidR="00000000" w:rsidRPr="00000000">
        <w:rPr>
          <w:rtl w:val="0"/>
        </w:rPr>
        <w:t xml:space="preserve">The Juvenile Justice (Care and Protection of Children) Act, 2015 (hereinafter 'JJ Act 2015') emerged partly as a legislative response to this public pressure. The Act retained the age of eighteen as the general threshold for juvenile status</w:t>
      </w:r>
      <w:r w:rsidDel="00000000" w:rsidR="00000000" w:rsidRPr="00000000">
        <w:rPr>
          <w:vertAlign w:val="superscript"/>
        </w:rPr>
        <w:footnoteReference w:customMarkFollows="0" w:id="16"/>
      </w:r>
      <w:r w:rsidDel="00000000" w:rsidR="00000000" w:rsidRPr="00000000">
        <w:rPr>
          <w:rtl w:val="0"/>
        </w:rPr>
        <w:t xml:space="preserve"> but introduced the controversial provision under Section 15 for the preliminary assessment of juveniles aged sixteen to eighteen alleged to have committed heinous offences, with the possibility of their transfer to the Children's Court for trial as adults.</w:t>
      </w:r>
      <w:r w:rsidDel="00000000" w:rsidR="00000000" w:rsidRPr="00000000">
        <w:rPr>
          <w:vertAlign w:val="superscript"/>
        </w:rPr>
        <w:footnoteReference w:customMarkFollows="0" w:id="17"/>
      </w:r>
      <w:r w:rsidDel="00000000" w:rsidR="00000000" w:rsidRPr="00000000">
        <w:rPr>
          <w:rtl w:val="0"/>
        </w:rPr>
        <w:t xml:space="preserve"> While proponents argue that this provision provides a proportionate response to the most serious juvenile offending, critics contend that it fundamentally undermines the rehabilitative philosophy of juvenile justice and exposes young persons to the corrupting influence of adult prisons.</w:t>
      </w:r>
    </w:p>
    <w:p w:rsidR="00000000" w:rsidDel="00000000" w:rsidP="00000000" w:rsidRDefault="00000000" w:rsidRPr="00000000" w14:paraId="0000003A">
      <w:pPr>
        <w:pStyle w:val="Heading1"/>
        <w:spacing w:after="160" w:before="320" w:lineRule="auto"/>
        <w:rPr/>
      </w:pPr>
      <w:r w:rsidDel="00000000" w:rsidR="00000000" w:rsidRPr="00000000">
        <w:rPr>
          <w:rtl w:val="0"/>
        </w:rPr>
        <w:t xml:space="preserve">V. ADJUDICATION MECHANISMS AND INSTITUTIONAL PROCESSES</w:t>
      </w:r>
    </w:p>
    <w:p w:rsidR="00000000" w:rsidDel="00000000" w:rsidP="00000000" w:rsidRDefault="00000000" w:rsidRPr="00000000" w14:paraId="0000003B">
      <w:pPr>
        <w:pStyle w:val="Heading2"/>
        <w:rPr/>
      </w:pPr>
      <w:r w:rsidDel="00000000" w:rsidR="00000000" w:rsidRPr="00000000">
        <w:rPr>
          <w:rtl w:val="0"/>
        </w:rPr>
        <w:t xml:space="preserve">5.1 Juvenile Justice Boards</w:t>
      </w:r>
    </w:p>
    <w:p w:rsidR="00000000" w:rsidDel="00000000" w:rsidP="00000000" w:rsidRDefault="00000000" w:rsidRPr="00000000" w14:paraId="0000003C">
      <w:pPr>
        <w:spacing w:after="120" w:before="120" w:line="360" w:lineRule="auto"/>
        <w:ind w:firstLine="720"/>
        <w:jc w:val="both"/>
        <w:rPr/>
      </w:pPr>
      <w:r w:rsidDel="00000000" w:rsidR="00000000" w:rsidRPr="00000000">
        <w:rPr>
          <w:rtl w:val="0"/>
        </w:rPr>
        <w:t xml:space="preserve">The Juvenile Justice Board (JJB) constitutes the primary adjudicatory authority for juveniles in conflict with the law under the JJ Act 2015. Each JJB comprises a Principal Magistrate and two social workers, at least one of whom must be a woman.</w:t>
      </w:r>
      <w:r w:rsidDel="00000000" w:rsidR="00000000" w:rsidRPr="00000000">
        <w:rPr>
          <w:vertAlign w:val="superscript"/>
        </w:rPr>
        <w:footnoteReference w:customMarkFollows="0" w:id="18"/>
      </w:r>
      <w:r w:rsidDel="00000000" w:rsidR="00000000" w:rsidRPr="00000000">
        <w:rPr>
          <w:rtl w:val="0"/>
        </w:rPr>
        <w:t xml:space="preserve"> This multi-disciplinary composition reflects the legislative intent that juvenile adjudication be informed by social welfare considerations rather than purely juridical reasoning. The JJB is empowered to conduct proceedings in a child-friendly manner, ensuring that the juvenile understands the proceedings and is not intimidated by the formal courtroom environment.</w:t>
      </w:r>
      <w:r w:rsidDel="00000000" w:rsidR="00000000" w:rsidRPr="00000000">
        <w:rPr>
          <w:vertAlign w:val="superscript"/>
        </w:rPr>
        <w:footnoteReference w:customMarkFollows="0" w:id="19"/>
      </w:r>
      <w:r w:rsidDel="00000000" w:rsidR="00000000" w:rsidRPr="00000000">
        <w:rPr>
          <w:rtl w:val="0"/>
        </w:rPr>
      </w:r>
    </w:p>
    <w:p w:rsidR="00000000" w:rsidDel="00000000" w:rsidP="00000000" w:rsidRDefault="00000000" w:rsidRPr="00000000" w14:paraId="0000003D">
      <w:pPr>
        <w:spacing w:after="120" w:before="120" w:line="360" w:lineRule="auto"/>
        <w:ind w:firstLine="720"/>
        <w:jc w:val="both"/>
        <w:rPr/>
      </w:pPr>
      <w:r w:rsidDel="00000000" w:rsidR="00000000" w:rsidRPr="00000000">
        <w:rPr>
          <w:rtl w:val="0"/>
        </w:rPr>
        <w:t xml:space="preserve">A critical procedural protection is the provision relating to bail. Section 12 of the JJ Act 2015 creates a strong presumption in favour of releasing a juvenile on bail unless such release would bring the juvenile into association with known criminals or expose them to moral danger.</w:t>
      </w:r>
      <w:r w:rsidDel="00000000" w:rsidR="00000000" w:rsidRPr="00000000">
        <w:rPr>
          <w:vertAlign w:val="superscript"/>
        </w:rPr>
        <w:footnoteReference w:customMarkFollows="0" w:id="20"/>
      </w:r>
      <w:r w:rsidDel="00000000" w:rsidR="00000000" w:rsidRPr="00000000">
        <w:rPr>
          <w:rtl w:val="0"/>
        </w:rPr>
        <w:t xml:space="preserve"> The Supreme Court in Sheela Barse v Union of India had earlier emphasised the constitutional imperative of minimising pre-trial detention of juveniles, and this judicial position has been preserved and strengthened in the 2015 Act.</w:t>
      </w:r>
      <w:r w:rsidDel="00000000" w:rsidR="00000000" w:rsidRPr="00000000">
        <w:rPr>
          <w:vertAlign w:val="superscript"/>
        </w:rPr>
        <w:footnoteReference w:customMarkFollows="0" w:id="21"/>
      </w:r>
      <w:r w:rsidDel="00000000" w:rsidR="00000000" w:rsidRPr="00000000">
        <w:rPr>
          <w:rtl w:val="0"/>
        </w:rPr>
      </w:r>
    </w:p>
    <w:p w:rsidR="00000000" w:rsidDel="00000000" w:rsidP="00000000" w:rsidRDefault="00000000" w:rsidRPr="00000000" w14:paraId="0000003E">
      <w:pPr>
        <w:pStyle w:val="Heading2"/>
        <w:rPr/>
      </w:pPr>
      <w:r w:rsidDel="00000000" w:rsidR="00000000" w:rsidRPr="00000000">
        <w:rPr>
          <w:rtl w:val="0"/>
        </w:rPr>
        <w:t xml:space="preserve">5.2 Preliminary Assessment in Heinous Offences</w:t>
      </w:r>
    </w:p>
    <w:p w:rsidR="00000000" w:rsidDel="00000000" w:rsidP="00000000" w:rsidRDefault="00000000" w:rsidRPr="00000000" w14:paraId="0000003F">
      <w:pPr>
        <w:spacing w:after="120" w:before="120" w:line="360" w:lineRule="auto"/>
        <w:ind w:firstLine="720"/>
        <w:jc w:val="both"/>
        <w:rPr/>
      </w:pPr>
      <w:r w:rsidDel="00000000" w:rsidR="00000000" w:rsidRPr="00000000">
        <w:rPr>
          <w:rtl w:val="0"/>
        </w:rPr>
        <w:t xml:space="preserve">The preliminary assessment process under Section 15 of the JJ Act 2015 represents the most contested innovation of the present legal framework. Where a juvenile between sixteen and eighteen years is alleged to have committed a heinous offence, the JJB must conduct a preliminary assessment—with the assistance of experienced psychologists and psychosocial workers—of the juvenile's mental and physical capacity, ability to understand the consequences of the offence, and circumstances in which the offence was committed.</w:t>
      </w:r>
      <w:r w:rsidDel="00000000" w:rsidR="00000000" w:rsidRPr="00000000">
        <w:rPr>
          <w:vertAlign w:val="superscript"/>
        </w:rPr>
        <w:footnoteReference w:customMarkFollows="0" w:id="22"/>
      </w:r>
      <w:r w:rsidDel="00000000" w:rsidR="00000000" w:rsidRPr="00000000">
        <w:rPr>
          <w:rtl w:val="0"/>
        </w:rPr>
        <w:t xml:space="preserve"> The JJB's determination of whether to retain jurisdiction or transfer to the Children's Court must be supported by reasoned findings. The Supreme Court in Salil Bali v Union of India had upheld the constitutionality of such age-based distinctions in an earlier legislative iteration, recognising the State's wide discretion in formulating juvenile justice policy.</w:t>
      </w:r>
      <w:r w:rsidDel="00000000" w:rsidR="00000000" w:rsidRPr="00000000">
        <w:rPr>
          <w:vertAlign w:val="superscript"/>
        </w:rPr>
        <w:footnoteReference w:customMarkFollows="0" w:id="23"/>
      </w:r>
      <w:r w:rsidDel="00000000" w:rsidR="00000000" w:rsidRPr="00000000">
        <w:rPr>
          <w:rtl w:val="0"/>
        </w:rPr>
      </w:r>
    </w:p>
    <w:p w:rsidR="00000000" w:rsidDel="00000000" w:rsidP="00000000" w:rsidRDefault="00000000" w:rsidRPr="00000000" w14:paraId="00000040">
      <w:pPr>
        <w:pStyle w:val="Heading2"/>
        <w:rPr/>
      </w:pPr>
      <w:r w:rsidDel="00000000" w:rsidR="00000000" w:rsidRPr="00000000">
        <w:rPr>
          <w:rtl w:val="0"/>
        </w:rPr>
        <w:t xml:space="preserve">5.3 Observation Homes and Special Homes</w:t>
      </w:r>
    </w:p>
    <w:p w:rsidR="00000000" w:rsidDel="00000000" w:rsidP="00000000" w:rsidRDefault="00000000" w:rsidRPr="00000000" w14:paraId="00000041">
      <w:pPr>
        <w:spacing w:after="120" w:before="120" w:line="360" w:lineRule="auto"/>
        <w:ind w:firstLine="720"/>
        <w:jc w:val="both"/>
        <w:rPr/>
      </w:pPr>
      <w:r w:rsidDel="00000000" w:rsidR="00000000" w:rsidRPr="00000000">
        <w:rPr>
          <w:rtl w:val="0"/>
        </w:rPr>
        <w:t xml:space="preserve">During the pendency of proceedings, juveniles who cannot be released on bail are placed in Observation Homes maintained by State Governments. Upon completion of proceedings, those requiring institutional care are placed in Special Homes.</w:t>
      </w:r>
      <w:r w:rsidDel="00000000" w:rsidR="00000000" w:rsidRPr="00000000">
        <w:rPr>
          <w:vertAlign w:val="superscript"/>
        </w:rPr>
        <w:footnoteReference w:customMarkFollows="0" w:id="24"/>
      </w:r>
      <w:r w:rsidDel="00000000" w:rsidR="00000000" w:rsidRPr="00000000">
        <w:rPr>
          <w:rtl w:val="0"/>
        </w:rPr>
        <w:t xml:space="preserve"> Section 18(3) of the JJ Act 2015 empowers the JJB to direct placement in a place of safety in the case of juveniles transferred to the Children's Court.</w:t>
      </w:r>
      <w:r w:rsidDel="00000000" w:rsidR="00000000" w:rsidRPr="00000000">
        <w:rPr>
          <w:vertAlign w:val="superscript"/>
        </w:rPr>
        <w:footnoteReference w:customMarkFollows="0" w:id="25"/>
      </w:r>
      <w:r w:rsidDel="00000000" w:rsidR="00000000" w:rsidRPr="00000000">
        <w:rPr>
          <w:rtl w:val="0"/>
        </w:rPr>
        <w:t xml:space="preserve"> The quality of these institutions varies enormously across India, with several judicial inquiries and NHRC reports documenting instances of overcrowding, inadequate educational and vocational facilities, physical abuse by staff, and absence of trained counsellors. The gap between the statutory ideal and institutional reality remains the most pressing implementation challenge in the Indian juvenile justice system.</w:t>
      </w:r>
    </w:p>
    <w:p w:rsidR="00000000" w:rsidDel="00000000" w:rsidP="00000000" w:rsidRDefault="00000000" w:rsidRPr="00000000" w14:paraId="00000042">
      <w:pPr>
        <w:pStyle w:val="Heading1"/>
        <w:spacing w:after="160" w:before="320" w:lineRule="auto"/>
        <w:rPr/>
      </w:pPr>
      <w:r w:rsidDel="00000000" w:rsidR="00000000" w:rsidRPr="00000000">
        <w:rPr>
          <w:rtl w:val="0"/>
        </w:rPr>
        <w:t xml:space="preserve">VI. REFORMATION AND REHABILITATION: STRATEGIES AND APPROACHES</w:t>
      </w:r>
    </w:p>
    <w:p w:rsidR="00000000" w:rsidDel="00000000" w:rsidP="00000000" w:rsidRDefault="00000000" w:rsidRPr="00000000" w14:paraId="00000043">
      <w:pPr>
        <w:pStyle w:val="Heading2"/>
        <w:rPr/>
      </w:pPr>
      <w:r w:rsidDel="00000000" w:rsidR="00000000" w:rsidRPr="00000000">
        <w:rPr>
          <w:rtl w:val="0"/>
        </w:rPr>
        <w:t xml:space="preserve">6.1 The Rehabilitative Imperative</w:t>
      </w:r>
    </w:p>
    <w:p w:rsidR="00000000" w:rsidDel="00000000" w:rsidP="00000000" w:rsidRDefault="00000000" w:rsidRPr="00000000" w14:paraId="00000044">
      <w:pPr>
        <w:spacing w:after="120" w:before="120" w:line="360" w:lineRule="auto"/>
        <w:ind w:firstLine="720"/>
        <w:jc w:val="both"/>
        <w:rPr/>
      </w:pPr>
      <w:r w:rsidDel="00000000" w:rsidR="00000000" w:rsidRPr="00000000">
        <w:rPr>
          <w:rtl w:val="0"/>
        </w:rPr>
        <w:t xml:space="preserve">The philosophical foundation of modern juvenile justice is the belief, supported by extensive empirical evidence, that young offenders are capable of reformation and that effective intervention at an early stage can redirect their developmental trajectory away from criminal careers. Meta-analyses of rehabilitation programmes by Lipsey have consistently shown that well-designed interventions based on cognitive-behavioural principles, interpersonal skills training, and structured mentorship can reduce juvenile recidivism by between 10 and 40 percent.</w:t>
      </w:r>
      <w:r w:rsidDel="00000000" w:rsidR="00000000" w:rsidRPr="00000000">
        <w:rPr>
          <w:vertAlign w:val="superscript"/>
        </w:rPr>
        <w:footnoteReference w:customMarkFollows="0" w:id="26"/>
      </w:r>
      <w:r w:rsidDel="00000000" w:rsidR="00000000" w:rsidRPr="00000000">
        <w:rPr>
          <w:rtl w:val="0"/>
        </w:rPr>
        <w:t xml:space="preserve"> These findings support the investment of substantial public resources in evidence-based juvenile rehabilitation rather than custodial deterrence.</w:t>
      </w:r>
    </w:p>
    <w:p w:rsidR="00000000" w:rsidDel="00000000" w:rsidP="00000000" w:rsidRDefault="00000000" w:rsidRPr="00000000" w14:paraId="00000045">
      <w:pPr>
        <w:pStyle w:val="Heading2"/>
        <w:rPr/>
      </w:pPr>
      <w:r w:rsidDel="00000000" w:rsidR="00000000" w:rsidRPr="00000000">
        <w:rPr>
          <w:rtl w:val="0"/>
        </w:rPr>
        <w:t xml:space="preserve">6.2 Diversion Mechanisms</w:t>
      </w:r>
    </w:p>
    <w:p w:rsidR="00000000" w:rsidDel="00000000" w:rsidP="00000000" w:rsidRDefault="00000000" w:rsidRPr="00000000" w14:paraId="00000046">
      <w:pPr>
        <w:spacing w:after="120" w:before="120" w:line="360" w:lineRule="auto"/>
        <w:ind w:firstLine="720"/>
        <w:jc w:val="both"/>
        <w:rPr/>
      </w:pPr>
      <w:r w:rsidDel="00000000" w:rsidR="00000000" w:rsidRPr="00000000">
        <w:rPr>
          <w:rtl w:val="0"/>
        </w:rPr>
        <w:t xml:space="preserve">Diversion refers to the channelling of juvenile cases away from the formal justice system toward alternative responses that address the underlying causes of offending while avoiding the stigmatising and criminalising effects of formal prosecution. Research consistently demonstrates that diversion, particularly when combined with community-based programming, produces better outcomes than formal adjudication for the large majority of juvenile offenders.</w:t>
      </w:r>
      <w:r w:rsidDel="00000000" w:rsidR="00000000" w:rsidRPr="00000000">
        <w:rPr>
          <w:vertAlign w:val="superscript"/>
        </w:rPr>
        <w:footnoteReference w:customMarkFollows="0" w:id="27"/>
      </w:r>
      <w:r w:rsidDel="00000000" w:rsidR="00000000" w:rsidRPr="00000000">
        <w:rPr>
          <w:rtl w:val="0"/>
        </w:rPr>
        <w:t xml:space="preserve"> The JJ Act 2015 provides for diversion through the JJB's power to dispose of matters summarily, to refer juveniles to community service, or to direct engagement with counselling and social reintegration programmes.</w:t>
      </w:r>
    </w:p>
    <w:p w:rsidR="00000000" w:rsidDel="00000000" w:rsidP="00000000" w:rsidRDefault="00000000" w:rsidRPr="00000000" w14:paraId="00000047">
      <w:pPr>
        <w:pStyle w:val="Heading2"/>
        <w:rPr/>
      </w:pPr>
      <w:r w:rsidDel="00000000" w:rsidR="00000000" w:rsidRPr="00000000">
        <w:rPr>
          <w:rtl w:val="0"/>
        </w:rPr>
        <w:t xml:space="preserve">6.3 Restorative Justice Approaches</w:t>
      </w:r>
    </w:p>
    <w:p w:rsidR="00000000" w:rsidDel="00000000" w:rsidP="00000000" w:rsidRDefault="00000000" w:rsidRPr="00000000" w14:paraId="00000048">
      <w:pPr>
        <w:spacing w:after="120" w:before="120" w:line="360" w:lineRule="auto"/>
        <w:ind w:firstLine="720"/>
        <w:jc w:val="both"/>
        <w:rPr/>
      </w:pPr>
      <w:r w:rsidDel="00000000" w:rsidR="00000000" w:rsidRPr="00000000">
        <w:rPr>
          <w:rtl w:val="0"/>
        </w:rPr>
        <w:t xml:space="preserve">Restorative justice represents a paradigm shift from the conventional punitive model by reorienting the justice process around the repair of harm, the healing of victims, and the reintegration of offenders into the community. Practices such as victim-offender mediation, family group conferencing, and community sentencing circles create structured opportunities for accountability, empathy, and reparation that formal adversarial proceedings cannot deliver.</w:t>
      </w:r>
      <w:r w:rsidDel="00000000" w:rsidR="00000000" w:rsidRPr="00000000">
        <w:rPr>
          <w:vertAlign w:val="superscript"/>
        </w:rPr>
        <w:footnoteReference w:customMarkFollows="0" w:id="28"/>
      </w:r>
      <w:r w:rsidDel="00000000" w:rsidR="00000000" w:rsidRPr="00000000">
        <w:rPr>
          <w:rtl w:val="0"/>
        </w:rPr>
        <w:t xml:space="preserve"> Section 18(1)(e) of the JJ Act 2015 explicitly empowers JJBs to order community service as a disposition, and Rule 10 of the 2016 Model Rules provides further guidance on community-based interventions.</w:t>
      </w:r>
      <w:r w:rsidDel="00000000" w:rsidR="00000000" w:rsidRPr="00000000">
        <w:rPr>
          <w:vertAlign w:val="superscript"/>
        </w:rPr>
        <w:footnoteReference w:customMarkFollows="0" w:id="29"/>
      </w:r>
      <w:r w:rsidDel="00000000" w:rsidR="00000000" w:rsidRPr="00000000">
        <w:rPr>
          <w:vertAlign w:val="superscript"/>
        </w:rPr>
        <w:footnoteReference w:customMarkFollows="0" w:id="30"/>
      </w:r>
      <w:r w:rsidDel="00000000" w:rsidR="00000000" w:rsidRPr="00000000">
        <w:rPr>
          <w:rtl w:val="0"/>
        </w:rPr>
      </w:r>
    </w:p>
    <w:p w:rsidR="00000000" w:rsidDel="00000000" w:rsidP="00000000" w:rsidRDefault="00000000" w:rsidRPr="00000000" w14:paraId="00000049">
      <w:pPr>
        <w:spacing w:after="120" w:before="120" w:line="360" w:lineRule="auto"/>
        <w:ind w:firstLine="720"/>
        <w:jc w:val="both"/>
        <w:rPr/>
      </w:pPr>
      <w:r w:rsidDel="00000000" w:rsidR="00000000" w:rsidRPr="00000000">
        <w:rPr>
          <w:rtl w:val="0"/>
        </w:rPr>
        <w:t xml:space="preserve">The evidence from jurisdictions that have implemented restorative justice programmes for juvenile offenders—including New Zealand, Australia, Canada, and parts of the United States—is broadly encouraging. Studies indicate lower recidivism rates, higher victim satisfaction, and greater compliance with agreed outcomes compared to conventional processing. While comparative caution is warranted given the significant differences in social and legal context, these findings provide a strong basis for expanding restorative approaches within the Indian juvenile justice system.</w:t>
      </w:r>
      <w:r w:rsidDel="00000000" w:rsidR="00000000" w:rsidRPr="00000000">
        <w:rPr>
          <w:vertAlign w:val="superscript"/>
        </w:rPr>
        <w:footnoteReference w:customMarkFollows="0" w:id="31"/>
      </w:r>
      <w:r w:rsidDel="00000000" w:rsidR="00000000" w:rsidRPr="00000000">
        <w:rPr>
          <w:rtl w:val="0"/>
        </w:rPr>
      </w:r>
    </w:p>
    <w:p w:rsidR="00000000" w:rsidDel="00000000" w:rsidP="00000000" w:rsidRDefault="00000000" w:rsidRPr="00000000" w14:paraId="0000004A">
      <w:pPr>
        <w:pStyle w:val="Heading2"/>
        <w:rPr/>
      </w:pPr>
      <w:r w:rsidDel="00000000" w:rsidR="00000000" w:rsidRPr="00000000">
        <w:rPr>
          <w:rtl w:val="0"/>
        </w:rPr>
        <w:t xml:space="preserve">6.4 Educational and Vocational Programmes</w:t>
      </w:r>
    </w:p>
    <w:p w:rsidR="00000000" w:rsidDel="00000000" w:rsidP="00000000" w:rsidRDefault="00000000" w:rsidRPr="00000000" w14:paraId="0000004B">
      <w:pPr>
        <w:spacing w:after="120" w:before="120" w:line="360" w:lineRule="auto"/>
        <w:ind w:firstLine="720"/>
        <w:jc w:val="both"/>
        <w:rPr/>
      </w:pPr>
      <w:r w:rsidDel="00000000" w:rsidR="00000000" w:rsidRPr="00000000">
        <w:rPr>
          <w:rtl w:val="0"/>
        </w:rPr>
        <w:t xml:space="preserve">Education is the most powerful instrument of juvenile rehabilitation, providing not merely skills and knowledge but also a sense of purpose, structure, and future orientation. Research by Farrington and Welsh demonstrates that early educational interventions significantly reduce the likelihood of later offending.</w:t>
      </w:r>
      <w:r w:rsidDel="00000000" w:rsidR="00000000" w:rsidRPr="00000000">
        <w:rPr>
          <w:vertAlign w:val="superscript"/>
        </w:rPr>
        <w:footnoteReference w:customMarkFollows="0" w:id="32"/>
      </w:r>
      <w:r w:rsidDel="00000000" w:rsidR="00000000" w:rsidRPr="00000000">
        <w:rPr>
          <w:rtl w:val="0"/>
        </w:rPr>
        <w:t xml:space="preserve"> The JJ Act 2015 mandates that educational and vocational training facilities be made available in all Special Homes and Observation Homes. Section 40 requires the State to provide for the educational needs of juveniles in conflict with the law.</w:t>
      </w:r>
      <w:r w:rsidDel="00000000" w:rsidR="00000000" w:rsidRPr="00000000">
        <w:rPr>
          <w:vertAlign w:val="superscript"/>
        </w:rPr>
        <w:footnoteReference w:customMarkFollows="0" w:id="33"/>
      </w:r>
      <w:r w:rsidDel="00000000" w:rsidR="00000000" w:rsidRPr="00000000">
        <w:rPr>
          <w:rtl w:val="0"/>
        </w:rPr>
        <w:t xml:space="preserve"> However, implementation of these provisions remains highly uneven, and a substantial proportion of juvenile detention facilities lack qualified teachers, adequate infrastructure, and age-appropriate curricula.</w:t>
      </w:r>
    </w:p>
    <w:p w:rsidR="00000000" w:rsidDel="00000000" w:rsidP="00000000" w:rsidRDefault="00000000" w:rsidRPr="00000000" w14:paraId="0000004C">
      <w:pPr>
        <w:pStyle w:val="Heading2"/>
        <w:rPr/>
      </w:pPr>
      <w:r w:rsidDel="00000000" w:rsidR="00000000" w:rsidRPr="00000000">
        <w:rPr>
          <w:rtl w:val="0"/>
        </w:rPr>
        <w:t xml:space="preserve">6.5 Psychological Counselling and Mental Health Services</w:t>
      </w:r>
    </w:p>
    <w:p w:rsidR="00000000" w:rsidDel="00000000" w:rsidP="00000000" w:rsidRDefault="00000000" w:rsidRPr="00000000" w14:paraId="0000004D">
      <w:pPr>
        <w:spacing w:after="120" w:before="120" w:line="360" w:lineRule="auto"/>
        <w:ind w:firstLine="720"/>
        <w:jc w:val="both"/>
        <w:rPr/>
      </w:pPr>
      <w:r w:rsidDel="00000000" w:rsidR="00000000" w:rsidRPr="00000000">
        <w:rPr>
          <w:rtl w:val="0"/>
        </w:rPr>
        <w:t xml:space="preserve">Given the high prevalence of trauma, mental health disorders, substance abuse, and adverse childhood experiences among juvenile offenders, access to professional psychological services is a non-negotiable element of effective rehabilitation. Cognitive-behavioural therapy (CBT), in particular, has strong empirical support as an intervention for reducing antisocial thinking and improving self-regulation in adolescent populations. Trauma-focused CBT has shown particular promise for juveniles with histories of abuse and neglect.</w:t>
      </w:r>
    </w:p>
    <w:p w:rsidR="00000000" w:rsidDel="00000000" w:rsidP="00000000" w:rsidRDefault="00000000" w:rsidRPr="00000000" w14:paraId="0000004E">
      <w:pPr>
        <w:spacing w:after="120" w:before="120" w:line="360" w:lineRule="auto"/>
        <w:ind w:firstLine="720"/>
        <w:jc w:val="both"/>
        <w:rPr/>
      </w:pPr>
      <w:r w:rsidDel="00000000" w:rsidR="00000000" w:rsidRPr="00000000">
        <w:rPr>
          <w:rtl w:val="0"/>
        </w:rPr>
        <w:t xml:space="preserve">The JJ Act 2015 and its Model Rules provide for the appointment of counsellors and psychologists in juvenile institutions. However, the chronic shortage of trained mental health professionals in India—with a psychiatrist-to-population ratio far below WHO recommendations—means that in practice many juvenile facilities operate without adequate psychological support, relying instead on untrained staff whose interactions with residents may be counterproductive or actively harmful.</w:t>
      </w:r>
    </w:p>
    <w:p w:rsidR="00000000" w:rsidDel="00000000" w:rsidP="00000000" w:rsidRDefault="00000000" w:rsidRPr="00000000" w14:paraId="0000004F">
      <w:pPr>
        <w:pStyle w:val="Heading2"/>
        <w:rPr/>
      </w:pPr>
      <w:r w:rsidDel="00000000" w:rsidR="00000000" w:rsidRPr="00000000">
        <w:rPr>
          <w:rtl w:val="0"/>
        </w:rPr>
        <w:t xml:space="preserve">6.6 Aftercare and Reintegration</w:t>
      </w:r>
    </w:p>
    <w:p w:rsidR="00000000" w:rsidDel="00000000" w:rsidP="00000000" w:rsidRDefault="00000000" w:rsidRPr="00000000" w14:paraId="00000050">
      <w:pPr>
        <w:spacing w:after="120" w:before="120" w:line="360" w:lineRule="auto"/>
        <w:ind w:firstLine="720"/>
        <w:jc w:val="both"/>
        <w:rPr/>
      </w:pPr>
      <w:r w:rsidDel="00000000" w:rsidR="00000000" w:rsidRPr="00000000">
        <w:rPr>
          <w:rtl w:val="0"/>
        </w:rPr>
        <w:t xml:space="preserve">Aftercare—the provision of support services to juveniles following discharge from institutional care—is the most frequently neglected phase of the rehabilitation continuum. Without structured aftercare encompassing housing support, employment placement, family counselling, and ongoing mentorship, even the most successful in-custody rehabilitation programmes risk being undermined by the realities of social exclusion that await discharged juveniles in the community. The JJ Act 2015 provides for aftercare programmes under Chapter VII, requiring States to make rules for the financial and other support of persons between eighteen and twenty-one years who have emerged from the juvenile justice system.</w:t>
      </w:r>
      <w:r w:rsidDel="00000000" w:rsidR="00000000" w:rsidRPr="00000000">
        <w:rPr>
          <w:vertAlign w:val="superscript"/>
        </w:rPr>
        <w:footnoteReference w:customMarkFollows="0" w:id="34"/>
      </w:r>
      <w:r w:rsidDel="00000000" w:rsidR="00000000" w:rsidRPr="00000000">
        <w:rPr>
          <w:rtl w:val="0"/>
        </w:rPr>
        <w:t xml:space="preserve"> The National Policy for Children, 2013, also emphasises the importance of social reintegration as a dimension of child protection.</w:t>
      </w:r>
      <w:r w:rsidDel="00000000" w:rsidR="00000000" w:rsidRPr="00000000">
        <w:rPr>
          <w:vertAlign w:val="superscript"/>
        </w:rPr>
        <w:footnoteReference w:customMarkFollows="0" w:id="35"/>
      </w:r>
      <w:r w:rsidDel="00000000" w:rsidR="00000000" w:rsidRPr="00000000">
        <w:rPr>
          <w:rtl w:val="0"/>
        </w:rPr>
      </w:r>
    </w:p>
    <w:p w:rsidR="00000000" w:rsidDel="00000000" w:rsidP="00000000" w:rsidRDefault="00000000" w:rsidRPr="00000000" w14:paraId="00000051">
      <w:pPr>
        <w:pStyle w:val="Heading1"/>
        <w:spacing w:after="160" w:before="320" w:lineRule="auto"/>
        <w:rPr/>
      </w:pPr>
      <w:r w:rsidDel="00000000" w:rsidR="00000000" w:rsidRPr="00000000">
        <w:rPr>
          <w:rtl w:val="0"/>
        </w:rPr>
        <w:t xml:space="preserve">VII. LACUNAE, CHALLENGES, AND CRITICAL ANALYSIS</w:t>
      </w:r>
    </w:p>
    <w:p w:rsidR="00000000" w:rsidDel="00000000" w:rsidP="00000000" w:rsidRDefault="00000000" w:rsidRPr="00000000" w14:paraId="00000052">
      <w:pPr>
        <w:pStyle w:val="Heading2"/>
        <w:rPr/>
      </w:pPr>
      <w:r w:rsidDel="00000000" w:rsidR="00000000" w:rsidRPr="00000000">
        <w:rPr>
          <w:rtl w:val="0"/>
        </w:rPr>
        <w:t xml:space="preserve">7.1 Implementation Deficits</w:t>
      </w:r>
    </w:p>
    <w:p w:rsidR="00000000" w:rsidDel="00000000" w:rsidP="00000000" w:rsidRDefault="00000000" w:rsidRPr="00000000" w14:paraId="00000053">
      <w:pPr>
        <w:spacing w:after="120" w:before="120" w:line="360" w:lineRule="auto"/>
        <w:ind w:firstLine="720"/>
        <w:jc w:val="both"/>
        <w:rPr/>
      </w:pPr>
      <w:r w:rsidDel="00000000" w:rsidR="00000000" w:rsidRPr="00000000">
        <w:rPr>
          <w:rtl w:val="0"/>
        </w:rPr>
        <w:t xml:space="preserve">The most pervasive challenge confronting the Indian juvenile justice system is the chasm between legal aspiration and institutional reality. Despite the progressive architecture of the JJ Act 2015, a majority of states have not established the full complement of JJBs, Child Welfare Committees, Special Juvenile Police Units, and institutional facilities required by the Act. The Ministry of Women and Child Development's own annual reports acknowledge persistent shortfalls in the number and capacity of observation homes and special homes across the country.</w:t>
      </w:r>
      <w:r w:rsidDel="00000000" w:rsidR="00000000" w:rsidRPr="00000000">
        <w:rPr>
          <w:vertAlign w:val="superscript"/>
        </w:rPr>
        <w:footnoteReference w:customMarkFollows="0" w:id="36"/>
      </w:r>
      <w:r w:rsidDel="00000000" w:rsidR="00000000" w:rsidRPr="00000000">
        <w:rPr>
          <w:rtl w:val="0"/>
        </w:rPr>
        <w:t xml:space="preserve"> These infrastructure gaps mean that large numbers of juveniles are held in conditions that do not conform to statutory or international standards.</w:t>
      </w:r>
    </w:p>
    <w:p w:rsidR="00000000" w:rsidDel="00000000" w:rsidP="00000000" w:rsidRDefault="00000000" w:rsidRPr="00000000" w14:paraId="00000054">
      <w:pPr>
        <w:pStyle w:val="Heading2"/>
        <w:rPr/>
      </w:pPr>
      <w:r w:rsidDel="00000000" w:rsidR="00000000" w:rsidRPr="00000000">
        <w:rPr>
          <w:rtl w:val="0"/>
        </w:rPr>
        <w:t xml:space="preserve">7.2 Capacity and Training Deficits</w:t>
      </w:r>
    </w:p>
    <w:p w:rsidR="00000000" w:rsidDel="00000000" w:rsidP="00000000" w:rsidRDefault="00000000" w:rsidRPr="00000000" w14:paraId="00000055">
      <w:pPr>
        <w:spacing w:after="120" w:before="120" w:line="360" w:lineRule="auto"/>
        <w:ind w:firstLine="720"/>
        <w:jc w:val="both"/>
        <w:rPr/>
      </w:pPr>
      <w:r w:rsidDel="00000000" w:rsidR="00000000" w:rsidRPr="00000000">
        <w:rPr>
          <w:rtl w:val="0"/>
        </w:rPr>
        <w:t xml:space="preserve">The effectiveness of any juvenile justice system ultimately depends on the quality and orientation of its human resources: police officers, JJB members, social workers, probation officers, institution staff, and legal aid lawyers. Research and official reviews consistently identify inadequate training as a major systemic failing. Police officers—who are often a juvenile's first point of contact with the justice system—frequently lack child-sensitive interviewing skills and awareness of the rights and procedures applicable to juveniles. JJB social members often have limited formal training in child psychology or social work.</w:t>
      </w:r>
      <w:r w:rsidDel="00000000" w:rsidR="00000000" w:rsidRPr="00000000">
        <w:rPr>
          <w:vertAlign w:val="superscript"/>
        </w:rPr>
        <w:footnoteReference w:customMarkFollows="0" w:id="37"/>
      </w:r>
      <w:r w:rsidDel="00000000" w:rsidR="00000000" w:rsidRPr="00000000">
        <w:rPr>
          <w:rtl w:val="0"/>
        </w:rPr>
      </w:r>
    </w:p>
    <w:p w:rsidR="00000000" w:rsidDel="00000000" w:rsidP="00000000" w:rsidRDefault="00000000" w:rsidRPr="00000000" w14:paraId="00000056">
      <w:pPr>
        <w:pStyle w:val="Heading2"/>
        <w:rPr/>
      </w:pPr>
      <w:r w:rsidDel="00000000" w:rsidR="00000000" w:rsidRPr="00000000">
        <w:rPr>
          <w:rtl w:val="0"/>
        </w:rPr>
        <w:t xml:space="preserve">7.3 The Adult Trial Provision: A Critical Appraisal</w:t>
      </w:r>
    </w:p>
    <w:p w:rsidR="00000000" w:rsidDel="00000000" w:rsidP="00000000" w:rsidRDefault="00000000" w:rsidRPr="00000000" w14:paraId="00000057">
      <w:pPr>
        <w:spacing w:after="120" w:before="120" w:line="360" w:lineRule="auto"/>
        <w:ind w:firstLine="720"/>
        <w:jc w:val="both"/>
        <w:rPr/>
      </w:pPr>
      <w:r w:rsidDel="00000000" w:rsidR="00000000" w:rsidRPr="00000000">
        <w:rPr>
          <w:rtl w:val="0"/>
        </w:rPr>
        <w:t xml:space="preserve">The provision in Section 15 of the JJ Act 2015 enabling the trial of sixteen-to-eighteen-year-old alleged offenders in heinous cases as adults has attracted sustained criticism from child rights scholars, the National Commission for Protection of Child Rights, and international bodies. Critics argue that this provision: (i) violates the principle of doli incapax, which recognises diminished moral culpability of young persons; (ii) undermines the rehabilitative philosophy of the Convention on the Rights of the Child to which India is a party; (iii) creates a punitive track for adolescents at the very age of neurobiological vulnerability identified by developmental science; and (iv) risks exposing young offenders to the hardening effects of adult prison environments.</w:t>
      </w:r>
      <w:r w:rsidDel="00000000" w:rsidR="00000000" w:rsidRPr="00000000">
        <w:rPr>
          <w:vertAlign w:val="superscript"/>
        </w:rPr>
        <w:footnoteReference w:customMarkFollows="0" w:id="38"/>
      </w:r>
      <w:r w:rsidDel="00000000" w:rsidR="00000000" w:rsidRPr="00000000">
        <w:rPr>
          <w:vertAlign w:val="superscript"/>
        </w:rPr>
        <w:footnoteReference w:customMarkFollows="0" w:id="39"/>
      </w:r>
      <w:r w:rsidDel="00000000" w:rsidR="00000000" w:rsidRPr="00000000">
        <w:rPr>
          <w:rtl w:val="0"/>
        </w:rPr>
      </w:r>
    </w:p>
    <w:p w:rsidR="00000000" w:rsidDel="00000000" w:rsidP="00000000" w:rsidRDefault="00000000" w:rsidRPr="00000000" w14:paraId="00000058">
      <w:pPr>
        <w:spacing w:after="120" w:before="120" w:line="360" w:lineRule="auto"/>
        <w:ind w:firstLine="720"/>
        <w:jc w:val="both"/>
        <w:rPr/>
      </w:pPr>
      <w:r w:rsidDel="00000000" w:rsidR="00000000" w:rsidRPr="00000000">
        <w:rPr>
          <w:rtl w:val="0"/>
        </w:rPr>
        <w:t xml:space="preserve">Proponents of the provision counter that the rehabilitative ideal must be balanced against the demands of public safety and the interests of victims in the most serious cases, and that the preliminary assessment process provides adequate safeguards against inappropriate transfers. The Law Commission's Report No. 259 and several NCPCR reports have recommended a review of this provision, and the issue remains one of the most contested in Indian juvenile justice jurisprudence.</w:t>
      </w:r>
      <w:r w:rsidDel="00000000" w:rsidR="00000000" w:rsidRPr="00000000">
        <w:rPr>
          <w:vertAlign w:val="superscript"/>
        </w:rPr>
        <w:footnoteReference w:customMarkFollows="0" w:id="40"/>
      </w:r>
      <w:r w:rsidDel="00000000" w:rsidR="00000000" w:rsidRPr="00000000">
        <w:rPr>
          <w:rtl w:val="0"/>
        </w:rPr>
      </w:r>
    </w:p>
    <w:p w:rsidR="00000000" w:rsidDel="00000000" w:rsidP="00000000" w:rsidRDefault="00000000" w:rsidRPr="00000000" w14:paraId="00000059">
      <w:pPr>
        <w:pStyle w:val="Heading2"/>
        <w:rPr/>
      </w:pPr>
      <w:r w:rsidDel="00000000" w:rsidR="00000000" w:rsidRPr="00000000">
        <w:rPr>
          <w:rtl w:val="0"/>
        </w:rPr>
        <w:t xml:space="preserve">7.4 Data Gaps and Research Deficits</w:t>
      </w:r>
    </w:p>
    <w:p w:rsidR="00000000" w:rsidDel="00000000" w:rsidP="00000000" w:rsidRDefault="00000000" w:rsidRPr="00000000" w14:paraId="0000005A">
      <w:pPr>
        <w:spacing w:after="120" w:before="120" w:line="360" w:lineRule="auto"/>
        <w:ind w:firstLine="720"/>
        <w:jc w:val="both"/>
        <w:rPr/>
      </w:pPr>
      <w:r w:rsidDel="00000000" w:rsidR="00000000" w:rsidRPr="00000000">
        <w:rPr>
          <w:rtl w:val="0"/>
        </w:rPr>
        <w:t xml:space="preserve">Evidence-based juvenile justice reform requires reliable, granular, and longitudinal data on juvenile offending patterns, system responses, and outcomes. In India, while NCRB collects annual data on registered juvenile cases, the available statistics are limited in scope and do not capture recidivism rates, programme outcomes, or the social backgrounds of juvenile offenders with the depth required for rigorous policy analysis.</w:t>
      </w:r>
      <w:r w:rsidDel="00000000" w:rsidR="00000000" w:rsidRPr="00000000">
        <w:rPr>
          <w:vertAlign w:val="superscript"/>
        </w:rPr>
        <w:footnoteReference w:customMarkFollows="0" w:id="41"/>
      </w:r>
      <w:r w:rsidDel="00000000" w:rsidR="00000000" w:rsidRPr="00000000">
        <w:rPr>
          <w:rtl w:val="0"/>
        </w:rPr>
        <w:t xml:space="preserve"> The absence of systematic outcome data makes it extremely difficult to evaluate the effectiveness of existing rehabilitation programmes or to design evidence-based improvements. Addressing this data gap is a prerequisite for meaningful juvenile justice reform.</w:t>
      </w:r>
    </w:p>
    <w:p w:rsidR="00000000" w:rsidDel="00000000" w:rsidP="00000000" w:rsidRDefault="00000000" w:rsidRPr="00000000" w14:paraId="0000005B">
      <w:pPr>
        <w:pStyle w:val="Heading2"/>
        <w:rPr/>
      </w:pPr>
      <w:r w:rsidDel="00000000" w:rsidR="00000000" w:rsidRPr="00000000">
        <w:rPr>
          <w:rtl w:val="0"/>
        </w:rPr>
        <w:t xml:space="preserve">7.5 Intersectionality: Gender, Caste, and Poverty</w:t>
      </w:r>
    </w:p>
    <w:p w:rsidR="00000000" w:rsidDel="00000000" w:rsidP="00000000" w:rsidRDefault="00000000" w:rsidRPr="00000000" w14:paraId="0000005C">
      <w:pPr>
        <w:spacing w:after="120" w:before="120" w:line="360" w:lineRule="auto"/>
        <w:ind w:firstLine="720"/>
        <w:jc w:val="both"/>
        <w:rPr/>
      </w:pPr>
      <w:r w:rsidDel="00000000" w:rsidR="00000000" w:rsidRPr="00000000">
        <w:rPr>
          <w:rtl w:val="0"/>
        </w:rPr>
        <w:t xml:space="preserve">Juvenile offending in India does not occur in a social vacuum but is profoundly shaped by intersecting vectors of disadvantage. Analysis of NCRB data reveals significant over-representation of juveniles from scheduled castes, scheduled tribes, other backward classes, and economically marginalised families within the formal juvenile justice system. This pattern reflects the combined effects of policing bias, differential access to legal representation, and the structural concentration of risk factors among socially excluded groups. A socio-legally adequate response to juvenile delinquency must therefore address not only individual behaviour but also the systemic inequalities that funnel disadvantaged children into the justice system.</w:t>
      </w:r>
    </w:p>
    <w:p w:rsidR="00000000" w:rsidDel="00000000" w:rsidP="00000000" w:rsidRDefault="00000000" w:rsidRPr="00000000" w14:paraId="0000005D">
      <w:pPr>
        <w:pStyle w:val="Heading1"/>
        <w:spacing w:after="160" w:before="320" w:lineRule="auto"/>
        <w:rPr/>
      </w:pPr>
      <w:r w:rsidDel="00000000" w:rsidR="00000000" w:rsidRPr="00000000">
        <w:rPr>
          <w:rtl w:val="0"/>
        </w:rPr>
        <w:t xml:space="preserve">VIII. COMPARATIVE PERSPECTIVES</w:t>
      </w:r>
    </w:p>
    <w:p w:rsidR="00000000" w:rsidDel="00000000" w:rsidP="00000000" w:rsidRDefault="00000000" w:rsidRPr="00000000" w14:paraId="0000005E">
      <w:pPr>
        <w:spacing w:after="120" w:before="120" w:line="360" w:lineRule="auto"/>
        <w:ind w:firstLine="720"/>
        <w:jc w:val="both"/>
        <w:rPr/>
      </w:pPr>
      <w:r w:rsidDel="00000000" w:rsidR="00000000" w:rsidRPr="00000000">
        <w:rPr>
          <w:rtl w:val="0"/>
        </w:rPr>
        <w:t xml:space="preserve">A comparative examination of juvenile justice systems in selected jurisdictions illuminates both the diversity of possible approaches and the common principles that underpin effective practice. The United States, despite its historically punitive orientation, has progressively moved toward rehabilitation following a series of Supreme Court decisions—most notably Roper v Simmons (2005), Graham v Florida (2010), and Miller v Alabama (2012)—that progressively restricted the application of the most severe adult penalties to juvenile offenders on the basis of their diminished culpability. These decisions explicitly drew upon neuroscientific evidence regarding adolescent brain development.</w:t>
      </w:r>
    </w:p>
    <w:p w:rsidR="00000000" w:rsidDel="00000000" w:rsidP="00000000" w:rsidRDefault="00000000" w:rsidRPr="00000000" w14:paraId="0000005F">
      <w:pPr>
        <w:spacing w:after="120" w:before="120" w:line="360" w:lineRule="auto"/>
        <w:ind w:firstLine="720"/>
        <w:jc w:val="both"/>
        <w:rPr/>
      </w:pPr>
      <w:r w:rsidDel="00000000" w:rsidR="00000000" w:rsidRPr="00000000">
        <w:rPr>
          <w:rtl w:val="0"/>
        </w:rPr>
        <w:t xml:space="preserve">The United Kingdom's Youth Justice System, reformed by the Crime and Disorder Act 1998, introduced Youth Offending Teams providing multi-agency coordination across social services, education, health, police, and probation, alongside a range of community sentences and restorative interventions. Evaluation data suggest that this integrated approach has contributed to significant reductions in first-time entrants to the youth justice system over the past two decades.</w:t>
      </w:r>
    </w:p>
    <w:p w:rsidR="00000000" w:rsidDel="00000000" w:rsidP="00000000" w:rsidRDefault="00000000" w:rsidRPr="00000000" w14:paraId="00000060">
      <w:pPr>
        <w:spacing w:after="120" w:before="120" w:line="360" w:lineRule="auto"/>
        <w:ind w:firstLine="720"/>
        <w:jc w:val="both"/>
        <w:rPr/>
      </w:pPr>
      <w:r w:rsidDel="00000000" w:rsidR="00000000" w:rsidRPr="00000000">
        <w:rPr>
          <w:rtl w:val="0"/>
        </w:rPr>
        <w:t xml:space="preserve">New Zealand's family group conferencing model, rooted in Maori traditions of collective responsibility and restorative practice, has become a global exemplar of community-based juvenile justice. By involving the offender, family, victim, and community representatives in a collaborative process of accountability and repair, this model has produced impressive reductions in youth incarceration without corresponding increases in recidivism. The model's success has inspired adaptations in Australia, South Africa, and several European jurisdictions.</w:t>
      </w:r>
    </w:p>
    <w:p w:rsidR="00000000" w:rsidDel="00000000" w:rsidP="00000000" w:rsidRDefault="00000000" w:rsidRPr="00000000" w14:paraId="00000061">
      <w:pPr>
        <w:spacing w:after="120" w:before="120" w:line="360" w:lineRule="auto"/>
        <w:ind w:firstLine="720"/>
        <w:jc w:val="both"/>
        <w:rPr/>
      </w:pPr>
      <w:r w:rsidDel="00000000" w:rsidR="00000000" w:rsidRPr="00000000">
        <w:rPr>
          <w:rtl w:val="0"/>
        </w:rPr>
        <w:t xml:space="preserve">The Scandinavian welfare model, particularly as implemented in Sweden and Norway, treats juvenile offending primarily as a child welfare issue rather than a criminal justice problem. Responsibility for responding to juvenile delinquency rests primarily with social welfare authorities rather than criminal courts, with referral to the justice system reserved for the most serious offences. These systems consistently produce among the lowest youth incarceration rates and recidivism rates in the world, lending powerful empirical support to a welfare-first approach.</w:t>
      </w:r>
    </w:p>
    <w:p w:rsidR="00000000" w:rsidDel="00000000" w:rsidP="00000000" w:rsidRDefault="00000000" w:rsidRPr="00000000" w14:paraId="00000062">
      <w:pPr>
        <w:pStyle w:val="Heading1"/>
        <w:spacing w:after="160" w:before="320" w:lineRule="auto"/>
        <w:rPr/>
      </w:pPr>
      <w:r w:rsidDel="00000000" w:rsidR="00000000" w:rsidRPr="00000000">
        <w:rPr>
          <w:rtl w:val="0"/>
        </w:rPr>
        <w:t xml:space="preserve">IX. CONCLUSIONS AND POLICY RECOMMENDATIONS</w:t>
      </w:r>
    </w:p>
    <w:p w:rsidR="00000000" w:rsidDel="00000000" w:rsidP="00000000" w:rsidRDefault="00000000" w:rsidRPr="00000000" w14:paraId="00000063">
      <w:pPr>
        <w:pStyle w:val="Heading2"/>
        <w:rPr/>
      </w:pPr>
      <w:r w:rsidDel="00000000" w:rsidR="00000000" w:rsidRPr="00000000">
        <w:rPr>
          <w:rtl w:val="0"/>
        </w:rPr>
        <w:t xml:space="preserve">9.1 Conclusions</w:t>
      </w:r>
    </w:p>
    <w:p w:rsidR="00000000" w:rsidDel="00000000" w:rsidP="00000000" w:rsidRDefault="00000000" w:rsidRPr="00000000" w14:paraId="00000064">
      <w:pPr>
        <w:spacing w:after="120" w:before="120" w:line="360" w:lineRule="auto"/>
        <w:ind w:firstLine="720"/>
        <w:jc w:val="both"/>
        <w:rPr/>
      </w:pPr>
      <w:r w:rsidDel="00000000" w:rsidR="00000000" w:rsidRPr="00000000">
        <w:rPr>
          <w:rtl w:val="0"/>
        </w:rPr>
        <w:t xml:space="preserve">This paper has demonstrated that juvenile delinquency is a complex socio-legal phenomenon arising from the intersection of individual, family, community, and structural factors. The criminological literature establishes that effective juvenile justice must be grounded in an understanding of these multi-layered determinants and must prioritise rehabilitation and social reintegration over punitive deterrence. India's legal framework, as embodied in the JJ Act 2015, broadly reflects this rehabilitative philosophy but suffers from critical implementation deficits, resource constraints, and the contested provision for adult trial in heinous cases that sit uncomfortably with the overarching welfare orientation of the legislation.</w:t>
      </w:r>
    </w:p>
    <w:p w:rsidR="00000000" w:rsidDel="00000000" w:rsidP="00000000" w:rsidRDefault="00000000" w:rsidRPr="00000000" w14:paraId="00000065">
      <w:pPr>
        <w:spacing w:after="120" w:before="120" w:line="360" w:lineRule="auto"/>
        <w:ind w:firstLine="720"/>
        <w:jc w:val="both"/>
        <w:rPr/>
      </w:pPr>
      <w:r w:rsidDel="00000000" w:rsidR="00000000" w:rsidRPr="00000000">
        <w:rPr>
          <w:rtl w:val="0"/>
        </w:rPr>
        <w:t xml:space="preserve">The jurisprudential trajectory of the Supreme Court of India, from Sheela Barse to Bachpan Bachao Andolan and Gaurav Kumar,</w:t>
      </w:r>
      <w:r w:rsidDel="00000000" w:rsidR="00000000" w:rsidRPr="00000000">
        <w:rPr>
          <w:vertAlign w:val="superscript"/>
        </w:rPr>
        <w:footnoteReference w:customMarkFollows="0" w:id="42"/>
      </w:r>
      <w:r w:rsidDel="00000000" w:rsidR="00000000" w:rsidRPr="00000000">
        <w:rPr>
          <w:vertAlign w:val="superscript"/>
        </w:rPr>
        <w:footnoteReference w:customMarkFollows="0" w:id="43"/>
      </w:r>
      <w:r w:rsidDel="00000000" w:rsidR="00000000" w:rsidRPr="00000000">
        <w:rPr>
          <w:vertAlign w:val="superscript"/>
        </w:rPr>
        <w:footnoteReference w:customMarkFollows="0" w:id="44"/>
      </w:r>
      <w:r w:rsidDel="00000000" w:rsidR="00000000" w:rsidRPr="00000000">
        <w:rPr>
          <w:rtl w:val="0"/>
        </w:rPr>
        <w:t xml:space="preserve"> consistently affirms the constitutional obligation to treat every child in the justice system as a subject of rights and welfare rather than a target of punishment. Fulfilment of these obligations requires not merely legislative refinement but sustained political will, institutional investment, and the cultivation of a child-sensitive professional culture across all agencies of the juvenile justice system.</w:t>
      </w:r>
    </w:p>
    <w:p w:rsidR="00000000" w:rsidDel="00000000" w:rsidP="00000000" w:rsidRDefault="00000000" w:rsidRPr="00000000" w14:paraId="00000066">
      <w:pPr>
        <w:pStyle w:val="Heading2"/>
        <w:rPr/>
      </w:pPr>
      <w:r w:rsidDel="00000000" w:rsidR="00000000" w:rsidRPr="00000000">
        <w:rPr>
          <w:rtl w:val="0"/>
        </w:rPr>
        <w:t xml:space="preserve">9.2 Policy Recommendations</w:t>
      </w:r>
    </w:p>
    <w:p w:rsidR="00000000" w:rsidDel="00000000" w:rsidP="00000000" w:rsidRDefault="00000000" w:rsidRPr="00000000" w14:paraId="00000067">
      <w:pPr>
        <w:spacing w:after="120" w:before="120" w:line="360" w:lineRule="auto"/>
        <w:ind w:firstLine="720"/>
        <w:jc w:val="both"/>
        <w:rPr/>
      </w:pPr>
      <w:r w:rsidDel="00000000" w:rsidR="00000000" w:rsidRPr="00000000">
        <w:rPr>
          <w:rtl w:val="0"/>
        </w:rPr>
        <w:t xml:space="preserve">On the basis of the foregoing analysis, the following policy recommendations are advanced:</w:t>
      </w:r>
    </w:p>
    <w:p w:rsidR="00000000" w:rsidDel="00000000" w:rsidP="00000000" w:rsidRDefault="00000000" w:rsidRPr="00000000" w14:paraId="00000068">
      <w:pPr>
        <w:spacing w:after="120" w:before="120" w:line="360" w:lineRule="auto"/>
        <w:ind w:firstLine="720"/>
        <w:jc w:val="both"/>
        <w:rPr/>
      </w:pPr>
      <w:r w:rsidDel="00000000" w:rsidR="00000000" w:rsidRPr="00000000">
        <w:rPr>
          <w:rtl w:val="0"/>
        </w:rPr>
        <w:t xml:space="preserve">First, the Section 15 provision for adult trial of sixteen-to-eighteen-year-old offenders should be reconsidered in light of evolving international standards, neuroscientific evidence on adolescent brain development, and India's obligations under the CRC. If retained, rigorous procedural safeguards, including mandatory multidisciplinary assessment and independent judicial oversight, must be strictly enforced.</w:t>
      </w:r>
    </w:p>
    <w:p w:rsidR="00000000" w:rsidDel="00000000" w:rsidP="00000000" w:rsidRDefault="00000000" w:rsidRPr="00000000" w14:paraId="00000069">
      <w:pPr>
        <w:spacing w:after="120" w:before="120" w:line="360" w:lineRule="auto"/>
        <w:ind w:firstLine="720"/>
        <w:jc w:val="both"/>
        <w:rPr/>
      </w:pPr>
      <w:r w:rsidDel="00000000" w:rsidR="00000000" w:rsidRPr="00000000">
        <w:rPr>
          <w:rtl w:val="0"/>
        </w:rPr>
        <w:t xml:space="preserve">Second, every State and Union Territory should establish the full complement of JJBs, Child Welfare Committees, Special Juvenile Police Units, and institutional facilities required by the JJ Act 2015, with dedicated and adequate funding. The Central Government should exercise its oversight responsibilities under Section 107 of the Act to ensure compliance.</w:t>
      </w:r>
      <w:r w:rsidDel="00000000" w:rsidR="00000000" w:rsidRPr="00000000">
        <w:rPr>
          <w:vertAlign w:val="superscript"/>
        </w:rPr>
        <w:footnoteReference w:customMarkFollows="0" w:id="45"/>
      </w:r>
      <w:r w:rsidDel="00000000" w:rsidR="00000000" w:rsidRPr="00000000">
        <w:rPr>
          <w:rtl w:val="0"/>
        </w:rPr>
      </w:r>
    </w:p>
    <w:p w:rsidR="00000000" w:rsidDel="00000000" w:rsidP="00000000" w:rsidRDefault="00000000" w:rsidRPr="00000000" w14:paraId="0000006A">
      <w:pPr>
        <w:spacing w:after="120" w:before="120" w:line="360" w:lineRule="auto"/>
        <w:ind w:firstLine="720"/>
        <w:jc w:val="both"/>
        <w:rPr/>
      </w:pPr>
      <w:r w:rsidDel="00000000" w:rsidR="00000000" w:rsidRPr="00000000">
        <w:rPr>
          <w:rtl w:val="0"/>
        </w:rPr>
        <w:t xml:space="preserve">Third, a national juvenile justice training curriculum should be developed and mandatorily implemented for all stakeholders—police, JJB members, institution staff, probation officers, and legal aid lawyers—covering child rights, child psychology, trauma-informed practice, and child-friendly interviewing and communication techniques.</w:t>
      </w:r>
    </w:p>
    <w:p w:rsidR="00000000" w:rsidDel="00000000" w:rsidP="00000000" w:rsidRDefault="00000000" w:rsidRPr="00000000" w14:paraId="0000006B">
      <w:pPr>
        <w:spacing w:after="120" w:before="120" w:line="360" w:lineRule="auto"/>
        <w:ind w:firstLine="720"/>
        <w:jc w:val="both"/>
        <w:rPr/>
      </w:pPr>
      <w:r w:rsidDel="00000000" w:rsidR="00000000" w:rsidRPr="00000000">
        <w:rPr>
          <w:rtl w:val="0"/>
        </w:rPr>
        <w:t xml:space="preserve">Fourth, restorative justice mechanisms, including victim-offender mediation and community conferencing, should be systematically expanded as alternatives to formal prosecution for first-time and minor offenders, with adequate training and funding for facilitators and support services for victims.</w:t>
      </w:r>
    </w:p>
    <w:p w:rsidR="00000000" w:rsidDel="00000000" w:rsidP="00000000" w:rsidRDefault="00000000" w:rsidRPr="00000000" w14:paraId="0000006C">
      <w:pPr>
        <w:spacing w:after="120" w:before="120" w:line="360" w:lineRule="auto"/>
        <w:ind w:firstLine="720"/>
        <w:jc w:val="both"/>
        <w:rPr/>
      </w:pPr>
      <w:r w:rsidDel="00000000" w:rsidR="00000000" w:rsidRPr="00000000">
        <w:rPr>
          <w:rtl w:val="0"/>
        </w:rPr>
        <w:t xml:space="preserve">Fifth, all juvenile detention facilities should be required to provide accredited formal education and vocational training, access to qualified mental health professionals, and structured recreational and cultural programming. Regular independent inspections with publicly reported findings should be mandated to ensure compliance.</w:t>
      </w:r>
    </w:p>
    <w:p w:rsidR="00000000" w:rsidDel="00000000" w:rsidP="00000000" w:rsidRDefault="00000000" w:rsidRPr="00000000" w14:paraId="0000006D">
      <w:pPr>
        <w:spacing w:after="120" w:before="120" w:line="360" w:lineRule="auto"/>
        <w:ind w:firstLine="720"/>
        <w:jc w:val="both"/>
        <w:rPr/>
      </w:pPr>
      <w:r w:rsidDel="00000000" w:rsidR="00000000" w:rsidRPr="00000000">
        <w:rPr>
          <w:rtl w:val="0"/>
        </w:rPr>
        <w:t xml:space="preserve">Sixth, comprehensive aftercare programmes should be established in every State, providing housing, employment placement, family counselling, and mentorship support for a minimum of three years post-release to all young persons discharged from the juvenile justice system.</w:t>
      </w:r>
    </w:p>
    <w:p w:rsidR="00000000" w:rsidDel="00000000" w:rsidP="00000000" w:rsidRDefault="00000000" w:rsidRPr="00000000" w14:paraId="0000006E">
      <w:pPr>
        <w:spacing w:after="120" w:before="120" w:line="360" w:lineRule="auto"/>
        <w:ind w:firstLine="720"/>
        <w:jc w:val="both"/>
        <w:rPr/>
      </w:pPr>
      <w:r w:rsidDel="00000000" w:rsidR="00000000" w:rsidRPr="00000000">
        <w:rPr>
          <w:rtl w:val="0"/>
        </w:rPr>
        <w:t xml:space="preserve">Seventh, a national juvenile justice data system should be established to collect, analyse, and publish longitudinal data on juvenile offending, system responses, programme outcomes, and recidivism rates, enabling evidence-based policy-making and public accountability.</w:t>
      </w:r>
    </w:p>
    <w:p w:rsidR="00000000" w:rsidDel="00000000" w:rsidP="00000000" w:rsidRDefault="00000000" w:rsidRPr="00000000" w14:paraId="0000006F">
      <w:pPr>
        <w:spacing w:after="120" w:before="120" w:line="360" w:lineRule="auto"/>
        <w:ind w:firstLine="720"/>
        <w:jc w:val="both"/>
        <w:rPr/>
      </w:pPr>
      <w:r w:rsidDel="00000000" w:rsidR="00000000" w:rsidRPr="00000000">
        <w:rPr>
          <w:rtl w:val="0"/>
        </w:rPr>
        <w:t xml:space="preserve">Eighth, primary prevention should be accorded the highest policy priority, through investment in early childhood development, quality universal education, community-based youth programmes, parenting support, and poverty alleviation, recognising that the most cost-effective juvenile justice intervention is one that prevents delinquency from occurring in the first place.</w:t>
      </w:r>
    </w:p>
    <w:p w:rsidR="00000000" w:rsidDel="00000000" w:rsidP="00000000" w:rsidRDefault="00000000" w:rsidRPr="00000000" w14:paraId="00000070">
      <w:pPr>
        <w:spacing w:after="120" w:before="120" w:line="360" w:lineRule="auto"/>
        <w:ind w:firstLine="720"/>
        <w:jc w:val="both"/>
        <w:rPr/>
      </w:pPr>
      <w:r w:rsidDel="00000000" w:rsidR="00000000" w:rsidRPr="00000000">
        <w:rPr>
          <w:rtl w:val="0"/>
        </w:rPr>
        <w:t xml:space="preserve">In conclusion, the reformation and rehabilitation of juvenile delinquents is not merely a legal imperative but a moral one. Every child who enters the justice system represents a societal failure that demands systemic remedy. A just, effective, and humane juvenile justice system—one that treats every young offender as a person capable of growth and worthy of investment—is both achievable and essential to India's constitutional commitment to the welfare, dignity, and future of its children.</w:t>
      </w:r>
    </w:p>
    <w:p w:rsidR="00000000" w:rsidDel="00000000" w:rsidP="00000000" w:rsidRDefault="00000000" w:rsidRPr="00000000" w14:paraId="00000071">
      <w:pPr>
        <w:rPr/>
      </w:pPr>
      <w:r w:rsidDel="00000000" w:rsidR="00000000" w:rsidRPr="00000000">
        <w:br w:type="page"/>
      </w:r>
      <w:r w:rsidDel="00000000" w:rsidR="00000000" w:rsidRPr="00000000">
        <w:rPr>
          <w:rtl w:val="0"/>
        </w:rPr>
      </w:r>
    </w:p>
    <w:p w:rsidR="00000000" w:rsidDel="00000000" w:rsidP="00000000" w:rsidRDefault="00000000" w:rsidRPr="00000000" w14:paraId="00000072">
      <w:pPr>
        <w:pStyle w:val="Heading1"/>
        <w:spacing w:after="160" w:before="320" w:lineRule="auto"/>
        <w:jc w:val="center"/>
        <w:rPr/>
      </w:pPr>
      <w:r w:rsidDel="00000000" w:rsidR="00000000" w:rsidRPr="00000000">
        <w:rPr>
          <w:rtl w:val="0"/>
        </w:rPr>
        <w:t xml:space="preserve">BIBLIOGRAPHY</w:t>
      </w:r>
    </w:p>
    <w:p w:rsidR="00000000" w:rsidDel="00000000" w:rsidP="00000000" w:rsidRDefault="00000000" w:rsidRPr="00000000" w14:paraId="00000073">
      <w:pPr>
        <w:pBdr>
          <w:bottom w:color="000000" w:space="1" w:sz="6" w:val="single"/>
        </w:pBdr>
        <w:spacing w:after="240" w:before="240" w:lineRule="auto"/>
        <w:rPr/>
      </w:pPr>
      <w:r w:rsidDel="00000000" w:rsidR="00000000" w:rsidRPr="00000000">
        <w:rPr>
          <w:rtl w:val="0"/>
        </w:rPr>
      </w:r>
    </w:p>
    <w:p w:rsidR="00000000" w:rsidDel="00000000" w:rsidP="00000000" w:rsidRDefault="00000000" w:rsidRPr="00000000" w14:paraId="00000074">
      <w:pPr>
        <w:spacing w:after="120" w:before="120" w:lineRule="auto"/>
        <w:jc w:val="center"/>
        <w:rPr/>
      </w:pPr>
      <w:r w:rsidDel="00000000" w:rsidR="00000000" w:rsidRPr="00000000">
        <w:rPr>
          <w:b w:val="1"/>
          <w:bCs w:val="1"/>
          <w:rtl w:val="0"/>
        </w:rPr>
        <w:t xml:space="preserve">A. LEGISLATION</w:t>
      </w:r>
      <w:r w:rsidDel="00000000" w:rsidR="00000000" w:rsidRPr="00000000">
        <w:rPr>
          <w:rtl w:val="0"/>
        </w:rPr>
      </w:r>
    </w:p>
    <w:p w:rsidR="00000000" w:rsidDel="00000000" w:rsidP="00000000" w:rsidRDefault="00000000" w:rsidRPr="00000000" w14:paraId="00000075">
      <w:pPr>
        <w:spacing w:after="60" w:before="60" w:lineRule="auto"/>
        <w:rPr/>
      </w:pPr>
      <w:r w:rsidDel="00000000" w:rsidR="00000000" w:rsidRPr="00000000">
        <w:rPr>
          <w:rtl w:val="0"/>
        </w:rPr>
      </w:r>
    </w:p>
    <w:p w:rsidR="00000000" w:rsidDel="00000000" w:rsidP="00000000" w:rsidRDefault="00000000" w:rsidRPr="00000000" w14:paraId="00000076">
      <w:pPr>
        <w:spacing w:after="120" w:before="120" w:line="360" w:lineRule="auto"/>
        <w:jc w:val="both"/>
        <w:rPr/>
      </w:pPr>
      <w:r w:rsidDel="00000000" w:rsidR="00000000" w:rsidRPr="00000000">
        <w:rPr>
          <w:rtl w:val="0"/>
        </w:rPr>
        <w:t xml:space="preserve">Children Act, 1960 (No. 60 of 1960) (India).</w:t>
      </w:r>
    </w:p>
    <w:p w:rsidR="00000000" w:rsidDel="00000000" w:rsidP="00000000" w:rsidRDefault="00000000" w:rsidRPr="00000000" w14:paraId="00000077">
      <w:pPr>
        <w:spacing w:after="120" w:before="120" w:line="360" w:lineRule="auto"/>
        <w:jc w:val="both"/>
        <w:rPr/>
      </w:pPr>
      <w:r w:rsidDel="00000000" w:rsidR="00000000" w:rsidRPr="00000000">
        <w:rPr>
          <w:rtl w:val="0"/>
        </w:rPr>
        <w:t xml:space="preserve">Constitution of India, 1950, arts 15(3), 21A, 39(f), 45.</w:t>
      </w:r>
    </w:p>
    <w:p w:rsidR="00000000" w:rsidDel="00000000" w:rsidP="00000000" w:rsidRDefault="00000000" w:rsidRPr="00000000" w14:paraId="00000078">
      <w:pPr>
        <w:spacing w:after="120" w:before="120" w:line="360" w:lineRule="auto"/>
        <w:jc w:val="both"/>
        <w:rPr/>
      </w:pPr>
      <w:r w:rsidDel="00000000" w:rsidR="00000000" w:rsidRPr="00000000">
        <w:rPr>
          <w:rtl w:val="0"/>
        </w:rPr>
        <w:t xml:space="preserve">Juvenile Justice (Care and Protection of Children) Act, 2000 (No. 56 of 2000) (India).</w:t>
      </w:r>
    </w:p>
    <w:p w:rsidR="00000000" w:rsidDel="00000000" w:rsidP="00000000" w:rsidRDefault="00000000" w:rsidRPr="00000000" w14:paraId="00000079">
      <w:pPr>
        <w:spacing w:after="120" w:before="120" w:line="360" w:lineRule="auto"/>
        <w:jc w:val="both"/>
        <w:rPr/>
      </w:pPr>
      <w:r w:rsidDel="00000000" w:rsidR="00000000" w:rsidRPr="00000000">
        <w:rPr>
          <w:rtl w:val="0"/>
        </w:rPr>
        <w:t xml:space="preserve">Juvenile Justice (Care and Protection of Children) Act, 2015 (No. 2 of 2016) (India).</w:t>
      </w:r>
    </w:p>
    <w:p w:rsidR="00000000" w:rsidDel="00000000" w:rsidP="00000000" w:rsidRDefault="00000000" w:rsidRPr="00000000" w14:paraId="0000007A">
      <w:pPr>
        <w:spacing w:after="120" w:before="120" w:line="360" w:lineRule="auto"/>
        <w:jc w:val="both"/>
        <w:rPr/>
      </w:pPr>
      <w:r w:rsidDel="00000000" w:rsidR="00000000" w:rsidRPr="00000000">
        <w:rPr>
          <w:rtl w:val="0"/>
        </w:rPr>
        <w:t xml:space="preserve">Juvenile Justice (Care and Protection of Children) Model Rules, 2016 (India).</w:t>
      </w:r>
    </w:p>
    <w:p w:rsidR="00000000" w:rsidDel="00000000" w:rsidP="00000000" w:rsidRDefault="00000000" w:rsidRPr="00000000" w14:paraId="0000007B">
      <w:pPr>
        <w:spacing w:after="120" w:before="120" w:line="360" w:lineRule="auto"/>
        <w:jc w:val="both"/>
        <w:rPr/>
      </w:pPr>
      <w:r w:rsidDel="00000000" w:rsidR="00000000" w:rsidRPr="00000000">
        <w:rPr>
          <w:rtl w:val="0"/>
        </w:rPr>
        <w:t xml:space="preserve">Protection of Children from Sexual Offences Act, 2012 (No. 32 of 2012) (India).</w:t>
      </w:r>
    </w:p>
    <w:p w:rsidR="00000000" w:rsidDel="00000000" w:rsidP="00000000" w:rsidRDefault="00000000" w:rsidRPr="00000000" w14:paraId="0000007C">
      <w:pPr>
        <w:spacing w:after="120" w:before="120" w:line="360" w:lineRule="auto"/>
        <w:jc w:val="both"/>
        <w:rPr/>
      </w:pPr>
      <w:r w:rsidDel="00000000" w:rsidR="00000000" w:rsidRPr="00000000">
        <w:rPr>
          <w:rtl w:val="0"/>
        </w:rPr>
        <w:t xml:space="preserve">Right of Children to Free and Compulsory Education Act, 2009 (No. 35 of 2009) (India).</w:t>
      </w:r>
    </w:p>
    <w:p w:rsidR="00000000" w:rsidDel="00000000" w:rsidP="00000000" w:rsidRDefault="00000000" w:rsidRPr="00000000" w14:paraId="0000007D">
      <w:pPr>
        <w:spacing w:after="60" w:before="60" w:lineRule="auto"/>
        <w:rPr/>
      </w:pPr>
      <w:r w:rsidDel="00000000" w:rsidR="00000000" w:rsidRPr="00000000">
        <w:rPr>
          <w:rtl w:val="0"/>
        </w:rPr>
      </w:r>
    </w:p>
    <w:p w:rsidR="00000000" w:rsidDel="00000000" w:rsidP="00000000" w:rsidRDefault="00000000" w:rsidRPr="00000000" w14:paraId="0000007E">
      <w:pPr>
        <w:spacing w:after="120" w:before="120" w:lineRule="auto"/>
        <w:jc w:val="center"/>
        <w:rPr/>
      </w:pPr>
      <w:r w:rsidDel="00000000" w:rsidR="00000000" w:rsidRPr="00000000">
        <w:rPr>
          <w:b w:val="1"/>
          <w:bCs w:val="1"/>
          <w:rtl w:val="0"/>
        </w:rPr>
        <w:t xml:space="preserve">B. INTERNATIONAL INSTRUMENTS</w:t>
      </w:r>
      <w:r w:rsidDel="00000000" w:rsidR="00000000" w:rsidRPr="00000000">
        <w:rPr>
          <w:rtl w:val="0"/>
        </w:rPr>
      </w:r>
    </w:p>
    <w:p w:rsidR="00000000" w:rsidDel="00000000" w:rsidP="00000000" w:rsidRDefault="00000000" w:rsidRPr="00000000" w14:paraId="0000007F">
      <w:pPr>
        <w:spacing w:after="60" w:before="60" w:lineRule="auto"/>
        <w:rPr/>
      </w:pPr>
      <w:r w:rsidDel="00000000" w:rsidR="00000000" w:rsidRPr="00000000">
        <w:rPr>
          <w:rtl w:val="0"/>
        </w:rPr>
      </w:r>
    </w:p>
    <w:p w:rsidR="00000000" w:rsidDel="00000000" w:rsidP="00000000" w:rsidRDefault="00000000" w:rsidRPr="00000000" w14:paraId="00000080">
      <w:pPr>
        <w:spacing w:after="120" w:before="120" w:line="360" w:lineRule="auto"/>
        <w:jc w:val="both"/>
        <w:rPr/>
      </w:pPr>
      <w:r w:rsidDel="00000000" w:rsidR="00000000" w:rsidRPr="00000000">
        <w:rPr>
          <w:rtl w:val="0"/>
        </w:rPr>
        <w:t xml:space="preserve">Convention on the Rights of the Child, adopted 20 November 1989, 1577 UNTS 3 (entered into force 2 September 1990).</w:t>
      </w:r>
    </w:p>
    <w:p w:rsidR="00000000" w:rsidDel="00000000" w:rsidP="00000000" w:rsidRDefault="00000000" w:rsidRPr="00000000" w14:paraId="00000081">
      <w:pPr>
        <w:spacing w:after="120" w:before="120" w:line="360" w:lineRule="auto"/>
        <w:jc w:val="both"/>
        <w:rPr/>
      </w:pPr>
      <w:r w:rsidDel="00000000" w:rsidR="00000000" w:rsidRPr="00000000">
        <w:rPr>
          <w:rtl w:val="0"/>
        </w:rPr>
        <w:t xml:space="preserve">UN Guidelines for the Prevention of Juvenile Delinquency (Riyadh Guidelines), G.A. Res. 45/112 (1990).</w:t>
      </w:r>
    </w:p>
    <w:p w:rsidR="00000000" w:rsidDel="00000000" w:rsidP="00000000" w:rsidRDefault="00000000" w:rsidRPr="00000000" w14:paraId="00000082">
      <w:pPr>
        <w:spacing w:after="120" w:before="120" w:line="360" w:lineRule="auto"/>
        <w:jc w:val="both"/>
        <w:rPr/>
      </w:pPr>
      <w:r w:rsidDel="00000000" w:rsidR="00000000" w:rsidRPr="00000000">
        <w:rPr>
          <w:rtl w:val="0"/>
        </w:rPr>
        <w:t xml:space="preserve">UN Rules for the Protection of Juveniles Deprived of their Liberty (Havana Rules), G.A. Res. 45/113 (1990).</w:t>
      </w:r>
    </w:p>
    <w:p w:rsidR="00000000" w:rsidDel="00000000" w:rsidP="00000000" w:rsidRDefault="00000000" w:rsidRPr="00000000" w14:paraId="00000083">
      <w:pPr>
        <w:spacing w:after="120" w:before="120" w:line="360" w:lineRule="auto"/>
        <w:jc w:val="both"/>
        <w:rPr/>
      </w:pPr>
      <w:r w:rsidDel="00000000" w:rsidR="00000000" w:rsidRPr="00000000">
        <w:rPr>
          <w:rtl w:val="0"/>
        </w:rPr>
        <w:t xml:space="preserve">UN Standard Minimum Rules for the Administration of Juvenile Justice (Beijing Rules), G.A. Res. 40/33 (1985).</w:t>
      </w:r>
    </w:p>
    <w:p w:rsidR="00000000" w:rsidDel="00000000" w:rsidP="00000000" w:rsidRDefault="00000000" w:rsidRPr="00000000" w14:paraId="00000084">
      <w:pPr>
        <w:spacing w:after="120" w:before="120" w:line="360" w:lineRule="auto"/>
        <w:jc w:val="both"/>
        <w:rPr/>
      </w:pPr>
      <w:r w:rsidDel="00000000" w:rsidR="00000000" w:rsidRPr="00000000">
        <w:rPr>
          <w:rtl w:val="0"/>
        </w:rPr>
        <w:t xml:space="preserve">UN Standard Minimum Rules for Non-Custodial Measures (Tokyo Rules), G.A. Res. 45/110 (1990).</w:t>
      </w:r>
    </w:p>
    <w:p w:rsidR="00000000" w:rsidDel="00000000" w:rsidP="00000000" w:rsidRDefault="00000000" w:rsidRPr="00000000" w14:paraId="00000085">
      <w:pPr>
        <w:spacing w:after="60" w:before="60" w:lineRule="auto"/>
        <w:rPr/>
      </w:pPr>
      <w:r w:rsidDel="00000000" w:rsidR="00000000" w:rsidRPr="00000000">
        <w:rPr>
          <w:rtl w:val="0"/>
        </w:rPr>
      </w:r>
    </w:p>
    <w:p w:rsidR="00000000" w:rsidDel="00000000" w:rsidP="00000000" w:rsidRDefault="00000000" w:rsidRPr="00000000" w14:paraId="00000086">
      <w:pPr>
        <w:spacing w:after="120" w:before="120" w:lineRule="auto"/>
        <w:jc w:val="center"/>
        <w:rPr/>
      </w:pPr>
      <w:r w:rsidDel="00000000" w:rsidR="00000000" w:rsidRPr="00000000">
        <w:rPr>
          <w:b w:val="1"/>
          <w:bCs w:val="1"/>
          <w:rtl w:val="0"/>
        </w:rPr>
        <w:t xml:space="preserve">C. CASE LAW</w:t>
      </w:r>
      <w:r w:rsidDel="00000000" w:rsidR="00000000" w:rsidRPr="00000000">
        <w:rPr>
          <w:rtl w:val="0"/>
        </w:rPr>
      </w:r>
    </w:p>
    <w:p w:rsidR="00000000" w:rsidDel="00000000" w:rsidP="00000000" w:rsidRDefault="00000000" w:rsidRPr="00000000" w14:paraId="00000087">
      <w:pPr>
        <w:spacing w:after="60" w:before="60" w:lineRule="auto"/>
        <w:rPr/>
      </w:pPr>
      <w:r w:rsidDel="00000000" w:rsidR="00000000" w:rsidRPr="00000000">
        <w:rPr>
          <w:rtl w:val="0"/>
        </w:rPr>
      </w:r>
    </w:p>
    <w:p w:rsidR="00000000" w:rsidDel="00000000" w:rsidP="00000000" w:rsidRDefault="00000000" w:rsidRPr="00000000" w14:paraId="00000088">
      <w:pPr>
        <w:spacing w:after="120" w:before="120" w:line="360" w:lineRule="auto"/>
        <w:jc w:val="both"/>
        <w:rPr/>
      </w:pPr>
      <w:r w:rsidDel="00000000" w:rsidR="00000000" w:rsidRPr="00000000">
        <w:rPr>
          <w:rtl w:val="0"/>
        </w:rPr>
        <w:t xml:space="preserve">Bachpan Bachao Andolan v Union of India (2011) 5 SCC 1 (Supreme Court of India).</w:t>
      </w:r>
    </w:p>
    <w:p w:rsidR="00000000" w:rsidDel="00000000" w:rsidP="00000000" w:rsidRDefault="00000000" w:rsidRPr="00000000" w14:paraId="00000089">
      <w:pPr>
        <w:spacing w:after="120" w:before="120" w:line="360" w:lineRule="auto"/>
        <w:jc w:val="both"/>
        <w:rPr/>
      </w:pPr>
      <w:r w:rsidDel="00000000" w:rsidR="00000000" w:rsidRPr="00000000">
        <w:rPr>
          <w:rtl w:val="0"/>
        </w:rPr>
        <w:t xml:space="preserve">Gaurav Kumar v State of Haryana (2015) 3 SCC 247 (Supreme Court of India).</w:t>
      </w:r>
    </w:p>
    <w:p w:rsidR="00000000" w:rsidDel="00000000" w:rsidP="00000000" w:rsidRDefault="00000000" w:rsidRPr="00000000" w14:paraId="0000008A">
      <w:pPr>
        <w:spacing w:after="120" w:before="120" w:line="360" w:lineRule="auto"/>
        <w:jc w:val="both"/>
        <w:rPr/>
      </w:pPr>
      <w:r w:rsidDel="00000000" w:rsidR="00000000" w:rsidRPr="00000000">
        <w:rPr>
          <w:rtl w:val="0"/>
        </w:rPr>
        <w:t xml:space="preserve">Graham v Florida 560 US 48 (2010) (United States Supreme Court).</w:t>
      </w:r>
    </w:p>
    <w:p w:rsidR="00000000" w:rsidDel="00000000" w:rsidP="00000000" w:rsidRDefault="00000000" w:rsidRPr="00000000" w14:paraId="0000008B">
      <w:pPr>
        <w:spacing w:after="120" w:before="120" w:line="360" w:lineRule="auto"/>
        <w:jc w:val="both"/>
        <w:rPr/>
      </w:pPr>
      <w:r w:rsidDel="00000000" w:rsidR="00000000" w:rsidRPr="00000000">
        <w:rPr>
          <w:rtl w:val="0"/>
        </w:rPr>
        <w:t xml:space="preserve">Miller v Alabama 567 US 460 (2012) (United States Supreme Court).</w:t>
      </w:r>
    </w:p>
    <w:p w:rsidR="00000000" w:rsidDel="00000000" w:rsidP="00000000" w:rsidRDefault="00000000" w:rsidRPr="00000000" w14:paraId="0000008C">
      <w:pPr>
        <w:spacing w:after="120" w:before="120" w:line="360" w:lineRule="auto"/>
        <w:jc w:val="both"/>
        <w:rPr/>
      </w:pPr>
      <w:r w:rsidDel="00000000" w:rsidR="00000000" w:rsidRPr="00000000">
        <w:rPr>
          <w:rtl w:val="0"/>
        </w:rPr>
        <w:t xml:space="preserve">Roper v Simmons 543 US 551 (2005) (United States Supreme Court).</w:t>
      </w:r>
    </w:p>
    <w:p w:rsidR="00000000" w:rsidDel="00000000" w:rsidP="00000000" w:rsidRDefault="00000000" w:rsidRPr="00000000" w14:paraId="0000008D">
      <w:pPr>
        <w:spacing w:after="120" w:before="120" w:line="360" w:lineRule="auto"/>
        <w:jc w:val="both"/>
        <w:rPr/>
      </w:pPr>
      <w:r w:rsidDel="00000000" w:rsidR="00000000" w:rsidRPr="00000000">
        <w:rPr>
          <w:rtl w:val="0"/>
        </w:rPr>
        <w:t xml:space="preserve">Salil Bali v Union of India (2013) 7 SCC 705 (Supreme Court of India).</w:t>
      </w:r>
    </w:p>
    <w:p w:rsidR="00000000" w:rsidDel="00000000" w:rsidP="00000000" w:rsidRDefault="00000000" w:rsidRPr="00000000" w14:paraId="0000008E">
      <w:pPr>
        <w:spacing w:after="120" w:before="120" w:line="360" w:lineRule="auto"/>
        <w:jc w:val="both"/>
        <w:rPr/>
      </w:pPr>
      <w:r w:rsidDel="00000000" w:rsidR="00000000" w:rsidRPr="00000000">
        <w:rPr>
          <w:rtl w:val="0"/>
        </w:rPr>
        <w:t xml:space="preserve">Sheela Barse v Union of India (1986) 3 SCC 596 (Supreme Court of India).</w:t>
      </w:r>
    </w:p>
    <w:p w:rsidR="00000000" w:rsidDel="00000000" w:rsidP="00000000" w:rsidRDefault="00000000" w:rsidRPr="00000000" w14:paraId="0000008F">
      <w:pPr>
        <w:spacing w:after="60" w:before="60" w:lineRule="auto"/>
        <w:rPr/>
      </w:pPr>
      <w:r w:rsidDel="00000000" w:rsidR="00000000" w:rsidRPr="00000000">
        <w:rPr>
          <w:rtl w:val="0"/>
        </w:rPr>
      </w:r>
    </w:p>
    <w:p w:rsidR="00000000" w:rsidDel="00000000" w:rsidP="00000000" w:rsidRDefault="00000000" w:rsidRPr="00000000" w14:paraId="00000090">
      <w:pPr>
        <w:spacing w:after="120" w:before="120" w:lineRule="auto"/>
        <w:jc w:val="center"/>
        <w:rPr/>
      </w:pPr>
      <w:r w:rsidDel="00000000" w:rsidR="00000000" w:rsidRPr="00000000">
        <w:rPr>
          <w:b w:val="1"/>
          <w:bCs w:val="1"/>
          <w:rtl w:val="0"/>
        </w:rPr>
        <w:t xml:space="preserve">D. BOOKS AND MONOGRAPHS</w:t>
      </w:r>
      <w:r w:rsidDel="00000000" w:rsidR="00000000" w:rsidRPr="00000000">
        <w:rPr>
          <w:rtl w:val="0"/>
        </w:rPr>
      </w:r>
    </w:p>
    <w:p w:rsidR="00000000" w:rsidDel="00000000" w:rsidP="00000000" w:rsidRDefault="00000000" w:rsidRPr="00000000" w14:paraId="00000091">
      <w:pPr>
        <w:spacing w:after="60" w:before="60" w:lineRule="auto"/>
        <w:rPr/>
      </w:pPr>
      <w:r w:rsidDel="00000000" w:rsidR="00000000" w:rsidRPr="00000000">
        <w:rPr>
          <w:rtl w:val="0"/>
        </w:rPr>
      </w:r>
    </w:p>
    <w:p w:rsidR="00000000" w:rsidDel="00000000" w:rsidP="00000000" w:rsidRDefault="00000000" w:rsidRPr="00000000" w14:paraId="00000092">
      <w:pPr>
        <w:spacing w:after="120" w:before="120" w:line="360" w:lineRule="auto"/>
        <w:jc w:val="both"/>
        <w:rPr/>
      </w:pPr>
      <w:r w:rsidDel="00000000" w:rsidR="00000000" w:rsidRPr="00000000">
        <w:rPr>
          <w:rtl w:val="0"/>
        </w:rPr>
        <w:t xml:space="preserve">Bronfenbrenner U, The Ecology of Human Development: Experiments by Nature and Design (Harvard University Press 1979).</w:t>
      </w:r>
    </w:p>
    <w:p w:rsidR="00000000" w:rsidDel="00000000" w:rsidP="00000000" w:rsidRDefault="00000000" w:rsidRPr="00000000" w14:paraId="00000093">
      <w:pPr>
        <w:spacing w:after="120" w:before="120" w:line="360" w:lineRule="auto"/>
        <w:jc w:val="both"/>
        <w:rPr/>
      </w:pPr>
      <w:r w:rsidDel="00000000" w:rsidR="00000000" w:rsidRPr="00000000">
        <w:rPr>
          <w:rtl w:val="0"/>
        </w:rPr>
        <w:t xml:space="preserve">Farrington DP and Welsh BC, Saving Children from a Life of Crime: Early Risk Factors and Effective Interventions (Oxford University Press 2007).</w:t>
      </w:r>
    </w:p>
    <w:p w:rsidR="00000000" w:rsidDel="00000000" w:rsidP="00000000" w:rsidRDefault="00000000" w:rsidRPr="00000000" w14:paraId="00000094">
      <w:pPr>
        <w:spacing w:after="120" w:before="120" w:line="360" w:lineRule="auto"/>
        <w:jc w:val="both"/>
        <w:rPr/>
      </w:pPr>
      <w:r w:rsidDel="00000000" w:rsidR="00000000" w:rsidRPr="00000000">
        <w:rPr>
          <w:rtl w:val="0"/>
        </w:rPr>
        <w:t xml:space="preserve">Hirschi T, Causes of Delinquency (University of California Press 1969).</w:t>
      </w:r>
    </w:p>
    <w:p w:rsidR="00000000" w:rsidDel="00000000" w:rsidP="00000000" w:rsidRDefault="00000000" w:rsidRPr="00000000" w14:paraId="00000095">
      <w:pPr>
        <w:spacing w:after="120" w:before="120" w:line="360" w:lineRule="auto"/>
        <w:jc w:val="both"/>
        <w:rPr/>
      </w:pPr>
      <w:r w:rsidDel="00000000" w:rsidR="00000000" w:rsidRPr="00000000">
        <w:rPr>
          <w:rtl w:val="0"/>
        </w:rPr>
        <w:t xml:space="preserve">Muncie J, Youth and Crime (4th edn, SAGE 2015).</w:t>
      </w:r>
    </w:p>
    <w:p w:rsidR="00000000" w:rsidDel="00000000" w:rsidP="00000000" w:rsidRDefault="00000000" w:rsidRPr="00000000" w14:paraId="00000096">
      <w:pPr>
        <w:spacing w:after="120" w:before="120" w:line="360" w:lineRule="auto"/>
        <w:jc w:val="both"/>
        <w:rPr/>
      </w:pPr>
      <w:r w:rsidDel="00000000" w:rsidR="00000000" w:rsidRPr="00000000">
        <w:rPr>
          <w:rtl w:val="0"/>
        </w:rPr>
        <w:t xml:space="preserve">Paranjape NV, Criminology, Penology and Victimology (17th edn, Central Law Publications 2020).</w:t>
      </w:r>
    </w:p>
    <w:p w:rsidR="00000000" w:rsidDel="00000000" w:rsidP="00000000" w:rsidRDefault="00000000" w:rsidRPr="00000000" w14:paraId="00000097">
      <w:pPr>
        <w:spacing w:after="120" w:before="120" w:line="360" w:lineRule="auto"/>
        <w:jc w:val="both"/>
        <w:rPr/>
      </w:pPr>
      <w:r w:rsidDel="00000000" w:rsidR="00000000" w:rsidRPr="00000000">
        <w:rPr>
          <w:rtl w:val="0"/>
        </w:rPr>
        <w:t xml:space="preserve">Snyder HN and Sickmund M, Juvenile Offenders and Victims: 2006 National Report (Office of Juvenile Justice and Delinquency Prevention 2006).</w:t>
      </w:r>
    </w:p>
    <w:p w:rsidR="00000000" w:rsidDel="00000000" w:rsidP="00000000" w:rsidRDefault="00000000" w:rsidRPr="00000000" w14:paraId="00000098">
      <w:pPr>
        <w:spacing w:after="120" w:before="120" w:line="360" w:lineRule="auto"/>
        <w:jc w:val="both"/>
        <w:rPr/>
      </w:pPr>
      <w:r w:rsidDel="00000000" w:rsidR="00000000" w:rsidRPr="00000000">
        <w:rPr>
          <w:rtl w:val="0"/>
        </w:rPr>
        <w:t xml:space="preserve">Sutherland EH, Principles of Criminology (4th edn, JB Lippincott 1947).</w:t>
      </w:r>
    </w:p>
    <w:p w:rsidR="00000000" w:rsidDel="00000000" w:rsidP="00000000" w:rsidRDefault="00000000" w:rsidRPr="00000000" w14:paraId="00000099">
      <w:pPr>
        <w:spacing w:after="60" w:before="60" w:lineRule="auto"/>
        <w:rPr/>
      </w:pPr>
      <w:r w:rsidDel="00000000" w:rsidR="00000000" w:rsidRPr="00000000">
        <w:rPr>
          <w:rtl w:val="0"/>
        </w:rPr>
      </w:r>
    </w:p>
    <w:p w:rsidR="00000000" w:rsidDel="00000000" w:rsidP="00000000" w:rsidRDefault="00000000" w:rsidRPr="00000000" w14:paraId="0000009A">
      <w:pPr>
        <w:spacing w:after="120" w:before="120" w:lineRule="auto"/>
        <w:jc w:val="center"/>
        <w:rPr/>
      </w:pPr>
      <w:r w:rsidDel="00000000" w:rsidR="00000000" w:rsidRPr="00000000">
        <w:rPr>
          <w:b w:val="1"/>
          <w:bCs w:val="1"/>
          <w:rtl w:val="0"/>
        </w:rPr>
        <w:t xml:space="preserve">E. JOURNAL ARTICLES</w:t>
      </w:r>
      <w:r w:rsidDel="00000000" w:rsidR="00000000" w:rsidRPr="00000000">
        <w:rPr>
          <w:rtl w:val="0"/>
        </w:rPr>
      </w:r>
    </w:p>
    <w:p w:rsidR="00000000" w:rsidDel="00000000" w:rsidP="00000000" w:rsidRDefault="00000000" w:rsidRPr="00000000" w14:paraId="0000009B">
      <w:pPr>
        <w:spacing w:after="60" w:before="60" w:lineRule="auto"/>
        <w:rPr/>
      </w:pPr>
      <w:r w:rsidDel="00000000" w:rsidR="00000000" w:rsidRPr="00000000">
        <w:rPr>
          <w:rtl w:val="0"/>
        </w:rPr>
      </w:r>
    </w:p>
    <w:p w:rsidR="00000000" w:rsidDel="00000000" w:rsidP="00000000" w:rsidRDefault="00000000" w:rsidRPr="00000000" w14:paraId="0000009C">
      <w:pPr>
        <w:spacing w:after="120" w:before="120" w:line="360" w:lineRule="auto"/>
        <w:jc w:val="both"/>
        <w:rPr/>
      </w:pPr>
      <w:r w:rsidDel="00000000" w:rsidR="00000000" w:rsidRPr="00000000">
        <w:rPr>
          <w:rtl w:val="0"/>
        </w:rPr>
        <w:t xml:space="preserve">Lipsey MW, 'The Primary Factors that Characterize Effective Interventions with Juvenile Offenders: A Meta-Analytic Overview' (2009) 4(4) Victims &amp; Offenders 124.</w:t>
      </w:r>
    </w:p>
    <w:p w:rsidR="00000000" w:rsidDel="00000000" w:rsidP="00000000" w:rsidRDefault="00000000" w:rsidRPr="00000000" w14:paraId="0000009D">
      <w:pPr>
        <w:spacing w:after="120" w:before="120" w:line="360" w:lineRule="auto"/>
        <w:jc w:val="both"/>
        <w:rPr/>
      </w:pPr>
      <w:r w:rsidDel="00000000" w:rsidR="00000000" w:rsidRPr="00000000">
        <w:rPr>
          <w:rtl w:val="0"/>
        </w:rPr>
        <w:t xml:space="preserve">Merton RK, 'Social Structure and Anomie' (1938) 3(5) American Sociological Review 672.</w:t>
      </w:r>
    </w:p>
    <w:p w:rsidR="00000000" w:rsidDel="00000000" w:rsidP="00000000" w:rsidRDefault="00000000" w:rsidRPr="00000000" w14:paraId="0000009E">
      <w:pPr>
        <w:spacing w:after="120" w:before="120" w:line="360" w:lineRule="auto"/>
        <w:jc w:val="both"/>
        <w:rPr/>
      </w:pPr>
      <w:r w:rsidDel="00000000" w:rsidR="00000000" w:rsidRPr="00000000">
        <w:rPr>
          <w:rtl w:val="0"/>
        </w:rPr>
        <w:t xml:space="preserve">Sinha S, 'Juvenile Justice System in India: A Critical Appraisal' (2017) 59(1) Journal of the Indian Law Institute 45.</w:t>
      </w:r>
    </w:p>
    <w:p w:rsidR="00000000" w:rsidDel="00000000" w:rsidP="00000000" w:rsidRDefault="00000000" w:rsidRPr="00000000" w14:paraId="0000009F">
      <w:pPr>
        <w:spacing w:after="120" w:before="120" w:line="360" w:lineRule="auto"/>
        <w:jc w:val="both"/>
        <w:rPr/>
      </w:pPr>
      <w:r w:rsidDel="00000000" w:rsidR="00000000" w:rsidRPr="00000000">
        <w:rPr>
          <w:rtl w:val="0"/>
        </w:rPr>
        <w:t xml:space="preserve">Steinberg L, 'Should the Science of Adolescent Brain Development Inform Public Policy?' (2009) 64(8) American Psychologist 739.</w:t>
      </w:r>
    </w:p>
    <w:p w:rsidR="00000000" w:rsidDel="00000000" w:rsidP="00000000" w:rsidRDefault="00000000" w:rsidRPr="00000000" w14:paraId="000000A0">
      <w:pPr>
        <w:spacing w:after="120" w:before="120" w:line="360" w:lineRule="auto"/>
        <w:jc w:val="both"/>
        <w:rPr/>
      </w:pPr>
      <w:r w:rsidDel="00000000" w:rsidR="00000000" w:rsidRPr="00000000">
        <w:rPr>
          <w:rtl w:val="0"/>
        </w:rPr>
        <w:t xml:space="preserve">Zehnder LA and others, 'Trauma, Mental Health, and Juvenile Delinquency' (2020) 18(2) Youth Violence and Juvenile Justice 119.</w:t>
      </w:r>
    </w:p>
    <w:p w:rsidR="00000000" w:rsidDel="00000000" w:rsidP="00000000" w:rsidRDefault="00000000" w:rsidRPr="00000000" w14:paraId="000000A1">
      <w:pPr>
        <w:spacing w:after="60" w:before="60" w:lineRule="auto"/>
        <w:rPr/>
      </w:pPr>
      <w:r w:rsidDel="00000000" w:rsidR="00000000" w:rsidRPr="00000000">
        <w:rPr>
          <w:rtl w:val="0"/>
        </w:rPr>
      </w:r>
    </w:p>
    <w:p w:rsidR="00000000" w:rsidDel="00000000" w:rsidP="00000000" w:rsidRDefault="00000000" w:rsidRPr="00000000" w14:paraId="000000A2">
      <w:pPr>
        <w:spacing w:after="120" w:before="120" w:lineRule="auto"/>
        <w:jc w:val="center"/>
        <w:rPr/>
      </w:pPr>
      <w:r w:rsidDel="00000000" w:rsidR="00000000" w:rsidRPr="00000000">
        <w:rPr>
          <w:b w:val="1"/>
          <w:bCs w:val="1"/>
          <w:rtl w:val="0"/>
        </w:rPr>
        <w:t xml:space="preserve">F. REPORTS AND OFFICIAL DOCUMENTS</w:t>
      </w:r>
      <w:r w:rsidDel="00000000" w:rsidR="00000000" w:rsidRPr="00000000">
        <w:rPr>
          <w:rtl w:val="0"/>
        </w:rPr>
      </w:r>
    </w:p>
    <w:p w:rsidR="00000000" w:rsidDel="00000000" w:rsidP="00000000" w:rsidRDefault="00000000" w:rsidRPr="00000000" w14:paraId="000000A3">
      <w:pPr>
        <w:spacing w:after="60" w:before="60" w:lineRule="auto"/>
        <w:rPr/>
      </w:pPr>
      <w:r w:rsidDel="00000000" w:rsidR="00000000" w:rsidRPr="00000000">
        <w:rPr>
          <w:rtl w:val="0"/>
        </w:rPr>
      </w:r>
    </w:p>
    <w:p w:rsidR="00000000" w:rsidDel="00000000" w:rsidP="00000000" w:rsidRDefault="00000000" w:rsidRPr="00000000" w14:paraId="000000A4">
      <w:pPr>
        <w:spacing w:after="120" w:before="120" w:line="360" w:lineRule="auto"/>
        <w:jc w:val="both"/>
        <w:rPr/>
      </w:pPr>
      <w:r w:rsidDel="00000000" w:rsidR="00000000" w:rsidRPr="00000000">
        <w:rPr>
          <w:rtl w:val="0"/>
        </w:rPr>
        <w:t xml:space="preserve">Law Commission of India, Early Childhood Development and Legal Entitlements, Report No. 259 (Government of India 2015).</w:t>
      </w:r>
    </w:p>
    <w:p w:rsidR="00000000" w:rsidDel="00000000" w:rsidP="00000000" w:rsidRDefault="00000000" w:rsidRPr="00000000" w14:paraId="000000A5">
      <w:pPr>
        <w:spacing w:after="120" w:before="120" w:line="360" w:lineRule="auto"/>
        <w:jc w:val="both"/>
        <w:rPr/>
      </w:pPr>
      <w:r w:rsidDel="00000000" w:rsidR="00000000" w:rsidRPr="00000000">
        <w:rPr>
          <w:rtl w:val="0"/>
        </w:rPr>
        <w:t xml:space="preserve">Ministry of Women and Child Development, Annual Report 2022–23 (Government of India 2023).</w:t>
      </w:r>
    </w:p>
    <w:p w:rsidR="00000000" w:rsidDel="00000000" w:rsidP="00000000" w:rsidRDefault="00000000" w:rsidRPr="00000000" w14:paraId="000000A6">
      <w:pPr>
        <w:spacing w:after="120" w:before="120" w:line="360" w:lineRule="auto"/>
        <w:jc w:val="both"/>
        <w:rPr/>
      </w:pPr>
      <w:r w:rsidDel="00000000" w:rsidR="00000000" w:rsidRPr="00000000">
        <w:rPr>
          <w:rtl w:val="0"/>
        </w:rPr>
        <w:t xml:space="preserve">National Crime Records Bureau, Crime in India – 2022 Statistics (Ministry of Home Affairs, Government of India 2023).</w:t>
      </w:r>
    </w:p>
    <w:p w:rsidR="00000000" w:rsidDel="00000000" w:rsidP="00000000" w:rsidRDefault="00000000" w:rsidRPr="00000000" w14:paraId="000000A7">
      <w:pPr>
        <w:spacing w:after="120" w:before="120" w:line="360" w:lineRule="auto"/>
        <w:jc w:val="both"/>
        <w:rPr/>
      </w:pPr>
      <w:r w:rsidDel="00000000" w:rsidR="00000000" w:rsidRPr="00000000">
        <w:rPr>
          <w:rtl w:val="0"/>
        </w:rPr>
        <w:t xml:space="preserve">National Policy for Children, 2013 (Government of India).</w:t>
      </w:r>
    </w:p>
    <w:p w:rsidR="00000000" w:rsidDel="00000000" w:rsidP="00000000" w:rsidRDefault="00000000" w:rsidRPr="00000000" w14:paraId="000000A8">
      <w:pPr>
        <w:spacing w:after="120" w:before="120" w:line="360" w:lineRule="auto"/>
        <w:jc w:val="both"/>
        <w:rPr/>
      </w:pPr>
      <w:r w:rsidDel="00000000" w:rsidR="00000000" w:rsidRPr="00000000">
        <w:rPr>
          <w:rtl w:val="0"/>
        </w:rPr>
        <w:t xml:space="preserve">UNICEF, Justice for Every Child: Global Status Report on Juvenile Justice 2019 (UNICEF 2019).</w:t>
      </w:r>
    </w:p>
    <w:p w:rsidR="00000000" w:rsidDel="00000000" w:rsidP="00000000" w:rsidRDefault="00000000" w:rsidRPr="00000000" w14:paraId="000000A9">
      <w:pPr>
        <w:spacing w:after="120" w:before="120" w:line="360" w:lineRule="auto"/>
        <w:jc w:val="both"/>
        <w:rPr/>
      </w:pPr>
      <w:r w:rsidDel="00000000" w:rsidR="00000000" w:rsidRPr="00000000">
        <w:rPr>
          <w:rtl w:val="0"/>
        </w:rPr>
        <w:t xml:space="preserve">World Health Organization, Adolescent Mental Health: A Call for Action (WHO 2020).</w:t>
      </w:r>
    </w:p>
    <w:p w:rsidR="00000000" w:rsidDel="00000000" w:rsidP="00000000" w:rsidRDefault="00000000" w:rsidRPr="00000000" w14:paraId="000000AA">
      <w:pPr>
        <w:spacing w:after="60" w:before="60" w:lineRule="auto"/>
        <w:rPr/>
      </w:pPr>
      <w:r w:rsidDel="00000000" w:rsidR="00000000" w:rsidRPr="00000000">
        <w:rPr>
          <w:rtl w:val="0"/>
        </w:rPr>
      </w:r>
    </w:p>
    <w:p w:rsidR="00000000" w:rsidDel="00000000" w:rsidP="00000000" w:rsidRDefault="00000000" w:rsidRPr="00000000" w14:paraId="000000AB">
      <w:pPr>
        <w:spacing w:after="120" w:before="120" w:lineRule="auto"/>
        <w:jc w:val="center"/>
        <w:rPr/>
      </w:pPr>
      <w:r w:rsidDel="00000000" w:rsidR="00000000" w:rsidRPr="00000000">
        <w:rPr>
          <w:b w:val="1"/>
          <w:bCs w:val="1"/>
          <w:rtl w:val="0"/>
        </w:rPr>
        <w:t xml:space="preserve">G. BOOK CHAPTERS AND EDITED VOLUMES</w:t>
      </w:r>
      <w:r w:rsidDel="00000000" w:rsidR="00000000" w:rsidRPr="00000000">
        <w:rPr>
          <w:rtl w:val="0"/>
        </w:rPr>
      </w:r>
    </w:p>
    <w:p w:rsidR="00000000" w:rsidDel="00000000" w:rsidP="00000000" w:rsidRDefault="00000000" w:rsidRPr="00000000" w14:paraId="000000AC">
      <w:pPr>
        <w:spacing w:after="60" w:before="60" w:lineRule="auto"/>
        <w:rPr/>
      </w:pPr>
      <w:r w:rsidDel="00000000" w:rsidR="00000000" w:rsidRPr="00000000">
        <w:rPr>
          <w:rtl w:val="0"/>
        </w:rPr>
      </w:r>
    </w:p>
    <w:p w:rsidR="00000000" w:rsidDel="00000000" w:rsidP="00000000" w:rsidRDefault="00000000" w:rsidRPr="00000000" w14:paraId="000000AD">
      <w:pPr>
        <w:spacing w:after="120" w:before="120" w:line="360" w:lineRule="auto"/>
        <w:jc w:val="both"/>
        <w:rPr/>
      </w:pPr>
      <w:r w:rsidDel="00000000" w:rsidR="00000000" w:rsidRPr="00000000">
        <w:rPr>
          <w:rtl w:val="0"/>
        </w:rPr>
        <w:t xml:space="preserve">Dugan P and others, 'Restorative Justice and Recidivism: Promises Made, Promises Kept?' in Sullivan D and Tifft L (eds), Handbook of Restorative Justice (Routledge 2006).</w:t>
      </w:r>
    </w:p>
    <w:p w:rsidR="00000000" w:rsidDel="00000000" w:rsidP="00000000" w:rsidRDefault="00000000" w:rsidRPr="00000000" w14:paraId="000000AE">
      <w:pPr>
        <w:spacing w:after="60" w:before="60" w:lineRule="auto"/>
        <w:rPr/>
      </w:pPr>
      <w:r w:rsidDel="00000000" w:rsidR="00000000" w:rsidRPr="00000000">
        <w:rPr>
          <w:rtl w:val="0"/>
        </w:rPr>
      </w:r>
    </w:p>
    <w:p w:rsidR="00000000" w:rsidDel="00000000" w:rsidP="00000000" w:rsidRDefault="00000000" w:rsidRPr="00000000" w14:paraId="000000AF">
      <w:pPr>
        <w:spacing w:after="80" w:before="80" w:lineRule="auto"/>
        <w:jc w:val="center"/>
        <w:rPr/>
      </w:pPr>
      <w:r w:rsidDel="00000000" w:rsidR="00000000" w:rsidRPr="00000000">
        <w:rPr>
          <w:rtl w:val="0"/>
        </w:rPr>
      </w:r>
    </w:p>
    <w:p w:rsidR="00000000" w:rsidDel="00000000" w:rsidP="00000000" w:rsidRDefault="00000000" w:rsidRPr="00000000" w14:paraId="000000B0">
      <w:pPr>
        <w:spacing w:after="80" w:before="80" w:lineRule="auto"/>
        <w:jc w:val="center"/>
        <w:rPr/>
      </w:pPr>
      <w:r w:rsidDel="00000000" w:rsidR="00000000" w:rsidRPr="00000000">
        <w:rPr>
          <w:rtl w:val="0"/>
        </w:rPr>
      </w:r>
    </w:p>
    <w:p w:rsidR="00000000" w:rsidDel="00000000" w:rsidP="00000000" w:rsidRDefault="00000000" w:rsidRPr="00000000" w14:paraId="000000B1">
      <w:pPr>
        <w:spacing w:after="80" w:before="80" w:lineRule="auto"/>
        <w:jc w:val="center"/>
        <w:rPr/>
      </w:pPr>
      <w:r w:rsidDel="00000000" w:rsidR="00000000" w:rsidRPr="00000000">
        <w:rPr>
          <w:rtl w:val="0"/>
        </w:rPr>
      </w:r>
    </w:p>
    <w:p w:rsidR="00000000" w:rsidDel="00000000" w:rsidP="00000000" w:rsidRDefault="00000000" w:rsidRPr="00000000" w14:paraId="000000B2">
      <w:pPr>
        <w:spacing w:after="80" w:before="80" w:lineRule="auto"/>
        <w:jc w:val="center"/>
        <w:rPr/>
      </w:pPr>
      <w:r w:rsidDel="00000000" w:rsidR="00000000" w:rsidRPr="00000000">
        <w:rPr>
          <w:rtl w:val="0"/>
        </w:rPr>
      </w:r>
    </w:p>
    <w:p w:rsidR="00000000" w:rsidDel="00000000" w:rsidP="00000000" w:rsidRDefault="00000000" w:rsidRPr="00000000" w14:paraId="000000B3">
      <w:pPr>
        <w:spacing w:after="80" w:before="80" w:lineRule="auto"/>
        <w:jc w:val="center"/>
        <w:rPr/>
      </w:pPr>
      <w:r w:rsidDel="00000000" w:rsidR="00000000" w:rsidRPr="00000000">
        <w:rPr>
          <w:rtl w:val="0"/>
        </w:rPr>
      </w:r>
    </w:p>
    <w:p w:rsidR="00000000" w:rsidDel="00000000" w:rsidP="00000000" w:rsidRDefault="00000000" w:rsidRPr="00000000" w14:paraId="000000B4">
      <w:pPr>
        <w:spacing w:after="80" w:before="80" w:lineRule="auto"/>
        <w:jc w:val="center"/>
        <w:rPr/>
      </w:pPr>
      <w:r w:rsidDel="00000000" w:rsidR="00000000" w:rsidRPr="00000000">
        <w:rPr>
          <w:rtl w:val="0"/>
        </w:rPr>
      </w:r>
    </w:p>
    <w:p w:rsidR="00000000" w:rsidDel="00000000" w:rsidP="00000000" w:rsidRDefault="00000000" w:rsidRPr="00000000" w14:paraId="000000B5">
      <w:pPr>
        <w:spacing w:after="80" w:before="80" w:lineRule="auto"/>
        <w:jc w:val="center"/>
        <w:rPr/>
      </w:pPr>
      <w:r w:rsidDel="00000000" w:rsidR="00000000" w:rsidRPr="00000000">
        <w:rPr>
          <w:rtl w:val="0"/>
        </w:rPr>
      </w:r>
    </w:p>
    <w:sectPr>
      <w:headerReference r:id="rId7" w:type="default"/>
      <w:footerReference r:id="rId8" w:type="default"/>
      <w:pgSz w:h="15840" w:w="12240" w:orient="portrait"/>
      <w:pgMar w:bottom="1440" w:top="1440" w:left="1440" w:right="126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D">
    <w:pPr>
      <w:pBdr>
        <w:top w:color="000000" w:space="1" w:sz="4" w:val="single"/>
      </w:pBdr>
      <w:jc w:val="center"/>
      <w:rPr/>
    </w:pPr>
    <w:r w:rsidDel="00000000" w:rsidR="00000000" w:rsidRPr="00000000">
      <w:rPr>
        <w:sz w:val="20"/>
        <w:szCs w:val="20"/>
        <w:rtl w:val="0"/>
      </w:rPr>
      <w:t xml:space="preserve">Page </w:t>
    </w:r>
    <w:r w:rsidDel="00000000" w:rsidR="00000000" w:rsidRPr="00000000">
      <w:rPr>
        <w:sz w:val="20"/>
        <w:szCs w:val="20"/>
      </w:rPr>
      <w:fldChar w:fldCharType="begin"/>
      <w:instrText xml:space="preserve">PAGE</w:instrText>
      <w:fldChar w:fldCharType="separate"/>
      <w:fldChar w:fldCharType="end"/>
    </w:r>
    <w:r w:rsidDel="00000000" w:rsidR="00000000" w:rsidRPr="00000000">
      <w:rPr>
        <w:sz w:val="20"/>
        <w:szCs w:val="20"/>
        <w:rtl w:val="0"/>
      </w:rPr>
      <w:t xml:space="preserve"> of </w:t>
    </w:r>
    <w:r w:rsidDel="00000000" w:rsidR="00000000" w:rsidRPr="00000000">
      <w:rPr>
        <w:sz w:val="20"/>
        <w:szCs w:val="20"/>
      </w:rPr>
      <w:fldChar w:fldCharType="begin"/>
      <w:instrText xml:space="preserve">NUMPAGES</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B6">
      <w:pPr>
        <w:rPr/>
      </w:pPr>
      <w:r w:rsidDel="00000000" w:rsidR="00000000" w:rsidRPr="00000000">
        <w:rPr>
          <w:rStyle w:val="FootnoteReference"/>
          <w:vertAlign w:val="superscript"/>
        </w:rPr>
        <w:footnoteRef/>
      </w:r>
      <w:r w:rsidDel="00000000" w:rsidR="00000000" w:rsidRPr="00000000">
        <w:rPr>
          <w:sz w:val="20"/>
          <w:szCs w:val="20"/>
          <w:rtl w:val="0"/>
        </w:rPr>
        <w:t xml:space="preserve">United Nations Standard Minimum Rules for the Administration of Juvenile Justice (Beijing Rules), G.A. Res. 40/33 (1985), Rule 2.2(a).</w:t>
      </w:r>
      <w:r w:rsidDel="00000000" w:rsidR="00000000" w:rsidRPr="00000000">
        <w:rPr>
          <w:rtl w:val="0"/>
        </w:rPr>
      </w:r>
    </w:p>
  </w:footnote>
  <w:footnote w:id="1">
    <w:p w:rsidR="00000000" w:rsidDel="00000000" w:rsidP="00000000" w:rsidRDefault="00000000" w:rsidRPr="00000000" w14:paraId="000000B7">
      <w:pPr>
        <w:rPr/>
      </w:pPr>
      <w:r w:rsidDel="00000000" w:rsidR="00000000" w:rsidRPr="00000000">
        <w:rPr>
          <w:rStyle w:val="FootnoteReference"/>
          <w:vertAlign w:val="superscript"/>
        </w:rPr>
        <w:footnoteRef/>
      </w:r>
      <w:r w:rsidDel="00000000" w:rsidR="00000000" w:rsidRPr="00000000">
        <w:rPr>
          <w:sz w:val="20"/>
          <w:szCs w:val="20"/>
          <w:rtl w:val="0"/>
        </w:rPr>
        <w:t xml:space="preserve">Juvenile Justice (Care and Protection of Children) Act, 2015, No. 2 of 2016, Preamble (India).</w:t>
      </w:r>
      <w:r w:rsidDel="00000000" w:rsidR="00000000" w:rsidRPr="00000000">
        <w:rPr>
          <w:rtl w:val="0"/>
        </w:rPr>
      </w:r>
    </w:p>
  </w:footnote>
  <w:footnote w:id="2">
    <w:p w:rsidR="00000000" w:rsidDel="00000000" w:rsidP="00000000" w:rsidRDefault="00000000" w:rsidRPr="00000000" w14:paraId="000000B8">
      <w:pPr>
        <w:rPr/>
      </w:pPr>
      <w:r w:rsidDel="00000000" w:rsidR="00000000" w:rsidRPr="00000000">
        <w:rPr>
          <w:rStyle w:val="FootnoteReference"/>
          <w:vertAlign w:val="superscript"/>
        </w:rPr>
        <w:footnoteRef/>
      </w:r>
      <w:r w:rsidDel="00000000" w:rsidR="00000000" w:rsidRPr="00000000">
        <w:rPr>
          <w:sz w:val="20"/>
          <w:szCs w:val="20"/>
          <w:rtl w:val="0"/>
        </w:rPr>
        <w:t xml:space="preserve">National Crime Records Bureau, Crime in India – 2022 Statistics (Ministry of Home Affairs, Government of India, 2023) 321.</w:t>
      </w:r>
      <w:r w:rsidDel="00000000" w:rsidR="00000000" w:rsidRPr="00000000">
        <w:rPr>
          <w:rtl w:val="0"/>
        </w:rPr>
      </w:r>
    </w:p>
  </w:footnote>
  <w:footnote w:id="3">
    <w:p w:rsidR="00000000" w:rsidDel="00000000" w:rsidP="00000000" w:rsidRDefault="00000000" w:rsidRPr="00000000" w14:paraId="000000B9">
      <w:pPr>
        <w:rPr/>
      </w:pPr>
      <w:r w:rsidDel="00000000" w:rsidR="00000000" w:rsidRPr="00000000">
        <w:rPr>
          <w:rStyle w:val="FootnoteReference"/>
          <w:vertAlign w:val="superscript"/>
        </w:rPr>
        <w:footnoteRef/>
      </w:r>
      <w:r w:rsidDel="00000000" w:rsidR="00000000" w:rsidRPr="00000000">
        <w:rPr>
          <w:sz w:val="20"/>
          <w:szCs w:val="20"/>
          <w:rtl w:val="0"/>
        </w:rPr>
        <w:t xml:space="preserve">Robert K Merton, 'Social Structure and Anomie' (1938) 3(5) American Sociological Review 672, 678.</w:t>
      </w:r>
      <w:r w:rsidDel="00000000" w:rsidR="00000000" w:rsidRPr="00000000">
        <w:rPr>
          <w:rtl w:val="0"/>
        </w:rPr>
      </w:r>
    </w:p>
  </w:footnote>
  <w:footnote w:id="4">
    <w:p w:rsidR="00000000" w:rsidDel="00000000" w:rsidP="00000000" w:rsidRDefault="00000000" w:rsidRPr="00000000" w14:paraId="000000BA">
      <w:pPr>
        <w:rPr/>
      </w:pPr>
      <w:r w:rsidDel="00000000" w:rsidR="00000000" w:rsidRPr="00000000">
        <w:rPr>
          <w:rStyle w:val="FootnoteReference"/>
          <w:vertAlign w:val="superscript"/>
        </w:rPr>
        <w:footnoteRef/>
      </w:r>
      <w:r w:rsidDel="00000000" w:rsidR="00000000" w:rsidRPr="00000000">
        <w:rPr>
          <w:sz w:val="20"/>
          <w:szCs w:val="20"/>
          <w:rtl w:val="0"/>
        </w:rPr>
        <w:t xml:space="preserve">Travis Hirschi, Causes of Delinquency (University of California Press 1969) 16–34.</w:t>
      </w:r>
      <w:r w:rsidDel="00000000" w:rsidR="00000000" w:rsidRPr="00000000">
        <w:rPr>
          <w:rtl w:val="0"/>
        </w:rPr>
      </w:r>
    </w:p>
  </w:footnote>
  <w:footnote w:id="5">
    <w:p w:rsidR="00000000" w:rsidDel="00000000" w:rsidP="00000000" w:rsidRDefault="00000000" w:rsidRPr="00000000" w14:paraId="000000BB">
      <w:pPr>
        <w:rPr/>
      </w:pPr>
      <w:r w:rsidDel="00000000" w:rsidR="00000000" w:rsidRPr="00000000">
        <w:rPr>
          <w:rStyle w:val="FootnoteReference"/>
          <w:vertAlign w:val="superscript"/>
        </w:rPr>
        <w:footnoteRef/>
      </w:r>
      <w:r w:rsidDel="00000000" w:rsidR="00000000" w:rsidRPr="00000000">
        <w:rPr>
          <w:sz w:val="20"/>
          <w:szCs w:val="20"/>
          <w:rtl w:val="0"/>
        </w:rPr>
        <w:t xml:space="preserve">Edwin H Sutherland, Principles of Criminology (4th edn, JB Lippincott 1947) 6–7.</w:t>
      </w:r>
      <w:r w:rsidDel="00000000" w:rsidR="00000000" w:rsidRPr="00000000">
        <w:rPr>
          <w:rtl w:val="0"/>
        </w:rPr>
      </w:r>
    </w:p>
  </w:footnote>
  <w:footnote w:id="6">
    <w:p w:rsidR="00000000" w:rsidDel="00000000" w:rsidP="00000000" w:rsidRDefault="00000000" w:rsidRPr="00000000" w14:paraId="000000BC">
      <w:pPr>
        <w:rPr/>
      </w:pPr>
      <w:r w:rsidDel="00000000" w:rsidR="00000000" w:rsidRPr="00000000">
        <w:rPr>
          <w:rStyle w:val="FootnoteReference"/>
          <w:vertAlign w:val="superscript"/>
        </w:rPr>
        <w:footnoteRef/>
      </w:r>
      <w:r w:rsidDel="00000000" w:rsidR="00000000" w:rsidRPr="00000000">
        <w:rPr>
          <w:sz w:val="20"/>
          <w:szCs w:val="20"/>
          <w:rtl w:val="0"/>
        </w:rPr>
        <w:t xml:space="preserve">Urie Bronfenbrenner, The Ecology of Human Development: Experiments by Nature and Design (Harvard University Press 1979) 3.</w:t>
      </w:r>
      <w:r w:rsidDel="00000000" w:rsidR="00000000" w:rsidRPr="00000000">
        <w:rPr>
          <w:rtl w:val="0"/>
        </w:rPr>
      </w:r>
    </w:p>
  </w:footnote>
  <w:footnote w:id="7">
    <w:p w:rsidR="00000000" w:rsidDel="00000000" w:rsidP="00000000" w:rsidRDefault="00000000" w:rsidRPr="00000000" w14:paraId="000000BD">
      <w:pPr>
        <w:rPr/>
      </w:pPr>
      <w:r w:rsidDel="00000000" w:rsidR="00000000" w:rsidRPr="00000000">
        <w:rPr>
          <w:rStyle w:val="FootnoteReference"/>
          <w:vertAlign w:val="superscript"/>
        </w:rPr>
        <w:footnoteRef/>
      </w:r>
      <w:r w:rsidDel="00000000" w:rsidR="00000000" w:rsidRPr="00000000">
        <w:rPr>
          <w:sz w:val="20"/>
          <w:szCs w:val="20"/>
          <w:rtl w:val="0"/>
        </w:rPr>
        <w:t xml:space="preserve">Law Commission of India, Early Childhood Development and Legal Entitlements, Report No. 259 (Government of India, 2015) 67.</w:t>
      </w:r>
      <w:r w:rsidDel="00000000" w:rsidR="00000000" w:rsidRPr="00000000">
        <w:rPr>
          <w:rtl w:val="0"/>
        </w:rPr>
      </w:r>
    </w:p>
  </w:footnote>
  <w:footnote w:id="8">
    <w:p w:rsidR="00000000" w:rsidDel="00000000" w:rsidP="00000000" w:rsidRDefault="00000000" w:rsidRPr="00000000" w14:paraId="000000BE">
      <w:pPr>
        <w:rPr/>
      </w:pPr>
      <w:r w:rsidDel="00000000" w:rsidR="00000000" w:rsidRPr="00000000">
        <w:rPr>
          <w:rStyle w:val="FootnoteReference"/>
          <w:vertAlign w:val="superscript"/>
        </w:rPr>
        <w:footnoteRef/>
      </w:r>
      <w:r w:rsidDel="00000000" w:rsidR="00000000" w:rsidRPr="00000000">
        <w:rPr>
          <w:sz w:val="20"/>
          <w:szCs w:val="20"/>
          <w:rtl w:val="0"/>
        </w:rPr>
        <w:t xml:space="preserve">Laurence Steinberg, 'Should the Science of Adolescent Brain Development Inform Public Policy?' (2009) 64(8) American Psychologist 739, 742.</w:t>
      </w:r>
      <w:r w:rsidDel="00000000" w:rsidR="00000000" w:rsidRPr="00000000">
        <w:rPr>
          <w:rtl w:val="0"/>
        </w:rPr>
      </w:r>
    </w:p>
  </w:footnote>
  <w:footnote w:id="9">
    <w:p w:rsidR="00000000" w:rsidDel="00000000" w:rsidP="00000000" w:rsidRDefault="00000000" w:rsidRPr="00000000" w14:paraId="000000BF">
      <w:pPr>
        <w:rPr/>
      </w:pPr>
      <w:r w:rsidDel="00000000" w:rsidR="00000000" w:rsidRPr="00000000">
        <w:rPr>
          <w:rStyle w:val="FootnoteReference"/>
          <w:vertAlign w:val="superscript"/>
        </w:rPr>
        <w:footnoteRef/>
      </w:r>
      <w:r w:rsidDel="00000000" w:rsidR="00000000" w:rsidRPr="00000000">
        <w:rPr>
          <w:sz w:val="20"/>
          <w:szCs w:val="20"/>
          <w:rtl w:val="0"/>
        </w:rPr>
        <w:t xml:space="preserve">Lara A Zehnder and others, 'Trauma, Mental Health, and Juvenile Delinquency' (2020) 18(2) Youth Violence and Juvenile Justice 119, 127.</w:t>
      </w:r>
      <w:r w:rsidDel="00000000" w:rsidR="00000000" w:rsidRPr="00000000">
        <w:rPr>
          <w:rtl w:val="0"/>
        </w:rPr>
      </w:r>
    </w:p>
  </w:footnote>
  <w:footnote w:id="10">
    <w:p w:rsidR="00000000" w:rsidDel="00000000" w:rsidP="00000000" w:rsidRDefault="00000000" w:rsidRPr="00000000" w14:paraId="000000C0">
      <w:pPr>
        <w:rPr/>
      </w:pPr>
      <w:r w:rsidDel="00000000" w:rsidR="00000000" w:rsidRPr="00000000">
        <w:rPr>
          <w:rStyle w:val="FootnoteReference"/>
          <w:vertAlign w:val="superscript"/>
        </w:rPr>
        <w:footnoteRef/>
      </w:r>
      <w:r w:rsidDel="00000000" w:rsidR="00000000" w:rsidRPr="00000000">
        <w:rPr>
          <w:sz w:val="20"/>
          <w:szCs w:val="20"/>
          <w:rtl w:val="0"/>
        </w:rPr>
        <w:t xml:space="preserve">Convention on the Rights of the Child, adopted 20 November 1989, 1577 UNTS 3 (entered into force 2 September 1990), arts 37, 40.</w:t>
      </w:r>
      <w:r w:rsidDel="00000000" w:rsidR="00000000" w:rsidRPr="00000000">
        <w:rPr>
          <w:rtl w:val="0"/>
        </w:rPr>
      </w:r>
    </w:p>
  </w:footnote>
  <w:footnote w:id="11">
    <w:p w:rsidR="00000000" w:rsidDel="00000000" w:rsidP="00000000" w:rsidRDefault="00000000" w:rsidRPr="00000000" w14:paraId="000000C1">
      <w:pPr>
        <w:rPr/>
      </w:pPr>
      <w:r w:rsidDel="00000000" w:rsidR="00000000" w:rsidRPr="00000000">
        <w:rPr>
          <w:rStyle w:val="FootnoteReference"/>
          <w:vertAlign w:val="superscript"/>
        </w:rPr>
        <w:footnoteRef/>
      </w:r>
      <w:r w:rsidDel="00000000" w:rsidR="00000000" w:rsidRPr="00000000">
        <w:rPr>
          <w:sz w:val="20"/>
          <w:szCs w:val="20"/>
          <w:rtl w:val="0"/>
        </w:rPr>
        <w:t xml:space="preserve">UN Guidelines for the Prevention of Juvenile Delinquency (Riyadh Guidelines), G.A. Res. 45/112 (1990).</w:t>
      </w:r>
      <w:r w:rsidDel="00000000" w:rsidR="00000000" w:rsidRPr="00000000">
        <w:rPr>
          <w:rtl w:val="0"/>
        </w:rPr>
      </w:r>
    </w:p>
  </w:footnote>
  <w:footnote w:id="12">
    <w:p w:rsidR="00000000" w:rsidDel="00000000" w:rsidP="00000000" w:rsidRDefault="00000000" w:rsidRPr="00000000" w14:paraId="000000C2">
      <w:pPr>
        <w:rPr/>
      </w:pPr>
      <w:r w:rsidDel="00000000" w:rsidR="00000000" w:rsidRPr="00000000">
        <w:rPr>
          <w:rStyle w:val="FootnoteReference"/>
          <w:vertAlign w:val="superscript"/>
        </w:rPr>
        <w:footnoteRef/>
      </w:r>
      <w:r w:rsidDel="00000000" w:rsidR="00000000" w:rsidRPr="00000000">
        <w:rPr>
          <w:rtl w:val="0"/>
        </w:rPr>
      </w:r>
    </w:p>
    <w:p w:rsidR="00000000" w:rsidDel="00000000" w:rsidP="00000000" w:rsidRDefault="00000000" w:rsidRPr="00000000" w14:paraId="000000C3">
      <w:pPr>
        <w:rPr/>
      </w:pPr>
      <w:r w:rsidDel="00000000" w:rsidR="00000000" w:rsidRPr="00000000">
        <w:rPr>
          <w:rtl w:val="0"/>
        </w:rPr>
      </w:r>
    </w:p>
  </w:footnote>
  <w:footnote w:id="13">
    <w:p w:rsidR="00000000" w:rsidDel="00000000" w:rsidP="00000000" w:rsidRDefault="00000000" w:rsidRPr="00000000" w14:paraId="000000C4">
      <w:pPr>
        <w:rPr/>
      </w:pPr>
      <w:r w:rsidDel="00000000" w:rsidR="00000000" w:rsidRPr="00000000">
        <w:rPr>
          <w:rStyle w:val="FootnoteReference"/>
          <w:vertAlign w:val="superscript"/>
        </w:rPr>
        <w:footnoteRef/>
      </w:r>
      <w:r w:rsidDel="00000000" w:rsidR="00000000" w:rsidRPr="00000000">
        <w:rPr>
          <w:sz w:val="20"/>
          <w:szCs w:val="20"/>
          <w:rtl w:val="0"/>
        </w:rPr>
        <w:t xml:space="preserve">UN Rules for the Protection of Juveniles Deprived of their Liberty (JDL Rules / Havana Rules), G.A. Res. 45/113 (1990), Rule 1.</w:t>
      </w:r>
      <w:r w:rsidDel="00000000" w:rsidR="00000000" w:rsidRPr="00000000">
        <w:rPr>
          <w:rtl w:val="0"/>
        </w:rPr>
      </w:r>
    </w:p>
  </w:footnote>
  <w:footnote w:id="14">
    <w:p w:rsidR="00000000" w:rsidDel="00000000" w:rsidP="00000000" w:rsidRDefault="00000000" w:rsidRPr="00000000" w14:paraId="000000C5">
      <w:pPr>
        <w:rPr/>
      </w:pPr>
      <w:r w:rsidDel="00000000" w:rsidR="00000000" w:rsidRPr="00000000">
        <w:rPr>
          <w:rStyle w:val="FootnoteReference"/>
          <w:vertAlign w:val="superscript"/>
        </w:rPr>
        <w:footnoteRef/>
      </w:r>
      <w:r w:rsidDel="00000000" w:rsidR="00000000" w:rsidRPr="00000000">
        <w:rPr>
          <w:sz w:val="20"/>
          <w:szCs w:val="20"/>
          <w:rtl w:val="0"/>
        </w:rPr>
        <w:t xml:space="preserve">Children Act, 1960 (No. 60 of 1960), s 2(e) (India) (repealed).</w:t>
      </w:r>
      <w:r w:rsidDel="00000000" w:rsidR="00000000" w:rsidRPr="00000000">
        <w:rPr>
          <w:rtl w:val="0"/>
        </w:rPr>
      </w:r>
    </w:p>
  </w:footnote>
  <w:footnote w:id="15">
    <w:p w:rsidR="00000000" w:rsidDel="00000000" w:rsidP="00000000" w:rsidRDefault="00000000" w:rsidRPr="00000000" w14:paraId="000000C6">
      <w:pPr>
        <w:rPr/>
      </w:pPr>
      <w:r w:rsidDel="00000000" w:rsidR="00000000" w:rsidRPr="00000000">
        <w:rPr>
          <w:rStyle w:val="FootnoteReference"/>
          <w:vertAlign w:val="superscript"/>
        </w:rPr>
        <w:footnoteRef/>
      </w:r>
      <w:r w:rsidDel="00000000" w:rsidR="00000000" w:rsidRPr="00000000">
        <w:rPr>
          <w:sz w:val="20"/>
          <w:szCs w:val="20"/>
          <w:rtl w:val="0"/>
        </w:rPr>
        <w:t xml:space="preserve">Juvenile Justice (Care and Protection of Children) Act, 2000 (No. 56 of 2000), s 2(l) (India) (repealed).</w:t>
      </w:r>
      <w:r w:rsidDel="00000000" w:rsidR="00000000" w:rsidRPr="00000000">
        <w:rPr>
          <w:rtl w:val="0"/>
        </w:rPr>
      </w:r>
    </w:p>
  </w:footnote>
  <w:footnote w:id="16">
    <w:p w:rsidR="00000000" w:rsidDel="00000000" w:rsidP="00000000" w:rsidRDefault="00000000" w:rsidRPr="00000000" w14:paraId="000000C7">
      <w:pPr>
        <w:rPr/>
      </w:pPr>
      <w:r w:rsidDel="00000000" w:rsidR="00000000" w:rsidRPr="00000000">
        <w:rPr>
          <w:rStyle w:val="FootnoteReference"/>
          <w:vertAlign w:val="superscript"/>
        </w:rPr>
        <w:footnoteRef/>
      </w:r>
      <w:r w:rsidDel="00000000" w:rsidR="00000000" w:rsidRPr="00000000">
        <w:rPr>
          <w:sz w:val="20"/>
          <w:szCs w:val="20"/>
          <w:rtl w:val="0"/>
        </w:rPr>
        <w:t xml:space="preserve">Juvenile Justice (Care and Protection of Children) Act, 2015, s 2(12) (India).</w:t>
      </w:r>
      <w:r w:rsidDel="00000000" w:rsidR="00000000" w:rsidRPr="00000000">
        <w:rPr>
          <w:rtl w:val="0"/>
        </w:rPr>
      </w:r>
    </w:p>
  </w:footnote>
  <w:footnote w:id="17">
    <w:p w:rsidR="00000000" w:rsidDel="00000000" w:rsidP="00000000" w:rsidRDefault="00000000" w:rsidRPr="00000000" w14:paraId="000000C8">
      <w:pPr>
        <w:rPr/>
      </w:pPr>
      <w:r w:rsidDel="00000000" w:rsidR="00000000" w:rsidRPr="00000000">
        <w:rPr>
          <w:rStyle w:val="FootnoteReference"/>
          <w:vertAlign w:val="superscript"/>
        </w:rPr>
        <w:footnoteRef/>
      </w:r>
      <w:r w:rsidDel="00000000" w:rsidR="00000000" w:rsidRPr="00000000">
        <w:rPr>
          <w:sz w:val="20"/>
          <w:szCs w:val="20"/>
          <w:rtl w:val="0"/>
        </w:rPr>
        <w:t xml:space="preserve">Juvenile Justice (Care and Protection of Children) Act, 2015, s 15 (India).</w:t>
      </w:r>
      <w:r w:rsidDel="00000000" w:rsidR="00000000" w:rsidRPr="00000000">
        <w:rPr>
          <w:rtl w:val="0"/>
        </w:rPr>
      </w:r>
    </w:p>
  </w:footnote>
  <w:footnote w:id="18">
    <w:p w:rsidR="00000000" w:rsidDel="00000000" w:rsidP="00000000" w:rsidRDefault="00000000" w:rsidRPr="00000000" w14:paraId="000000C9">
      <w:pPr>
        <w:rPr/>
      </w:pPr>
      <w:r w:rsidDel="00000000" w:rsidR="00000000" w:rsidRPr="00000000">
        <w:rPr>
          <w:rStyle w:val="FootnoteReference"/>
          <w:vertAlign w:val="superscript"/>
        </w:rPr>
        <w:footnoteRef/>
      </w:r>
      <w:r w:rsidDel="00000000" w:rsidR="00000000" w:rsidRPr="00000000">
        <w:rPr>
          <w:sz w:val="20"/>
          <w:szCs w:val="20"/>
          <w:rtl w:val="0"/>
        </w:rPr>
        <w:t xml:space="preserve">Juvenile Justice (Care and Protection of Children) Act, 2015, ss 8–10 (India).</w:t>
      </w:r>
      <w:r w:rsidDel="00000000" w:rsidR="00000000" w:rsidRPr="00000000">
        <w:rPr>
          <w:rtl w:val="0"/>
        </w:rPr>
      </w:r>
    </w:p>
  </w:footnote>
  <w:footnote w:id="19">
    <w:p w:rsidR="00000000" w:rsidDel="00000000" w:rsidP="00000000" w:rsidRDefault="00000000" w:rsidRPr="00000000" w14:paraId="000000CA">
      <w:pPr>
        <w:rPr/>
      </w:pPr>
      <w:r w:rsidDel="00000000" w:rsidR="00000000" w:rsidRPr="00000000">
        <w:rPr>
          <w:rStyle w:val="FootnoteReference"/>
          <w:vertAlign w:val="superscript"/>
        </w:rPr>
        <w:footnoteRef/>
      </w:r>
      <w:r w:rsidDel="00000000" w:rsidR="00000000" w:rsidRPr="00000000">
        <w:rPr>
          <w:sz w:val="20"/>
          <w:szCs w:val="20"/>
          <w:rtl w:val="0"/>
        </w:rPr>
        <w:t xml:space="preserve">ibid s 9(3).</w:t>
      </w:r>
      <w:r w:rsidDel="00000000" w:rsidR="00000000" w:rsidRPr="00000000">
        <w:rPr>
          <w:rtl w:val="0"/>
        </w:rPr>
      </w:r>
    </w:p>
  </w:footnote>
  <w:footnote w:id="20">
    <w:p w:rsidR="00000000" w:rsidDel="00000000" w:rsidP="00000000" w:rsidRDefault="00000000" w:rsidRPr="00000000" w14:paraId="000000CB">
      <w:pPr>
        <w:rPr/>
      </w:pPr>
      <w:r w:rsidDel="00000000" w:rsidR="00000000" w:rsidRPr="00000000">
        <w:rPr>
          <w:rStyle w:val="FootnoteReference"/>
          <w:vertAlign w:val="superscript"/>
        </w:rPr>
        <w:footnoteRef/>
      </w:r>
      <w:r w:rsidDel="00000000" w:rsidR="00000000" w:rsidRPr="00000000">
        <w:rPr>
          <w:sz w:val="20"/>
          <w:szCs w:val="20"/>
          <w:rtl w:val="0"/>
        </w:rPr>
        <w:t xml:space="preserve">Juvenile Justice (Care and Protection of Children) Act, 2015, s 12 (India).</w:t>
      </w:r>
      <w:r w:rsidDel="00000000" w:rsidR="00000000" w:rsidRPr="00000000">
        <w:rPr>
          <w:rtl w:val="0"/>
        </w:rPr>
      </w:r>
    </w:p>
  </w:footnote>
  <w:footnote w:id="21">
    <w:p w:rsidR="00000000" w:rsidDel="00000000" w:rsidP="00000000" w:rsidRDefault="00000000" w:rsidRPr="00000000" w14:paraId="000000CC">
      <w:pPr>
        <w:rPr/>
      </w:pPr>
      <w:r w:rsidDel="00000000" w:rsidR="00000000" w:rsidRPr="00000000">
        <w:rPr>
          <w:rStyle w:val="FootnoteReference"/>
          <w:vertAlign w:val="superscript"/>
        </w:rPr>
        <w:footnoteRef/>
      </w:r>
      <w:r w:rsidDel="00000000" w:rsidR="00000000" w:rsidRPr="00000000">
        <w:rPr>
          <w:sz w:val="20"/>
          <w:szCs w:val="20"/>
          <w:rtl w:val="0"/>
        </w:rPr>
        <w:t xml:space="preserve">Sheela Barse v Union of India (1986) 3 SCC 596 (Supreme Court of India).</w:t>
      </w:r>
      <w:r w:rsidDel="00000000" w:rsidR="00000000" w:rsidRPr="00000000">
        <w:rPr>
          <w:rtl w:val="0"/>
        </w:rPr>
      </w:r>
    </w:p>
  </w:footnote>
  <w:footnote w:id="22">
    <w:p w:rsidR="00000000" w:rsidDel="00000000" w:rsidP="00000000" w:rsidRDefault="00000000" w:rsidRPr="00000000" w14:paraId="000000CD">
      <w:pPr>
        <w:rPr/>
      </w:pPr>
      <w:r w:rsidDel="00000000" w:rsidR="00000000" w:rsidRPr="00000000">
        <w:rPr>
          <w:rStyle w:val="FootnoteReference"/>
          <w:vertAlign w:val="superscript"/>
        </w:rPr>
        <w:footnoteRef/>
      </w:r>
      <w:r w:rsidDel="00000000" w:rsidR="00000000" w:rsidRPr="00000000">
        <w:rPr>
          <w:rtl w:val="0"/>
        </w:rPr>
      </w:r>
    </w:p>
    <w:p w:rsidR="00000000" w:rsidDel="00000000" w:rsidP="00000000" w:rsidRDefault="00000000" w:rsidRPr="00000000" w14:paraId="000000CE">
      <w:pPr>
        <w:rPr/>
      </w:pPr>
      <w:r w:rsidDel="00000000" w:rsidR="00000000" w:rsidRPr="00000000">
        <w:rPr>
          <w:rtl w:val="0"/>
        </w:rPr>
      </w:r>
    </w:p>
  </w:footnote>
  <w:footnote w:id="23">
    <w:p w:rsidR="00000000" w:rsidDel="00000000" w:rsidP="00000000" w:rsidRDefault="00000000" w:rsidRPr="00000000" w14:paraId="000000CF">
      <w:pPr>
        <w:rPr/>
      </w:pPr>
      <w:r w:rsidDel="00000000" w:rsidR="00000000" w:rsidRPr="00000000">
        <w:rPr>
          <w:rStyle w:val="FootnoteReference"/>
          <w:vertAlign w:val="superscript"/>
        </w:rPr>
        <w:footnoteRef/>
      </w:r>
      <w:r w:rsidDel="00000000" w:rsidR="00000000" w:rsidRPr="00000000">
        <w:rPr>
          <w:sz w:val="20"/>
          <w:szCs w:val="20"/>
          <w:rtl w:val="0"/>
        </w:rPr>
        <w:t xml:space="preserve">Salil Bali v Union of India (2013) 7 SCC 705, para 34 (Supreme Court of India).</w:t>
      </w:r>
      <w:r w:rsidDel="00000000" w:rsidR="00000000" w:rsidRPr="00000000">
        <w:rPr>
          <w:rtl w:val="0"/>
        </w:rPr>
      </w:r>
    </w:p>
  </w:footnote>
  <w:footnote w:id="24">
    <w:p w:rsidR="00000000" w:rsidDel="00000000" w:rsidP="00000000" w:rsidRDefault="00000000" w:rsidRPr="00000000" w14:paraId="000000D0">
      <w:pPr>
        <w:rPr/>
      </w:pPr>
      <w:r w:rsidDel="00000000" w:rsidR="00000000" w:rsidRPr="00000000">
        <w:rPr>
          <w:rStyle w:val="FootnoteReference"/>
          <w:vertAlign w:val="superscript"/>
        </w:rPr>
        <w:footnoteRef/>
      </w:r>
      <w:r w:rsidDel="00000000" w:rsidR="00000000" w:rsidRPr="00000000">
        <w:rPr>
          <w:sz w:val="20"/>
          <w:szCs w:val="20"/>
          <w:rtl w:val="0"/>
        </w:rPr>
        <w:t xml:space="preserve">Juvenile Justice (Care and Protection of Children) Act, 2015, ss 46–53 (India).</w:t>
      </w:r>
      <w:r w:rsidDel="00000000" w:rsidR="00000000" w:rsidRPr="00000000">
        <w:rPr>
          <w:rtl w:val="0"/>
        </w:rPr>
      </w:r>
    </w:p>
  </w:footnote>
  <w:footnote w:id="25">
    <w:p w:rsidR="00000000" w:rsidDel="00000000" w:rsidP="00000000" w:rsidRDefault="00000000" w:rsidRPr="00000000" w14:paraId="000000D1">
      <w:pPr>
        <w:rPr/>
      </w:pPr>
      <w:r w:rsidDel="00000000" w:rsidR="00000000" w:rsidRPr="00000000">
        <w:rPr>
          <w:rStyle w:val="FootnoteReference"/>
          <w:vertAlign w:val="superscript"/>
        </w:rPr>
        <w:footnoteRef/>
      </w:r>
      <w:r w:rsidDel="00000000" w:rsidR="00000000" w:rsidRPr="00000000">
        <w:rPr>
          <w:sz w:val="20"/>
          <w:szCs w:val="20"/>
          <w:rtl w:val="0"/>
        </w:rPr>
        <w:t xml:space="preserve">ibid s 18(3).</w:t>
      </w:r>
      <w:r w:rsidDel="00000000" w:rsidR="00000000" w:rsidRPr="00000000">
        <w:rPr>
          <w:rtl w:val="0"/>
        </w:rPr>
      </w:r>
    </w:p>
  </w:footnote>
  <w:footnote w:id="26">
    <w:p w:rsidR="00000000" w:rsidDel="00000000" w:rsidP="00000000" w:rsidRDefault="00000000" w:rsidRPr="00000000" w14:paraId="000000D2">
      <w:pPr>
        <w:rPr/>
      </w:pPr>
      <w:r w:rsidDel="00000000" w:rsidR="00000000" w:rsidRPr="00000000">
        <w:rPr>
          <w:rStyle w:val="FootnoteReference"/>
          <w:vertAlign w:val="superscript"/>
        </w:rPr>
        <w:footnoteRef/>
      </w:r>
      <w:r w:rsidDel="00000000" w:rsidR="00000000" w:rsidRPr="00000000">
        <w:rPr>
          <w:sz w:val="20"/>
          <w:szCs w:val="20"/>
          <w:rtl w:val="0"/>
        </w:rPr>
        <w:t xml:space="preserve">Mark W Lipsey, 'The Primary Factors that Characterize Effective Interventions with Juvenile Offenders: A Meta-Analytic Overview' (2009) 4(4) Victims &amp; Offenders 124, 130.</w:t>
      </w:r>
      <w:r w:rsidDel="00000000" w:rsidR="00000000" w:rsidRPr="00000000">
        <w:rPr>
          <w:rtl w:val="0"/>
        </w:rPr>
      </w:r>
    </w:p>
  </w:footnote>
  <w:footnote w:id="27">
    <w:p w:rsidR="00000000" w:rsidDel="00000000" w:rsidP="00000000" w:rsidRDefault="00000000" w:rsidRPr="00000000" w14:paraId="000000D3">
      <w:pPr>
        <w:rPr/>
      </w:pPr>
      <w:r w:rsidDel="00000000" w:rsidR="00000000" w:rsidRPr="00000000">
        <w:rPr>
          <w:rStyle w:val="FootnoteReference"/>
          <w:vertAlign w:val="superscript"/>
        </w:rPr>
        <w:footnoteRef/>
      </w:r>
      <w:r w:rsidDel="00000000" w:rsidR="00000000" w:rsidRPr="00000000">
        <w:rPr>
          <w:sz w:val="20"/>
          <w:szCs w:val="20"/>
          <w:rtl w:val="0"/>
        </w:rPr>
        <w:t xml:space="preserve">Howard N Snyder and Melissa Sickmund, Juvenile Offenders and Victims: 2006 National Report (Office of Juvenile Justice and Delinquency Prevention, 2006) 234.</w:t>
      </w:r>
      <w:r w:rsidDel="00000000" w:rsidR="00000000" w:rsidRPr="00000000">
        <w:rPr>
          <w:rtl w:val="0"/>
        </w:rPr>
      </w:r>
    </w:p>
  </w:footnote>
  <w:footnote w:id="28">
    <w:p w:rsidR="00000000" w:rsidDel="00000000" w:rsidP="00000000" w:rsidRDefault="00000000" w:rsidRPr="00000000" w14:paraId="000000D4">
      <w:pPr>
        <w:rPr/>
      </w:pPr>
      <w:r w:rsidDel="00000000" w:rsidR="00000000" w:rsidRPr="00000000">
        <w:rPr>
          <w:rStyle w:val="FootnoteReference"/>
          <w:vertAlign w:val="superscript"/>
        </w:rPr>
        <w:footnoteRef/>
      </w:r>
      <w:r w:rsidDel="00000000" w:rsidR="00000000" w:rsidRPr="00000000">
        <w:rPr>
          <w:sz w:val="20"/>
          <w:szCs w:val="20"/>
          <w:rtl w:val="0"/>
        </w:rPr>
        <w:t xml:space="preserve">Patrick Dugan and others, 'Restorative Justice and Recidivism: Promises Made, Promises Kept?' in Dennis Sullivan and Larry Tifft (eds), Handbook of Restorative Justice (Routledge 2006) 381, 385.</w:t>
      </w:r>
      <w:r w:rsidDel="00000000" w:rsidR="00000000" w:rsidRPr="00000000">
        <w:rPr>
          <w:rtl w:val="0"/>
        </w:rPr>
      </w:r>
    </w:p>
  </w:footnote>
  <w:footnote w:id="29">
    <w:p w:rsidR="00000000" w:rsidDel="00000000" w:rsidP="00000000" w:rsidRDefault="00000000" w:rsidRPr="00000000" w14:paraId="000000D5">
      <w:pPr>
        <w:rPr/>
      </w:pPr>
      <w:r w:rsidDel="00000000" w:rsidR="00000000" w:rsidRPr="00000000">
        <w:rPr>
          <w:rStyle w:val="FootnoteReference"/>
          <w:vertAlign w:val="superscript"/>
        </w:rPr>
        <w:footnoteRef/>
      </w:r>
      <w:r w:rsidDel="00000000" w:rsidR="00000000" w:rsidRPr="00000000">
        <w:rPr>
          <w:sz w:val="20"/>
          <w:szCs w:val="20"/>
          <w:rtl w:val="0"/>
        </w:rPr>
        <w:t xml:space="preserve">Juvenile Justice (Care and Protection of Children) Act, 2015, s 18(1)(e) (India).</w:t>
      </w:r>
      <w:r w:rsidDel="00000000" w:rsidR="00000000" w:rsidRPr="00000000">
        <w:rPr>
          <w:rtl w:val="0"/>
        </w:rPr>
      </w:r>
    </w:p>
  </w:footnote>
  <w:footnote w:id="30">
    <w:p w:rsidR="00000000" w:rsidDel="00000000" w:rsidP="00000000" w:rsidRDefault="00000000" w:rsidRPr="00000000" w14:paraId="000000D6">
      <w:pPr>
        <w:rPr/>
      </w:pPr>
      <w:r w:rsidDel="00000000" w:rsidR="00000000" w:rsidRPr="00000000">
        <w:rPr>
          <w:rStyle w:val="FootnoteReference"/>
          <w:vertAlign w:val="superscript"/>
        </w:rPr>
        <w:footnoteRef/>
      </w:r>
      <w:r w:rsidDel="00000000" w:rsidR="00000000" w:rsidRPr="00000000">
        <w:rPr>
          <w:sz w:val="20"/>
          <w:szCs w:val="20"/>
          <w:rtl w:val="0"/>
        </w:rPr>
        <w:t xml:space="preserve">Juvenile Justice (Care and Protection of Children) Model Rules, 2016, Rule 10 (India).</w:t>
      </w:r>
      <w:r w:rsidDel="00000000" w:rsidR="00000000" w:rsidRPr="00000000">
        <w:rPr>
          <w:rtl w:val="0"/>
        </w:rPr>
      </w:r>
    </w:p>
  </w:footnote>
  <w:footnote w:id="31">
    <w:p w:rsidR="00000000" w:rsidDel="00000000" w:rsidP="00000000" w:rsidRDefault="00000000" w:rsidRPr="00000000" w14:paraId="000000D7">
      <w:pPr>
        <w:rPr/>
      </w:pPr>
      <w:r w:rsidDel="00000000" w:rsidR="00000000" w:rsidRPr="00000000">
        <w:rPr>
          <w:rStyle w:val="FootnoteReference"/>
          <w:vertAlign w:val="superscript"/>
        </w:rPr>
        <w:footnoteRef/>
      </w:r>
      <w:r w:rsidDel="00000000" w:rsidR="00000000" w:rsidRPr="00000000">
        <w:rPr>
          <w:rtl w:val="0"/>
        </w:rPr>
      </w:r>
    </w:p>
    <w:p w:rsidR="00000000" w:rsidDel="00000000" w:rsidP="00000000" w:rsidRDefault="00000000" w:rsidRPr="00000000" w14:paraId="000000D8">
      <w:pPr>
        <w:rPr/>
      </w:pPr>
      <w:r w:rsidDel="00000000" w:rsidR="00000000" w:rsidRPr="00000000">
        <w:rPr>
          <w:rtl w:val="0"/>
        </w:rPr>
      </w:r>
    </w:p>
  </w:footnote>
  <w:footnote w:id="32">
    <w:p w:rsidR="00000000" w:rsidDel="00000000" w:rsidP="00000000" w:rsidRDefault="00000000" w:rsidRPr="00000000" w14:paraId="000000D9">
      <w:pPr>
        <w:rPr/>
      </w:pPr>
      <w:r w:rsidDel="00000000" w:rsidR="00000000" w:rsidRPr="00000000">
        <w:rPr>
          <w:rStyle w:val="FootnoteReference"/>
          <w:vertAlign w:val="superscript"/>
        </w:rPr>
        <w:footnoteRef/>
      </w:r>
      <w:r w:rsidDel="00000000" w:rsidR="00000000" w:rsidRPr="00000000">
        <w:rPr>
          <w:sz w:val="20"/>
          <w:szCs w:val="20"/>
          <w:rtl w:val="0"/>
        </w:rPr>
        <w:t xml:space="preserve">David P Farrington and Brandon C Welsh, Saving Children from a Life of Crime: Early Risk Factors and Effective Interventions (Oxford University Press 2007) 112.</w:t>
      </w:r>
      <w:r w:rsidDel="00000000" w:rsidR="00000000" w:rsidRPr="00000000">
        <w:rPr>
          <w:rtl w:val="0"/>
        </w:rPr>
      </w:r>
    </w:p>
  </w:footnote>
  <w:footnote w:id="33">
    <w:p w:rsidR="00000000" w:rsidDel="00000000" w:rsidP="00000000" w:rsidRDefault="00000000" w:rsidRPr="00000000" w14:paraId="000000DA">
      <w:pPr>
        <w:rPr/>
      </w:pPr>
      <w:r w:rsidDel="00000000" w:rsidR="00000000" w:rsidRPr="00000000">
        <w:rPr>
          <w:rStyle w:val="FootnoteReference"/>
          <w:vertAlign w:val="superscript"/>
        </w:rPr>
        <w:footnoteRef/>
      </w:r>
      <w:r w:rsidDel="00000000" w:rsidR="00000000" w:rsidRPr="00000000">
        <w:rPr>
          <w:sz w:val="20"/>
          <w:szCs w:val="20"/>
          <w:rtl w:val="0"/>
        </w:rPr>
        <w:t xml:space="preserve">Juvenile Justice (Care and Protection of Children) Act, 2015, s 40 (India).</w:t>
      </w:r>
      <w:r w:rsidDel="00000000" w:rsidR="00000000" w:rsidRPr="00000000">
        <w:rPr>
          <w:rtl w:val="0"/>
        </w:rPr>
      </w:r>
    </w:p>
  </w:footnote>
  <w:footnote w:id="34">
    <w:p w:rsidR="00000000" w:rsidDel="00000000" w:rsidP="00000000" w:rsidRDefault="00000000" w:rsidRPr="00000000" w14:paraId="000000DB">
      <w:pPr>
        <w:rPr/>
      </w:pPr>
      <w:r w:rsidDel="00000000" w:rsidR="00000000" w:rsidRPr="00000000">
        <w:rPr>
          <w:rStyle w:val="FootnoteReference"/>
          <w:vertAlign w:val="superscript"/>
        </w:rPr>
        <w:footnoteRef/>
      </w:r>
      <w:r w:rsidDel="00000000" w:rsidR="00000000" w:rsidRPr="00000000">
        <w:rPr>
          <w:rtl w:val="0"/>
        </w:rPr>
      </w:r>
    </w:p>
    <w:p w:rsidR="00000000" w:rsidDel="00000000" w:rsidP="00000000" w:rsidRDefault="00000000" w:rsidRPr="00000000" w14:paraId="000000DC">
      <w:pPr>
        <w:rPr/>
      </w:pPr>
      <w:r w:rsidDel="00000000" w:rsidR="00000000" w:rsidRPr="00000000">
        <w:rPr>
          <w:rtl w:val="0"/>
        </w:rPr>
      </w:r>
    </w:p>
  </w:footnote>
  <w:footnote w:id="35">
    <w:p w:rsidR="00000000" w:rsidDel="00000000" w:rsidP="00000000" w:rsidRDefault="00000000" w:rsidRPr="00000000" w14:paraId="000000DD">
      <w:pPr>
        <w:rPr/>
      </w:pPr>
      <w:r w:rsidDel="00000000" w:rsidR="00000000" w:rsidRPr="00000000">
        <w:rPr>
          <w:rStyle w:val="FootnoteReference"/>
          <w:vertAlign w:val="superscript"/>
        </w:rPr>
        <w:footnoteRef/>
      </w:r>
      <w:r w:rsidDel="00000000" w:rsidR="00000000" w:rsidRPr="00000000">
        <w:rPr>
          <w:sz w:val="20"/>
          <w:szCs w:val="20"/>
          <w:rtl w:val="0"/>
        </w:rPr>
        <w:t xml:space="preserve">National Policy for Children, 2013, para 4.3 (Government of India).</w:t>
      </w:r>
      <w:r w:rsidDel="00000000" w:rsidR="00000000" w:rsidRPr="00000000">
        <w:rPr>
          <w:rtl w:val="0"/>
        </w:rPr>
      </w:r>
    </w:p>
  </w:footnote>
  <w:footnote w:id="36">
    <w:p w:rsidR="00000000" w:rsidDel="00000000" w:rsidP="00000000" w:rsidRDefault="00000000" w:rsidRPr="00000000" w14:paraId="000000DE">
      <w:pPr>
        <w:rPr/>
      </w:pPr>
      <w:r w:rsidDel="00000000" w:rsidR="00000000" w:rsidRPr="00000000">
        <w:rPr>
          <w:rStyle w:val="FootnoteReference"/>
          <w:vertAlign w:val="superscript"/>
        </w:rPr>
        <w:footnoteRef/>
      </w:r>
      <w:r w:rsidDel="00000000" w:rsidR="00000000" w:rsidRPr="00000000">
        <w:rPr>
          <w:sz w:val="20"/>
          <w:szCs w:val="20"/>
          <w:rtl w:val="0"/>
        </w:rPr>
        <w:t xml:space="preserve">Ministry of Women and Child Development, Annual Report 2022–23 (Government of India, 2023) 78.</w:t>
      </w:r>
      <w:r w:rsidDel="00000000" w:rsidR="00000000" w:rsidRPr="00000000">
        <w:rPr>
          <w:rtl w:val="0"/>
        </w:rPr>
      </w:r>
    </w:p>
  </w:footnote>
  <w:footnote w:id="37">
    <w:p w:rsidR="00000000" w:rsidDel="00000000" w:rsidP="00000000" w:rsidRDefault="00000000" w:rsidRPr="00000000" w14:paraId="000000DF">
      <w:pPr>
        <w:rPr/>
      </w:pPr>
      <w:r w:rsidDel="00000000" w:rsidR="00000000" w:rsidRPr="00000000">
        <w:rPr>
          <w:rStyle w:val="FootnoteReference"/>
          <w:vertAlign w:val="superscript"/>
        </w:rPr>
        <w:footnoteRef/>
      </w:r>
      <w:r w:rsidDel="00000000" w:rsidR="00000000" w:rsidRPr="00000000">
        <w:rPr>
          <w:sz w:val="20"/>
          <w:szCs w:val="20"/>
          <w:rtl w:val="0"/>
        </w:rPr>
        <w:t xml:space="preserve">Sanjay Sinha, 'Juvenile Justice System in India: A Critical Appraisal' (2017) 59(1) Journal of the Indian Law Institute 45, 62.</w:t>
      </w:r>
      <w:r w:rsidDel="00000000" w:rsidR="00000000" w:rsidRPr="00000000">
        <w:rPr>
          <w:rtl w:val="0"/>
        </w:rPr>
      </w:r>
    </w:p>
  </w:footnote>
  <w:footnote w:id="38">
    <w:p w:rsidR="00000000" w:rsidDel="00000000" w:rsidP="00000000" w:rsidRDefault="00000000" w:rsidRPr="00000000" w14:paraId="000000E0">
      <w:pPr>
        <w:rPr/>
      </w:pPr>
      <w:r w:rsidDel="00000000" w:rsidR="00000000" w:rsidRPr="00000000">
        <w:rPr>
          <w:rStyle w:val="FootnoteReference"/>
          <w:vertAlign w:val="superscript"/>
        </w:rPr>
        <w:footnoteRef/>
      </w:r>
      <w:r w:rsidDel="00000000" w:rsidR="00000000" w:rsidRPr="00000000">
        <w:rPr>
          <w:rtl w:val="0"/>
        </w:rPr>
      </w:r>
    </w:p>
    <w:p w:rsidR="00000000" w:rsidDel="00000000" w:rsidP="00000000" w:rsidRDefault="00000000" w:rsidRPr="00000000" w14:paraId="000000E1">
      <w:pPr>
        <w:rPr/>
      </w:pPr>
      <w:r w:rsidDel="00000000" w:rsidR="00000000" w:rsidRPr="00000000">
        <w:rPr>
          <w:rtl w:val="0"/>
        </w:rPr>
      </w:r>
    </w:p>
  </w:footnote>
  <w:footnote w:id="39">
    <w:p w:rsidR="00000000" w:rsidDel="00000000" w:rsidP="00000000" w:rsidRDefault="00000000" w:rsidRPr="00000000" w14:paraId="000000E2">
      <w:pPr>
        <w:rPr/>
      </w:pPr>
      <w:r w:rsidDel="00000000" w:rsidR="00000000" w:rsidRPr="00000000">
        <w:rPr>
          <w:rStyle w:val="FootnoteReference"/>
          <w:vertAlign w:val="superscript"/>
        </w:rPr>
        <w:footnoteRef/>
      </w:r>
      <w:r w:rsidDel="00000000" w:rsidR="00000000" w:rsidRPr="00000000">
        <w:rPr>
          <w:rtl w:val="0"/>
        </w:rPr>
      </w:r>
    </w:p>
    <w:p w:rsidR="00000000" w:rsidDel="00000000" w:rsidP="00000000" w:rsidRDefault="00000000" w:rsidRPr="00000000" w14:paraId="000000E3">
      <w:pPr>
        <w:rPr/>
      </w:pPr>
      <w:r w:rsidDel="00000000" w:rsidR="00000000" w:rsidRPr="00000000">
        <w:rPr>
          <w:rtl w:val="0"/>
        </w:rPr>
      </w:r>
    </w:p>
  </w:footnote>
  <w:footnote w:id="40">
    <w:p w:rsidR="00000000" w:rsidDel="00000000" w:rsidP="00000000" w:rsidRDefault="00000000" w:rsidRPr="00000000" w14:paraId="000000E4">
      <w:pPr>
        <w:rPr/>
      </w:pPr>
      <w:r w:rsidDel="00000000" w:rsidR="00000000" w:rsidRPr="00000000">
        <w:rPr>
          <w:rStyle w:val="FootnoteReference"/>
          <w:vertAlign w:val="superscript"/>
        </w:rPr>
        <w:footnoteRef/>
      </w:r>
      <w:r w:rsidDel="00000000" w:rsidR="00000000" w:rsidRPr="00000000">
        <w:rPr>
          <w:rtl w:val="0"/>
        </w:rPr>
      </w:r>
    </w:p>
    <w:p w:rsidR="00000000" w:rsidDel="00000000" w:rsidP="00000000" w:rsidRDefault="00000000" w:rsidRPr="00000000" w14:paraId="000000E5">
      <w:pPr>
        <w:rPr/>
      </w:pPr>
      <w:r w:rsidDel="00000000" w:rsidR="00000000" w:rsidRPr="00000000">
        <w:rPr>
          <w:rtl w:val="0"/>
        </w:rPr>
      </w:r>
    </w:p>
  </w:footnote>
  <w:footnote w:id="41">
    <w:p w:rsidR="00000000" w:rsidDel="00000000" w:rsidP="00000000" w:rsidRDefault="00000000" w:rsidRPr="00000000" w14:paraId="000000E6">
      <w:pPr>
        <w:rPr/>
      </w:pPr>
      <w:r w:rsidDel="00000000" w:rsidR="00000000" w:rsidRPr="00000000">
        <w:rPr>
          <w:rStyle w:val="FootnoteReference"/>
          <w:vertAlign w:val="superscript"/>
        </w:rPr>
        <w:footnoteRef/>
      </w:r>
      <w:r w:rsidDel="00000000" w:rsidR="00000000" w:rsidRPr="00000000">
        <w:rPr>
          <w:sz w:val="20"/>
          <w:szCs w:val="20"/>
          <w:rtl w:val="0"/>
        </w:rPr>
        <w:t xml:space="preserve">National Crime Records Bureau, Crime in India – 2022 Statistics (Ministry of Home Affairs, Government of India, 2023) 323–325.</w:t>
      </w:r>
      <w:r w:rsidDel="00000000" w:rsidR="00000000" w:rsidRPr="00000000">
        <w:rPr>
          <w:rtl w:val="0"/>
        </w:rPr>
      </w:r>
    </w:p>
  </w:footnote>
  <w:footnote w:id="42">
    <w:p w:rsidR="00000000" w:rsidDel="00000000" w:rsidP="00000000" w:rsidRDefault="00000000" w:rsidRPr="00000000" w14:paraId="000000E7">
      <w:pPr>
        <w:rPr/>
      </w:pPr>
      <w:r w:rsidDel="00000000" w:rsidR="00000000" w:rsidRPr="00000000">
        <w:rPr>
          <w:rStyle w:val="FootnoteReference"/>
          <w:vertAlign w:val="superscript"/>
        </w:rPr>
        <w:footnoteRef/>
      </w:r>
      <w:r w:rsidDel="00000000" w:rsidR="00000000" w:rsidRPr="00000000">
        <w:rPr>
          <w:rtl w:val="0"/>
        </w:rPr>
      </w:r>
    </w:p>
    <w:p w:rsidR="00000000" w:rsidDel="00000000" w:rsidP="00000000" w:rsidRDefault="00000000" w:rsidRPr="00000000" w14:paraId="000000E8">
      <w:pPr>
        <w:rPr/>
      </w:pPr>
      <w:r w:rsidDel="00000000" w:rsidR="00000000" w:rsidRPr="00000000">
        <w:rPr>
          <w:rtl w:val="0"/>
        </w:rPr>
      </w:r>
    </w:p>
  </w:footnote>
  <w:footnote w:id="43">
    <w:p w:rsidR="00000000" w:rsidDel="00000000" w:rsidP="00000000" w:rsidRDefault="00000000" w:rsidRPr="00000000" w14:paraId="000000E9">
      <w:pPr>
        <w:rPr/>
      </w:pPr>
      <w:r w:rsidDel="00000000" w:rsidR="00000000" w:rsidRPr="00000000">
        <w:rPr>
          <w:rStyle w:val="FootnoteReference"/>
          <w:vertAlign w:val="superscript"/>
        </w:rPr>
        <w:footnoteRef/>
      </w:r>
      <w:r w:rsidDel="00000000" w:rsidR="00000000" w:rsidRPr="00000000">
        <w:rPr>
          <w:sz w:val="20"/>
          <w:szCs w:val="20"/>
          <w:rtl w:val="0"/>
        </w:rPr>
        <w:t xml:space="preserve">Bachpan Bachao Andolan v Union of India (2011) 5 SCC 1 (Supreme Court of India).</w:t>
      </w:r>
      <w:r w:rsidDel="00000000" w:rsidR="00000000" w:rsidRPr="00000000">
        <w:rPr>
          <w:rtl w:val="0"/>
        </w:rPr>
      </w:r>
    </w:p>
  </w:footnote>
  <w:footnote w:id="44">
    <w:p w:rsidR="00000000" w:rsidDel="00000000" w:rsidP="00000000" w:rsidRDefault="00000000" w:rsidRPr="00000000" w14:paraId="000000EA">
      <w:pPr>
        <w:rPr/>
      </w:pPr>
      <w:r w:rsidDel="00000000" w:rsidR="00000000" w:rsidRPr="00000000">
        <w:rPr>
          <w:rStyle w:val="FootnoteReference"/>
          <w:vertAlign w:val="superscript"/>
        </w:rPr>
        <w:footnoteRef/>
      </w:r>
      <w:r w:rsidDel="00000000" w:rsidR="00000000" w:rsidRPr="00000000">
        <w:rPr>
          <w:sz w:val="20"/>
          <w:szCs w:val="20"/>
          <w:rtl w:val="0"/>
        </w:rPr>
        <w:t xml:space="preserve">Gaurav Kumar v State of Haryana (2015) 3 SCC 247, para 18 (Supreme Court of India).</w:t>
      </w:r>
      <w:r w:rsidDel="00000000" w:rsidR="00000000" w:rsidRPr="00000000">
        <w:rPr>
          <w:rtl w:val="0"/>
        </w:rPr>
      </w:r>
    </w:p>
  </w:footnote>
  <w:footnote w:id="45">
    <w:p w:rsidR="00000000" w:rsidDel="00000000" w:rsidP="00000000" w:rsidRDefault="00000000" w:rsidRPr="00000000" w14:paraId="000000EB">
      <w:pPr>
        <w:rPr/>
      </w:pPr>
      <w:r w:rsidDel="00000000" w:rsidR="00000000" w:rsidRPr="00000000">
        <w:rPr>
          <w:rStyle w:val="FootnoteReference"/>
          <w:vertAlign w:val="superscript"/>
        </w:rPr>
        <w:footnoteRef/>
      </w:r>
      <w:r w:rsidDel="00000000" w:rsidR="00000000" w:rsidRPr="00000000">
        <w:rPr>
          <w:sz w:val="20"/>
          <w:szCs w:val="20"/>
          <w:rtl w:val="0"/>
        </w:rPr>
        <w:t xml:space="preserve">Juvenile Justice (Care and Protection of Children) Act, 2015, s 107 (India).</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C">
    <w:pPr>
      <w:pBdr>
        <w:bottom w:color="000000" w:space="1" w:sz="4" w:val="single"/>
      </w:pBdr>
      <w:jc w:val="right"/>
      <w:rPr/>
    </w:pPr>
    <w:r w:rsidDel="00000000" w:rsidR="00000000" w:rsidRPr="00000000">
      <w:rPr>
        <w:i w:val="1"/>
        <w:iCs w:val="1"/>
        <w:sz w:val="18"/>
        <w:szCs w:val="18"/>
        <w:rtl w:val="0"/>
      </w:rPr>
      <w:t xml:space="preserve">Socio-Legal Study on Juvenile Delinquents: Reformation and Rehabilitation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I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pacing w:after="180" w:before="360" w:lineRule="auto"/>
    </w:pPr>
    <w:rPr>
      <w:b w:val="1"/>
      <w:bCs w:val="1"/>
      <w:color w:val="000000"/>
      <w:sz w:val="28"/>
      <w:szCs w:val="28"/>
    </w:rPr>
  </w:style>
  <w:style w:type="paragraph" w:styleId="Heading2">
    <w:name w:val="heading 2"/>
    <w:basedOn w:val="Normal"/>
    <w:next w:val="Normal"/>
    <w:pPr>
      <w:pBdr>
        <w:top w:space="0" w:sz="0" w:val="nil"/>
        <w:left w:space="0" w:sz="0" w:val="nil"/>
        <w:bottom w:space="0" w:sz="0" w:val="nil"/>
        <w:right w:space="0" w:sz="0" w:val="nil"/>
        <w:between w:space="0" w:sz="0" w:val="nil"/>
      </w:pBdr>
      <w:spacing w:after="120" w:before="240" w:lineRule="auto"/>
    </w:pPr>
    <w:rPr>
      <w:b w:val="1"/>
      <w:bCs w:val="1"/>
      <w:color w:val="000000"/>
    </w:rPr>
  </w:style>
  <w:style w:type="paragraph" w:styleId="Heading3">
    <w:name w:val="heading 3"/>
    <w:basedOn w:val="Normal"/>
    <w:next w:val="Normal"/>
    <w:pPr>
      <w:pBdr>
        <w:top w:space="0" w:sz="0" w:val="nil"/>
        <w:left w:space="0" w:sz="0" w:val="nil"/>
        <w:bottom w:space="0" w:sz="0" w:val="nil"/>
        <w:right w:space="0" w:sz="0" w:val="nil"/>
        <w:between w:space="0" w:sz="0" w:val="nil"/>
      </w:pBdr>
    </w:pPr>
    <w:rPr>
      <w:color w:val="1f4d78"/>
    </w:rPr>
  </w:style>
  <w:style w:type="paragraph" w:styleId="Heading4">
    <w:name w:val="heading 4"/>
    <w:basedOn w:val="Normal"/>
    <w:next w:val="Normal"/>
    <w:pPr>
      <w:pBdr>
        <w:top w:space="0" w:sz="0" w:val="nil"/>
        <w:left w:space="0" w:sz="0" w:val="nil"/>
        <w:bottom w:space="0" w:sz="0" w:val="nil"/>
        <w:right w:space="0" w:sz="0" w:val="nil"/>
        <w:between w:space="0" w:sz="0" w:val="nil"/>
      </w:pBdr>
    </w:pPr>
    <w:rPr>
      <w:i w:val="1"/>
      <w:iCs w:val="1"/>
      <w:color w:val="2e74b5"/>
    </w:rPr>
  </w:style>
  <w:style w:type="paragraph" w:styleId="Heading5">
    <w:name w:val="heading 5"/>
    <w:basedOn w:val="Normal"/>
    <w:next w:val="Normal"/>
    <w:pPr>
      <w:pBdr>
        <w:top w:space="0" w:sz="0" w:val="nil"/>
        <w:left w:space="0" w:sz="0" w:val="nil"/>
        <w:bottom w:space="0" w:sz="0" w:val="nil"/>
        <w:right w:space="0" w:sz="0" w:val="nil"/>
        <w:between w:space="0" w:sz="0" w:val="nil"/>
      </w:pBdr>
    </w:pPr>
    <w:rPr>
      <w:color w:val="2e74b5"/>
    </w:rPr>
  </w:style>
  <w:style w:type="paragraph" w:styleId="Heading6">
    <w:name w:val="heading 6"/>
    <w:basedOn w:val="Normal"/>
    <w:next w:val="Normal"/>
    <w:pPr>
      <w:pBdr>
        <w:top w:space="0" w:sz="0" w:val="nil"/>
        <w:left w:space="0" w:sz="0" w:val="nil"/>
        <w:bottom w:space="0" w:sz="0" w:val="nil"/>
        <w:right w:space="0" w:sz="0" w:val="nil"/>
        <w:between w:space="0" w:sz="0" w:val="nil"/>
      </w:pBdr>
    </w:pPr>
    <w:rPr>
      <w:color w:val="1f4d78"/>
    </w:rPr>
  </w:style>
  <w:style w:type="paragraph" w:styleId="Title">
    <w:name w:val="Title"/>
    <w:basedOn w:val="Normal"/>
    <w:next w:val="Normal"/>
    <w:pPr>
      <w:pBdr>
        <w:top w:space="0" w:sz="0" w:val="nil"/>
        <w:left w:space="0" w:sz="0" w:val="nil"/>
        <w:bottom w:space="0" w:sz="0" w:val="nil"/>
        <w:right w:space="0" w:sz="0" w:val="nil"/>
        <w:between w:space="0" w:sz="0" w:val="nil"/>
      </w:pBdr>
    </w:pPr>
    <w:rPr>
      <w:color w:val="000000"/>
      <w:sz w:val="56"/>
      <w:szCs w:val="56"/>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