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D9426" w14:textId="77777777" w:rsidR="005662D1" w:rsidRDefault="005662D1">
      <w:pPr>
        <w:spacing w:before="80" w:after="80"/>
      </w:pPr>
    </w:p>
    <w:p w14:paraId="507943E1" w14:textId="77777777" w:rsidR="00301BC0" w:rsidRDefault="00301BC0">
      <w:pPr>
        <w:spacing w:before="80" w:after="80"/>
      </w:pPr>
    </w:p>
    <w:p w14:paraId="572DF2EB" w14:textId="3F6A7E46" w:rsidR="00301BC0" w:rsidRDefault="00301BC0" w:rsidP="00301BC0">
      <w:pPr>
        <w:spacing w:before="80" w:after="80"/>
        <w:jc w:val="center"/>
      </w:pPr>
      <w:r>
        <w:t>Paper submitted by Shubhi Shukla</w:t>
      </w:r>
    </w:p>
    <w:p w14:paraId="7D3E46B0" w14:textId="1CB1FAEB" w:rsidR="00301BC0" w:rsidRDefault="00301BC0" w:rsidP="00301BC0">
      <w:pPr>
        <w:spacing w:before="80" w:after="80"/>
        <w:jc w:val="center"/>
      </w:pPr>
      <w:proofErr w:type="spellStart"/>
      <w:r>
        <w:t>Ba.llb</w:t>
      </w:r>
      <w:proofErr w:type="spellEnd"/>
      <w:r>
        <w:t xml:space="preserve"> (Final Year)</w:t>
      </w:r>
    </w:p>
    <w:p w14:paraId="102FAE00" w14:textId="52E1E712" w:rsidR="00301BC0" w:rsidRDefault="00301BC0" w:rsidP="00301BC0">
      <w:pPr>
        <w:spacing w:before="80" w:after="80"/>
        <w:jc w:val="center"/>
      </w:pPr>
      <w:r>
        <w:t>Amity University, Noida</w:t>
      </w:r>
    </w:p>
    <w:p w14:paraId="18CCF598" w14:textId="77777777" w:rsidR="005662D1" w:rsidRDefault="005662D1">
      <w:pPr>
        <w:spacing w:before="80" w:after="80"/>
      </w:pPr>
    </w:p>
    <w:p w14:paraId="09F681FE" w14:textId="77777777" w:rsidR="005662D1" w:rsidRDefault="005662D1">
      <w:pPr>
        <w:spacing w:before="80" w:after="80"/>
      </w:pPr>
    </w:p>
    <w:p w14:paraId="50E5A279" w14:textId="77777777" w:rsidR="005662D1" w:rsidRDefault="00000000">
      <w:pPr>
        <w:spacing w:before="480" w:after="240"/>
        <w:jc w:val="center"/>
      </w:pPr>
      <w:r>
        <w:rPr>
          <w:b/>
          <w:bCs/>
          <w:sz w:val="36"/>
          <w:szCs w:val="36"/>
        </w:rPr>
        <w:t>IMPACT OF SEBI ON INDIAN CAPITAL MARKET:</w:t>
      </w:r>
    </w:p>
    <w:p w14:paraId="1496D473" w14:textId="77777777" w:rsidR="005662D1" w:rsidRDefault="00000000">
      <w:pPr>
        <w:spacing w:after="480"/>
        <w:jc w:val="center"/>
      </w:pPr>
      <w:r>
        <w:rPr>
          <w:b/>
          <w:bCs/>
          <w:sz w:val="32"/>
          <w:szCs w:val="32"/>
        </w:rPr>
        <w:t>A LEGAL AND REGULATORY ANALYSIS</w:t>
      </w:r>
    </w:p>
    <w:p w14:paraId="7961071B" w14:textId="77777777" w:rsidR="005662D1" w:rsidRDefault="00000000">
      <w:pPr>
        <w:spacing w:before="120" w:after="120"/>
        <w:jc w:val="center"/>
      </w:pPr>
      <w:r>
        <w:rPr>
          <w:b/>
          <w:bCs/>
        </w:rPr>
        <w:t>A Legal Research Paper</w:t>
      </w:r>
    </w:p>
    <w:p w14:paraId="1A5A9404" w14:textId="77777777" w:rsidR="005662D1" w:rsidRDefault="005662D1">
      <w:pPr>
        <w:spacing w:before="80" w:after="80"/>
      </w:pPr>
    </w:p>
    <w:p w14:paraId="1FED2503" w14:textId="77777777" w:rsidR="005662D1" w:rsidRDefault="00000000">
      <w:pPr>
        <w:spacing w:before="120" w:after="120"/>
        <w:jc w:val="center"/>
      </w:pPr>
      <w:r>
        <w:rPr>
          <w:sz w:val="22"/>
          <w:szCs w:val="22"/>
        </w:rPr>
        <w:t>Submitted in Partial Fulfilment of Academic Requirements</w:t>
      </w:r>
    </w:p>
    <w:p w14:paraId="67B1A979" w14:textId="77777777" w:rsidR="005662D1" w:rsidRDefault="00000000">
      <w:pPr>
        <w:spacing w:before="120" w:after="120"/>
        <w:jc w:val="center"/>
      </w:pPr>
      <w:r>
        <w:rPr>
          <w:sz w:val="22"/>
          <w:szCs w:val="22"/>
        </w:rPr>
        <w:t>Faculty of Law</w:t>
      </w:r>
    </w:p>
    <w:p w14:paraId="25BF6871" w14:textId="77777777" w:rsidR="005662D1" w:rsidRDefault="005662D1">
      <w:pPr>
        <w:spacing w:before="80" w:after="80"/>
      </w:pPr>
    </w:p>
    <w:p w14:paraId="3B167697" w14:textId="77777777" w:rsidR="005662D1" w:rsidRDefault="005662D1">
      <w:pPr>
        <w:spacing w:before="80" w:after="80"/>
      </w:pPr>
    </w:p>
    <w:p w14:paraId="67D059E4" w14:textId="77777777" w:rsidR="005662D1" w:rsidRDefault="005662D1">
      <w:pPr>
        <w:spacing w:before="120" w:after="120"/>
        <w:jc w:val="center"/>
      </w:pPr>
    </w:p>
    <w:p w14:paraId="3F157444" w14:textId="77777777" w:rsidR="005662D1" w:rsidRDefault="005662D1">
      <w:pPr>
        <w:spacing w:before="80" w:after="80"/>
      </w:pPr>
    </w:p>
    <w:p w14:paraId="351A38E2" w14:textId="77777777" w:rsidR="005662D1" w:rsidRDefault="00000000">
      <w:r>
        <w:br w:type="page"/>
      </w:r>
    </w:p>
    <w:p w14:paraId="4A050A52" w14:textId="77777777" w:rsidR="005662D1" w:rsidRDefault="00000000">
      <w:pPr>
        <w:pStyle w:val="Heading1"/>
      </w:pPr>
      <w:r>
        <w:lastRenderedPageBreak/>
        <w:t>ABSTRACT</w:t>
      </w:r>
    </w:p>
    <w:p w14:paraId="3E69CBEC" w14:textId="77777777" w:rsidR="005662D1" w:rsidRDefault="00000000">
      <w:pPr>
        <w:spacing w:before="120" w:after="120" w:line="360" w:lineRule="auto"/>
        <w:jc w:val="both"/>
      </w:pPr>
      <w:r>
        <w:t>The Securities and Exchange Board of India (SEBI), established under the Securities and Exchange Board of India Act, 1992,</w:t>
      </w:r>
      <w:r>
        <w:rPr>
          <w:vertAlign w:val="superscript"/>
        </w:rPr>
        <w:footnoteReference w:id="1"/>
      </w:r>
      <w:r>
        <w:t xml:space="preserve"> emerged as the apex statutory regulator of India's capital markets at a critical juncture in the nation's economic history. Prior to its constitution as a statutory body, the Indian capital market was characterised by rampant manipulation, inadequate disclosure standards, and near-absent investor protection mechanisms.</w:t>
      </w:r>
      <w:r>
        <w:rPr>
          <w:vertAlign w:val="superscript"/>
        </w:rPr>
        <w:footnoteReference w:id="2"/>
      </w:r>
      <w:r>
        <w:t xml:space="preserve"> Over three decades of regulatory evolution, SEBI has fundamentally reordered the architecture of India's securities markets, transforming them from a loosely supervised, broker-dominated ecosystem into one of the largest and most sophisticated emerging-market bourses in the world.</w:t>
      </w:r>
      <w:r>
        <w:rPr>
          <w:vertAlign w:val="superscript"/>
        </w:rPr>
        <w:footnoteReference w:id="3"/>
      </w:r>
    </w:p>
    <w:p w14:paraId="7BC0F84B" w14:textId="77777777" w:rsidR="005662D1" w:rsidRDefault="00000000">
      <w:pPr>
        <w:spacing w:before="120" w:after="120" w:line="360" w:lineRule="auto"/>
        <w:jc w:val="both"/>
      </w:pPr>
      <w:r>
        <w:t>This paper undertakes a comprehensive legal analysis of SEBI's regulatory impact across five principal dimensions: (</w:t>
      </w:r>
      <w:proofErr w:type="spellStart"/>
      <w:r>
        <w:t>i</w:t>
      </w:r>
      <w:proofErr w:type="spellEnd"/>
      <w:r>
        <w:t>) the constitutional and statutory foundations of SEBI's authority; (ii) the transformation of market infrastructure and primary market efficiency; (iii) the development of investor protection jurisprudence; (iv) the advancement of corporate governance standards; and (v) contemporary challenges posed by technological disruption, globalisation, and evolving financial instruments. Drawing on primary sources including legislation, SEBI regulations, and judicial pronouncements, as well as secondary literature spanning economic and legal scholarship, the paper concludes that while SEBI has substantially achieved its tripartite mandate of protecting investors, developing markets, and regulating securities transactions, significant lacunae remain in enforcement capacity, jurisdictional coordination, and regulatory adaptation to emerging risks. The paper advocates for a progressive recalibration of SEBI's statutory powers to sustain India's capital market growth trajectory.</w:t>
      </w:r>
    </w:p>
    <w:p w14:paraId="3502541A" w14:textId="77777777" w:rsidR="005662D1" w:rsidRDefault="005662D1">
      <w:pPr>
        <w:spacing w:before="80" w:after="80"/>
      </w:pPr>
    </w:p>
    <w:p w14:paraId="356130DA" w14:textId="77777777" w:rsidR="005662D1" w:rsidRDefault="00000000">
      <w:pPr>
        <w:spacing w:before="120" w:after="120"/>
      </w:pPr>
      <w:r>
        <w:rPr>
          <w:b/>
          <w:bCs/>
          <w:sz w:val="22"/>
          <w:szCs w:val="22"/>
        </w:rPr>
        <w:t xml:space="preserve">Keywords: </w:t>
      </w:r>
      <w:r>
        <w:rPr>
          <w:i/>
          <w:iCs/>
          <w:sz w:val="22"/>
          <w:szCs w:val="22"/>
        </w:rPr>
        <w:t>SEBI, Indian Capital Market, Securities Regulation, Investor Protection, Corporate Governance, Insider Trading, Market Development.</w:t>
      </w:r>
    </w:p>
    <w:p w14:paraId="6C9BF901" w14:textId="77777777" w:rsidR="005662D1" w:rsidRDefault="00000000">
      <w:r>
        <w:br w:type="page"/>
      </w:r>
    </w:p>
    <w:p w14:paraId="36AC8517" w14:textId="77777777" w:rsidR="005662D1" w:rsidRDefault="00000000">
      <w:pPr>
        <w:pStyle w:val="Heading1"/>
      </w:pPr>
      <w:r>
        <w:lastRenderedPageBreak/>
        <w:t>I. INTRODUCTION</w:t>
      </w:r>
    </w:p>
    <w:p w14:paraId="137A8239" w14:textId="77777777" w:rsidR="005662D1" w:rsidRDefault="00000000">
      <w:pPr>
        <w:spacing w:before="120" w:after="120" w:line="360" w:lineRule="auto"/>
        <w:jc w:val="both"/>
      </w:pPr>
      <w:r>
        <w:t>Capital markets occupy a central position in the financial architecture of any modern economy, facilitating the efficient allocation of savings into productive investment, enabling price discovery, and providing mechanisms for risk transfer.</w:t>
      </w:r>
      <w:r>
        <w:rPr>
          <w:vertAlign w:val="superscript"/>
        </w:rPr>
        <w:footnoteReference w:id="4"/>
      </w:r>
      <w:r>
        <w:t xml:space="preserve"> In India, the capital market's evolution has been inextricably linked with the regulatory journey of the Securities and Exchange Board of India. The Indian securities market, prior to systematic statutory regulation, was governed by a patchwork of older legislations — principally the Capital Issues (Control) Act, 1947, and the Securities Contracts (Regulation) Act, 1956.</w:t>
      </w:r>
      <w:r>
        <w:rPr>
          <w:vertAlign w:val="superscript"/>
        </w:rPr>
        <w:footnoteReference w:id="5"/>
      </w:r>
      <w:r>
        <w:t xml:space="preserve"> These instruments, while foundational, were inadequate to address the complexities of a liberalising economy.</w:t>
      </w:r>
    </w:p>
    <w:p w14:paraId="5DE28764" w14:textId="77777777" w:rsidR="005662D1" w:rsidRDefault="00000000">
      <w:pPr>
        <w:spacing w:before="120" w:after="120" w:line="360" w:lineRule="auto"/>
        <w:jc w:val="both"/>
      </w:pPr>
      <w:r>
        <w:t>The watershed moment arrived in 1992, when the Government of India, responding to widespread market malpractices — most notably the securities scam orchestrated by Harshad Mehta, which exposed deep systemic vulnerabilities — elevated SEBI from an administrative body (established in 1988) to a statutory regulator through the enactment of the SEBI Act, 1992.</w:t>
      </w:r>
      <w:r>
        <w:rPr>
          <w:vertAlign w:val="superscript"/>
        </w:rPr>
        <w:footnoteReference w:id="6"/>
      </w:r>
      <w:r>
        <w:t xml:space="preserve"> This legislative act endowed SEBI with quasi-legislative, quasi-executive, and quasi-judicial powers, creating an institutional design consciously modelled on the Securities and Exchange Commission (SEC) of the United States, yet adapted to India's unique socio-economic and institutional context.</w:t>
      </w:r>
      <w:r>
        <w:rPr>
          <w:vertAlign w:val="superscript"/>
        </w:rPr>
        <w:footnoteReference w:id="7"/>
      </w:r>
    </w:p>
    <w:p w14:paraId="5670FA7E" w14:textId="77777777" w:rsidR="005662D1" w:rsidRDefault="00000000">
      <w:pPr>
        <w:spacing w:before="120" w:after="120" w:line="360" w:lineRule="auto"/>
        <w:jc w:val="both"/>
      </w:pPr>
      <w:r>
        <w:t>The significance of this regulatory transformation cannot be overstated. India's market capitalisation, which stood at a fraction of its current size in 1992, has grown to exceed USD 4 trillion,</w:t>
      </w:r>
      <w:r>
        <w:rPr>
          <w:vertAlign w:val="superscript"/>
        </w:rPr>
        <w:footnoteReference w:id="8"/>
      </w:r>
      <w:r>
        <w:t xml:space="preserve"> placing Indian bourses — the National Stock Exchange (NSE) and the Bombay Stock Exchange (BSE) — among the most actively traded exchanges globally. This remarkable expansion reflects not merely macroeconomic growth, but the confidence engendered by a robust and progressively evolving regulatory framework. SEBI's role as market architect, guardian of investor interests, and enforcer of securities law has been decisive in this transformation.</w:t>
      </w:r>
    </w:p>
    <w:p w14:paraId="47469495" w14:textId="77777777" w:rsidR="005662D1" w:rsidRDefault="00000000">
      <w:pPr>
        <w:spacing w:before="120" w:after="120" w:line="360" w:lineRule="auto"/>
        <w:jc w:val="both"/>
      </w:pPr>
      <w:r>
        <w:lastRenderedPageBreak/>
        <w:t>This paper proceeds in seven sections. Following this introduction, Section II surveys the existing literature on SEBI's regulatory impact. Section III examines the legal and institutional foundations of SEBI's authority. Section IV analyses SEBI's contribution to primary market reform and market infrastructure development. Section V evaluates SEBI's investor protection jurisprudence. Section VI critically assesses SEBI's impact on corporate governance. Section VII identifies contemporary challenges and charts a path forward. The paper concludes in Section VIII with a synthesis of findings and policy recommendations.</w:t>
      </w:r>
    </w:p>
    <w:p w14:paraId="79BEE5AD" w14:textId="77777777" w:rsidR="005662D1" w:rsidRDefault="00000000">
      <w:pPr>
        <w:pStyle w:val="Heading1"/>
      </w:pPr>
      <w:r>
        <w:t>II. LITERATURE REVIEW</w:t>
      </w:r>
    </w:p>
    <w:p w14:paraId="2B7E1DFA" w14:textId="77777777" w:rsidR="005662D1" w:rsidRDefault="00000000">
      <w:pPr>
        <w:spacing w:before="120" w:after="120" w:line="360" w:lineRule="auto"/>
        <w:jc w:val="both"/>
      </w:pPr>
      <w:r>
        <w:t>The scholarly discourse on SEBI's regulatory impact draws from intersecting fields of law, economics, and public administration. An early and foundational contribution is that of Ajay Shah and Susan Thomas, who in their seminal 1999 essay examined the structural inadequacies of India's pre-reform securities market and argued that the creation of an independent statutory regulator was a necessary, though not sufficient, condition for market efficiency.</w:t>
      </w:r>
      <w:r>
        <w:rPr>
          <w:vertAlign w:val="superscript"/>
        </w:rPr>
        <w:footnoteReference w:id="9"/>
      </w:r>
      <w:r>
        <w:t xml:space="preserve"> Their analysis, situating India's securities regulation within broader debates on financial market liberalisation, remains an authoritative reference point for subsequent scholarship.</w:t>
      </w:r>
    </w:p>
    <w:p w14:paraId="2050CAAD" w14:textId="77777777" w:rsidR="005662D1" w:rsidRDefault="00000000">
      <w:pPr>
        <w:spacing w:before="120" w:after="120" w:line="360" w:lineRule="auto"/>
        <w:jc w:val="both"/>
      </w:pPr>
      <w:r>
        <w:t>Suchismita Bose, writing in the ICRA Bulletin, offered a comparative analysis of the United States SEC and SEBI, identifying both convergences and divergences in regulatory philosophy and enforcement capacity.</w:t>
      </w:r>
      <w:r>
        <w:rPr>
          <w:vertAlign w:val="superscript"/>
        </w:rPr>
        <w:footnoteReference w:id="10"/>
      </w:r>
      <w:r>
        <w:t xml:space="preserve"> Bose observed that while SEBI had successfully transplanted the substantive framework of US securities law — including disclosure-based regulation and insider trading prohibitions — enforcement remained constrained by limited investigative powers and judicial delays. This critique has retained contemporary relevance and has been echoed by subsequent scholars.</w:t>
      </w:r>
    </w:p>
    <w:p w14:paraId="567C13EE" w14:textId="77777777" w:rsidR="005662D1" w:rsidRDefault="00000000">
      <w:pPr>
        <w:spacing w:before="120" w:after="120" w:line="360" w:lineRule="auto"/>
        <w:jc w:val="both"/>
      </w:pPr>
      <w:r>
        <w:t xml:space="preserve">V. </w:t>
      </w:r>
      <w:proofErr w:type="spellStart"/>
      <w:r>
        <w:t>Umamaheswara</w:t>
      </w:r>
      <w:proofErr w:type="spellEnd"/>
      <w:r>
        <w:t xml:space="preserve"> Rao's analytical study of SEBI's performance, published in 2012, evaluated the regulator's contribution across multiple parameters including market liquidity, price volatility, and investor grievance redressal.</w:t>
      </w:r>
      <w:r>
        <w:rPr>
          <w:vertAlign w:val="superscript"/>
        </w:rPr>
        <w:footnoteReference w:id="11"/>
      </w:r>
      <w:r>
        <w:t xml:space="preserve"> Rao's empirical analysis demonstrated a </w:t>
      </w:r>
      <w:r>
        <w:lastRenderedPageBreak/>
        <w:t>statistically significant improvement in market efficiency indicators post-SEBI's empowerment, attributing this improvement to enhanced disclosure requirements, demat trading, and demutualisation of stock exchanges.</w:t>
      </w:r>
    </w:p>
    <w:p w14:paraId="71157D6E" w14:textId="77777777" w:rsidR="005662D1" w:rsidRDefault="00000000">
      <w:pPr>
        <w:spacing w:before="120" w:after="120" w:line="360" w:lineRule="auto"/>
        <w:jc w:val="both"/>
      </w:pPr>
      <w:r>
        <w:t>Harshita Bhatnagar, in a comprehensive study of SEBI's functions, catalogued the regulatory innovations introduced by SEBI and assessed their impact on market development.</w:t>
      </w:r>
      <w:r>
        <w:rPr>
          <w:vertAlign w:val="superscript"/>
        </w:rPr>
        <w:footnoteReference w:id="12"/>
      </w:r>
      <w:r>
        <w:t xml:space="preserve"> Her work highlighted that SEBI's interventions in the mutual fund sector — including mandatory NAV disclosure, standardised accounting norms, and entry load abolition — had significantly broadened retail investor participation in India's capital markets.</w:t>
      </w:r>
    </w:p>
    <w:p w14:paraId="6079DB59" w14:textId="77777777" w:rsidR="005662D1" w:rsidRDefault="00000000">
      <w:pPr>
        <w:spacing w:before="120" w:after="120" w:line="360" w:lineRule="auto"/>
        <w:jc w:val="both"/>
      </w:pPr>
      <w:r>
        <w:t xml:space="preserve">From the perspective of corporate governance, Prabhakara Rao and </w:t>
      </w:r>
      <w:proofErr w:type="spellStart"/>
      <w:r>
        <w:t>Malleswara</w:t>
      </w:r>
      <w:proofErr w:type="spellEnd"/>
      <w:r>
        <w:t xml:space="preserve"> Rao examined how SEBI's listing regulations had reshaped board composition and audit practices in Indian publicly listed companies.</w:t>
      </w:r>
      <w:r>
        <w:rPr>
          <w:vertAlign w:val="superscript"/>
        </w:rPr>
        <w:footnoteReference w:id="13"/>
      </w:r>
      <w:r>
        <w:t xml:space="preserve"> Their study, drawing on data from NSE-listed firms, demonstrated a positive correlation between SEBI's governance mandates and improvements in accounting quality and minority shareholder protection.</w:t>
      </w:r>
    </w:p>
    <w:p w14:paraId="3DE0BEDF" w14:textId="77777777" w:rsidR="005662D1" w:rsidRDefault="00000000">
      <w:pPr>
        <w:spacing w:before="120" w:after="120" w:line="360" w:lineRule="auto"/>
        <w:jc w:val="both"/>
      </w:pPr>
      <w:r>
        <w:t>The work of N. Ramakrishnan provides a useful institutional history, tracing SEBI's organisational evolution and detailing the progressive expansion of its mandate through successive legislative amendments and regulatory circulars.</w:t>
      </w:r>
      <w:r>
        <w:rPr>
          <w:vertAlign w:val="superscript"/>
        </w:rPr>
        <w:footnoteReference w:id="14"/>
      </w:r>
      <w:r>
        <w:t xml:space="preserve"> Ramakrishnan's contribution is particularly valuable for its documentation of SEBI's internal governance and its relationship with the Ministry of Finance, the Reserve Bank of India, and the Insurance Regulatory and Development Authority (IRDAI).</w:t>
      </w:r>
    </w:p>
    <w:p w14:paraId="72074D2C" w14:textId="77777777" w:rsidR="005662D1" w:rsidRDefault="00000000">
      <w:pPr>
        <w:spacing w:before="120" w:after="120" w:line="360" w:lineRule="auto"/>
        <w:jc w:val="both"/>
      </w:pPr>
      <w:r>
        <w:t>At the international level, the International Organization of Securities Commissions (IOSCO) has repeatedly assessed India's securities regulatory framework against its Objectives and Principles of Securities Regulation.</w:t>
      </w:r>
      <w:r>
        <w:rPr>
          <w:vertAlign w:val="superscript"/>
        </w:rPr>
        <w:footnoteReference w:id="15"/>
      </w:r>
      <w:r>
        <w:t xml:space="preserve"> These assessments have generally acknowledged SEBI's progressively improving alignment with international standards, while noting persistent gaps in enforcement resources and cross-border cooperation. The World Bank's Financial Sector </w:t>
      </w:r>
      <w:r>
        <w:lastRenderedPageBreak/>
        <w:t>Assessment Program similarly evaluated India's capital market infrastructure and identified SEBI's framework as broadly sound, while recommending enhanced supervisory capacity.</w:t>
      </w:r>
      <w:r>
        <w:rPr>
          <w:vertAlign w:val="superscript"/>
        </w:rPr>
        <w:footnoteReference w:id="16"/>
      </w:r>
    </w:p>
    <w:p w14:paraId="1D287ADC" w14:textId="77777777" w:rsidR="005662D1" w:rsidRDefault="00000000">
      <w:pPr>
        <w:spacing w:before="120" w:after="120" w:line="360" w:lineRule="auto"/>
        <w:jc w:val="both"/>
      </w:pPr>
      <w:r>
        <w:t>The foregoing survey reveals a broad scholarly consensus that SEBI has been transformative in modernising India's capital markets, while simultaneously identifying systemic deficiencies in enforcement, inter-regulatory coordination, and adaptation to technological disruption. This paper builds upon this literature by providing an integrated legal analysis that synthesises doctrinal, institutional, and policy perspectives.</w:t>
      </w:r>
    </w:p>
    <w:p w14:paraId="34FE16B9" w14:textId="77777777" w:rsidR="005662D1" w:rsidRDefault="00000000">
      <w:pPr>
        <w:pStyle w:val="Heading1"/>
      </w:pPr>
      <w:r>
        <w:t>III. LEGAL AND INSTITUTIONAL FOUNDATIONS OF SEBI</w:t>
      </w:r>
    </w:p>
    <w:p w14:paraId="12BA9804" w14:textId="77777777" w:rsidR="005662D1" w:rsidRDefault="00000000">
      <w:pPr>
        <w:pStyle w:val="Heading2"/>
      </w:pPr>
      <w:r>
        <w:t>3.1 Constitutional and Statutory Basis</w:t>
      </w:r>
    </w:p>
    <w:p w14:paraId="1B669F02" w14:textId="77777777" w:rsidR="005662D1" w:rsidRDefault="00000000">
      <w:pPr>
        <w:spacing w:before="120" w:after="120" w:line="360" w:lineRule="auto"/>
        <w:jc w:val="both"/>
      </w:pPr>
      <w:r>
        <w:t>SEBI derives its authority from the Securities and Exchange Board of India Act, 1992, which was enacted by Parliament in exercise of its legislative competence under Entry 90 of the Union List (List I) to the Seventh Schedule of the Constitution of India, read with Article 246. The Act confers upon SEBI a tripartite mandate: to protect the interests of investors in securities; to promote the development of the securities market; and to regulate the securities market.</w:t>
      </w:r>
      <w:r>
        <w:rPr>
          <w:vertAlign w:val="superscript"/>
        </w:rPr>
        <w:footnoteReference w:id="17"/>
      </w:r>
      <w:r>
        <w:t xml:space="preserve"> This three-fold purpose creates an inherent tension between the protective and developmental functions, requiring SEBI to continuously calibrate its regulatory posture.</w:t>
      </w:r>
    </w:p>
    <w:p w14:paraId="4AEEC321" w14:textId="77777777" w:rsidR="005662D1" w:rsidRDefault="00000000">
      <w:pPr>
        <w:spacing w:before="120" w:after="120" w:line="360" w:lineRule="auto"/>
        <w:jc w:val="both"/>
      </w:pPr>
      <w:r>
        <w:t>The SEBI Act vests the Board with quasi-legislative power under Section 11 to regulate by issuing guidelines and Section 30 to make regulations, quasi-executive power under Sections 11B and 11D to issue directions and take remedial measures, and quasi-judicial power under Sections 15H and 15-I to adjudicate and impose penalties. The Securities Appellate Tribunal (SAT), constituted under Chapter VIA of the Act, provides a specialised appellate forum for reviewing SEBI's adjudicatory orders, with a further right of appeal to the Supreme Court on questions of law under Section 15Z.</w:t>
      </w:r>
      <w:r>
        <w:rPr>
          <w:vertAlign w:val="superscript"/>
        </w:rPr>
        <w:footnoteReference w:id="18"/>
      </w:r>
      <w:r>
        <w:t xml:space="preserve"> This institutional architecture reflects a conscious legislative design to ensure both regulatory effectiveness and procedural fairness.</w:t>
      </w:r>
    </w:p>
    <w:p w14:paraId="44C093B1" w14:textId="77777777" w:rsidR="005662D1" w:rsidRDefault="00000000">
      <w:pPr>
        <w:pStyle w:val="Heading2"/>
      </w:pPr>
      <w:r>
        <w:lastRenderedPageBreak/>
        <w:t>3.2 Jurisdictional Scope and Evolution</w:t>
      </w:r>
    </w:p>
    <w:p w14:paraId="2AEECAD0" w14:textId="77777777" w:rsidR="005662D1" w:rsidRDefault="00000000">
      <w:pPr>
        <w:spacing w:before="120" w:after="120" w:line="360" w:lineRule="auto"/>
        <w:jc w:val="both"/>
      </w:pPr>
      <w:r>
        <w:t>SEBI's jurisdiction extends over 'securities' as defined under the Securities Contracts (Regulation) Act, 1956,</w:t>
      </w:r>
      <w:r>
        <w:rPr>
          <w:vertAlign w:val="superscript"/>
        </w:rPr>
        <w:footnoteReference w:id="19"/>
      </w:r>
      <w:r>
        <w:t xml:space="preserve"> a definition that has been progressively broadened by judicial interpretation and legislative amendment to encompass derivatives, units of collective investment schemes, government securities, and, more recently, municipal bonds and infrastructure investment trusts.</w:t>
      </w:r>
      <w:r>
        <w:rPr>
          <w:vertAlign w:val="superscript"/>
        </w:rPr>
        <w:footnoteReference w:id="20"/>
      </w:r>
      <w:r>
        <w:t xml:space="preserve"> The SEBI (Amendment) Act, 2002, and subsequent amendments in 2014 and 2018 significantly enhanced SEBI's enforcement powers, including the power to conduct search and seizure operations, call for records from banks and other regulated entities, and impose substantially higher monetary penalties.</w:t>
      </w:r>
    </w:p>
    <w:p w14:paraId="25E75B6A" w14:textId="77777777" w:rsidR="005662D1" w:rsidRDefault="00000000">
      <w:pPr>
        <w:spacing w:before="120" w:after="120" w:line="360" w:lineRule="auto"/>
        <w:jc w:val="both"/>
      </w:pPr>
      <w:r>
        <w:t>A seminal boundary-demarcating decision is Sahara India Real Estate Corp. Ltd. v. SEBI,</w:t>
      </w:r>
      <w:r>
        <w:rPr>
          <w:vertAlign w:val="superscript"/>
        </w:rPr>
        <w:footnoteReference w:id="21"/>
      </w:r>
      <w:r>
        <w:t xml:space="preserve"> in which the Supreme Court of India upheld SEBI's jurisdiction over hybrid instruments that had characteristics of both securities and public deposits. The Court's expansive interpretation of SEBI's jurisdictional remit — grounded in a purposive reading of the SEBI Act and the protective mandate of securities regulation — has had far-reaching consequences for regulatory boundary disputes and has reinforced SEBI's authority over innovative financial instruments.</w:t>
      </w:r>
    </w:p>
    <w:p w14:paraId="37AAC0C8" w14:textId="77777777" w:rsidR="005662D1" w:rsidRDefault="00000000">
      <w:pPr>
        <w:pStyle w:val="Heading2"/>
      </w:pPr>
      <w:r>
        <w:t>3.3 Regulatory Powers and Instruments</w:t>
      </w:r>
    </w:p>
    <w:p w14:paraId="2CB2993E" w14:textId="77777777" w:rsidR="005662D1" w:rsidRDefault="00000000">
      <w:pPr>
        <w:spacing w:before="120" w:after="120" w:line="360" w:lineRule="auto"/>
        <w:jc w:val="both"/>
      </w:pPr>
      <w:r>
        <w:t>SEBI exercises its regulatory functions through a layered system of legal instruments: primary Regulations framed under Section 30; Circulars and Guidance Notes issued under Sections 11 and 11B; Informal Guidance available to market participants seeking clarification on regulatory requirements; and Consent Orders enabling settlement of enforcement proceedings without formal adjudication. The Consent Order framework, modelled on the SEC's no-admissions settlement mechanism, has been particularly significant in enabling swift resolution of regulatory breaches and reducing enforcement backlogs.</w:t>
      </w:r>
      <w:r>
        <w:rPr>
          <w:vertAlign w:val="superscript"/>
        </w:rPr>
        <w:footnoteReference w:id="22"/>
      </w:r>
    </w:p>
    <w:p w14:paraId="5AAD982B" w14:textId="77777777" w:rsidR="005662D1" w:rsidRDefault="00000000">
      <w:pPr>
        <w:pStyle w:val="Heading1"/>
      </w:pPr>
      <w:r>
        <w:lastRenderedPageBreak/>
        <w:t>IV. PRIMARY MARKET REFORM AND MARKET INFRASTRUCTURE</w:t>
      </w:r>
    </w:p>
    <w:p w14:paraId="50B38FBF" w14:textId="77777777" w:rsidR="005662D1" w:rsidRDefault="00000000">
      <w:pPr>
        <w:pStyle w:val="Heading2"/>
      </w:pPr>
      <w:r>
        <w:t>4.1 Initial Public Offerings and Disclosure-Based Regulation</w:t>
      </w:r>
    </w:p>
    <w:p w14:paraId="139E8255" w14:textId="77777777" w:rsidR="005662D1" w:rsidRDefault="00000000">
      <w:pPr>
        <w:spacing w:before="120" w:after="120" w:line="360" w:lineRule="auto"/>
        <w:jc w:val="both"/>
      </w:pPr>
      <w:r>
        <w:t>Prior to SEBI's regulatory assertion, the primary market was governed by the Controller of Capital Issues (CCI), whose discretionary pricing controls had created significant market distortions and given rise to grey market premiums and rampant allotment irregularities. SEBI's abolition of the CCI regime and transition to a disclosure-based, market-determined pricing system represented the most consequential structural reform in Indian capital market history.</w:t>
      </w:r>
      <w:r>
        <w:rPr>
          <w:vertAlign w:val="superscript"/>
        </w:rPr>
        <w:footnoteReference w:id="23"/>
      </w:r>
      <w:r>
        <w:t xml:space="preserve"> The disclosure-based paradigm, codified initially in the SEBI (Disclosure and Investor Protection) Guidelines, 2000, and later superseded by the SEBI (Issue of Capital and Disclosure Requirements) Regulations, 2018 (ICDR Regulations),</w:t>
      </w:r>
      <w:r>
        <w:rPr>
          <w:vertAlign w:val="superscript"/>
        </w:rPr>
        <w:footnoteReference w:id="24"/>
      </w:r>
      <w:r>
        <w:t xml:space="preserve"> places the burden on issuer companies to make full and fair disclosure of all material facts, empowering investors to make informed allocation decisions.</w:t>
      </w:r>
    </w:p>
    <w:p w14:paraId="42FAB897" w14:textId="77777777" w:rsidR="005662D1" w:rsidRDefault="00000000">
      <w:pPr>
        <w:spacing w:before="120" w:after="120" w:line="360" w:lineRule="auto"/>
        <w:jc w:val="both"/>
      </w:pPr>
      <w:r>
        <w:t>The introduction of book-building as the primary price discovery mechanism, combined with mandatory uniform cut-off price allotment for retail investors and the ASBA (Application Supported by Blocked Amount) system — wherein application monies remain in the investor's bank account until allotment — have transformed the IPO process into one that is broadly efficient, transparent, and retail-friendly.</w:t>
      </w:r>
      <w:r>
        <w:rPr>
          <w:vertAlign w:val="superscript"/>
        </w:rPr>
        <w:footnoteReference w:id="25"/>
      </w:r>
      <w:r>
        <w:t xml:space="preserve"> India's ASBA-based IPO architecture has been recognised internationally as an innovation that other emerging markets have sought to replicate.</w:t>
      </w:r>
    </w:p>
    <w:p w14:paraId="27885E29" w14:textId="77777777" w:rsidR="005662D1" w:rsidRDefault="00000000">
      <w:pPr>
        <w:pStyle w:val="Heading2"/>
      </w:pPr>
      <w:r>
        <w:t>4.2 Demutualisation and Modernisation of Stock Exchanges</w:t>
      </w:r>
    </w:p>
    <w:p w14:paraId="3591148D" w14:textId="77777777" w:rsidR="005662D1" w:rsidRDefault="00000000">
      <w:pPr>
        <w:spacing w:before="120" w:after="120" w:line="360" w:lineRule="auto"/>
        <w:jc w:val="both"/>
      </w:pPr>
      <w:r>
        <w:t xml:space="preserve">A watershed structural reform orchestrated by SEBI was the demutualisation and corporatisation of stock exchanges, mandated under the Securities Contracts (Regulation) (Amendment) Act, 2004. Prior to demutualisation, stock exchanges were broker-owned cooperatives where the owners were simultaneously the regulators and the regulated, creating </w:t>
      </w:r>
      <w:r>
        <w:lastRenderedPageBreak/>
        <w:t>intractable conflicts of interest.</w:t>
      </w:r>
      <w:r>
        <w:rPr>
          <w:vertAlign w:val="superscript"/>
        </w:rPr>
        <w:footnoteReference w:id="26"/>
      </w:r>
      <w:r>
        <w:t xml:space="preserve"> The separation of ownership, management, and trading rights through demutualisation, combined with mandatory public listing of recognised exchanges, transformed these institutions into transparent, accountable, and profit-motivated entities subject to SEBI's continuing oversight.</w:t>
      </w:r>
    </w:p>
    <w:p w14:paraId="19CE2DE8" w14:textId="77777777" w:rsidR="005662D1" w:rsidRDefault="00000000">
      <w:pPr>
        <w:spacing w:before="120" w:after="120" w:line="360" w:lineRule="auto"/>
        <w:jc w:val="both"/>
      </w:pPr>
      <w:r>
        <w:t>The concurrent introduction of the National Securities Depository Limited (NSDL) in 1996, and the Central Depository Services (India) Limited (CDSL) in 1999, under SEBI's regulatory aegis, eliminated physical share certificates and the associated risks of bad delivery, forgery, and settlement failure. The Delivery Versus Payment (DVP) settlement mechanism and the reduction of the settlement cycle from T+5 to T+1 — one of the shortest settlement windows in the world — have dramatically reduced counterparty risk and enhanced market liquidity.</w:t>
      </w:r>
      <w:r>
        <w:rPr>
          <w:vertAlign w:val="superscript"/>
        </w:rPr>
        <w:footnoteReference w:id="27"/>
      </w:r>
    </w:p>
    <w:p w14:paraId="15C3D81A" w14:textId="77777777" w:rsidR="005662D1" w:rsidRDefault="00000000">
      <w:pPr>
        <w:pStyle w:val="Heading2"/>
      </w:pPr>
      <w:r>
        <w:t>4.3 Development of the Derivatives Market</w:t>
      </w:r>
    </w:p>
    <w:p w14:paraId="1546277A" w14:textId="77777777" w:rsidR="005662D1" w:rsidRDefault="00000000">
      <w:pPr>
        <w:spacing w:before="120" w:after="120" w:line="360" w:lineRule="auto"/>
        <w:jc w:val="both"/>
      </w:pPr>
      <w:r>
        <w:t>The development of exchange-traded derivatives — equity index futures (introduced in 2000), index options (2001), stock futures and options (2001-2002), and currency and interest rate derivatives — represents another dimension of SEBI's market development mandate. The L. C. Gupta Committee and the J. R. Varma Committee Reports, commissioned by SEBI, provided the intellectual and regulatory foundations for India's derivatives framework, establishing risk-containment measures including initial margin, mark-to-market settlement, and position limits.</w:t>
      </w:r>
      <w:r>
        <w:rPr>
          <w:vertAlign w:val="superscript"/>
        </w:rPr>
        <w:footnoteReference w:id="28"/>
      </w:r>
      <w:r>
        <w:t xml:space="preserve"> India's derivatives markets have subsequently grown to rank among the highest in global volume, with NSE consistently appearing among the world's largest derivatives exchanges by contract volume.</w:t>
      </w:r>
    </w:p>
    <w:p w14:paraId="3F65387B" w14:textId="77777777" w:rsidR="005662D1" w:rsidRDefault="00000000">
      <w:pPr>
        <w:pStyle w:val="Heading1"/>
      </w:pPr>
      <w:r>
        <w:t>V. INVESTOR PROTECTION JURISPRUDENCE</w:t>
      </w:r>
    </w:p>
    <w:p w14:paraId="29349343" w14:textId="77777777" w:rsidR="005662D1" w:rsidRDefault="00000000">
      <w:pPr>
        <w:pStyle w:val="Heading2"/>
      </w:pPr>
      <w:r>
        <w:t>5.1 Prohibition of Insider Trading</w:t>
      </w:r>
    </w:p>
    <w:p w14:paraId="61023D3E" w14:textId="77777777" w:rsidR="005662D1" w:rsidRDefault="00000000">
      <w:pPr>
        <w:spacing w:before="120" w:after="120" w:line="360" w:lineRule="auto"/>
        <w:jc w:val="both"/>
      </w:pPr>
      <w:r>
        <w:t xml:space="preserve">The regulation of insider trading represents one of SEBI's most significant contributions to investor protection and market integrity. The SEBI (Insider Trading) Regulations, 1992, were </w:t>
      </w:r>
      <w:r>
        <w:lastRenderedPageBreak/>
        <w:t>among the earliest regulatory instruments framed by SEBI, reflecting the legislature's concern that information asymmetry between corporate insiders and the investing public constituted a fundamental threat to market fairness. These regulations were substantially overhauled by the T. K. Viswanathan Committee's recommendations, resulting in the SEBI (Prohibition of Insider Trading) Regulations, 2015,</w:t>
      </w:r>
      <w:r>
        <w:rPr>
          <w:vertAlign w:val="superscript"/>
        </w:rPr>
        <w:footnoteReference w:id="29"/>
      </w:r>
      <w:r>
        <w:t xml:space="preserve"> which introduced the concept of 'unpublished price sensitive information' (UPSI), mandatory trading plans, and structured obligations for designated persons.</w:t>
      </w:r>
    </w:p>
    <w:p w14:paraId="2DF44D70" w14:textId="77777777" w:rsidR="005662D1" w:rsidRDefault="00000000">
      <w:pPr>
        <w:spacing w:before="120" w:after="120" w:line="360" w:lineRule="auto"/>
        <w:jc w:val="both"/>
      </w:pPr>
      <w:r>
        <w:t xml:space="preserve">A defining judicial pronouncement on insider trading is SEBI v. Rakhi Trading </w:t>
      </w:r>
      <w:proofErr w:type="spellStart"/>
      <w:r>
        <w:t>Pvt.</w:t>
      </w:r>
      <w:proofErr w:type="spellEnd"/>
      <w:r>
        <w:t xml:space="preserve"> Ltd.,</w:t>
      </w:r>
      <w:r>
        <w:rPr>
          <w:vertAlign w:val="superscript"/>
        </w:rPr>
        <w:footnoteReference w:id="30"/>
      </w:r>
      <w:r>
        <w:t xml:space="preserve"> in which the Supreme Court affirmed SEBI's authority to take action against entities that traded on the basis of non-public information even in the absence of direct proof of communication of UPSI, recognising that circumstantial evidence of suspicious trading patterns could ground liability. This decision significantly strengthened SEBI's enforcement hand and demonstrated the judiciary's willingness to adopt a purposive interpretation of insider trading law consistent with the regulatory objective of maintaining market integrity.</w:t>
      </w:r>
    </w:p>
    <w:p w14:paraId="104B9A55" w14:textId="77777777" w:rsidR="005662D1" w:rsidRDefault="00000000">
      <w:pPr>
        <w:pStyle w:val="Heading2"/>
      </w:pPr>
      <w:r>
        <w:t>5.2 Prevention of Market Manipulation and Fraudulent Practices</w:t>
      </w:r>
    </w:p>
    <w:p w14:paraId="3F6C5DC9" w14:textId="77777777" w:rsidR="005662D1" w:rsidRDefault="00000000">
      <w:pPr>
        <w:spacing w:before="120" w:after="120" w:line="360" w:lineRule="auto"/>
        <w:jc w:val="both"/>
      </w:pPr>
      <w:r>
        <w:t>SEBI's arsenal against market manipulation encompasses the SEBI (Prohibition of Fraudulent and Unfair Trade Practices Relating to Securities Market) Regulations, 2003,</w:t>
      </w:r>
      <w:r>
        <w:rPr>
          <w:vertAlign w:val="superscript"/>
        </w:rPr>
        <w:footnoteReference w:id="31"/>
      </w:r>
      <w:r>
        <w:t xml:space="preserve"> which prohibit a broad range of manipulative practices including price rigging, circular trading, pump-and-dump schemes, and dissemination of misleading information. The Regulations vest SEBI with wide investigative powers, including the power to call for records from stock exchanges, depositories, clearing corporations, banks, and other regulated entities, significantly enhancing the regulator's ability to trace and reconstruct manipulative trading patterns.</w:t>
      </w:r>
    </w:p>
    <w:p w14:paraId="3B56B69F" w14:textId="77777777" w:rsidR="005662D1" w:rsidRDefault="00000000">
      <w:pPr>
        <w:spacing w:before="120" w:after="120" w:line="360" w:lineRule="auto"/>
        <w:jc w:val="both"/>
      </w:pPr>
      <w:r>
        <w:t xml:space="preserve">SEBI's enforcement action has grown substantially in scale and sophistication over the decades. In its Annual Reports, SEBI regularly reports hundreds of enforcement actions encompassing adjudication proceedings, disgorgement orders, market access bans, and </w:t>
      </w:r>
      <w:r>
        <w:lastRenderedPageBreak/>
        <w:t>criminal prosecutions under Section 24 of the SEBI Act.</w:t>
      </w:r>
      <w:r>
        <w:rPr>
          <w:vertAlign w:val="superscript"/>
        </w:rPr>
        <w:footnoteReference w:id="32"/>
      </w:r>
      <w:r>
        <w:t xml:space="preserve"> Notable enforcement actions have included cases involving coordinated manipulation of small-cap securities through social media, algorithmic spoofing, and cross-border manipulation involving entities in offshore financial centres. The development of SEBI's analytical capabilities — including the Integrated Market Surveillance System (IMSS) and the Social Media Monitoring System — reflects a continuing investment in technology-enabled enforcement.</w:t>
      </w:r>
    </w:p>
    <w:p w14:paraId="08A8B9FF" w14:textId="77777777" w:rsidR="005662D1" w:rsidRDefault="00000000">
      <w:pPr>
        <w:pStyle w:val="Heading2"/>
      </w:pPr>
      <w:r>
        <w:t>5.3 Investor Grievance Redressal Mechanisms</w:t>
      </w:r>
    </w:p>
    <w:p w14:paraId="4BF42302" w14:textId="77777777" w:rsidR="005662D1" w:rsidRDefault="00000000">
      <w:pPr>
        <w:spacing w:before="120" w:after="120" w:line="360" w:lineRule="auto"/>
        <w:jc w:val="both"/>
      </w:pPr>
      <w:r>
        <w:t>Effective investor protection requires not merely substantive regulatory standards but accessible and efficient grievance redressal infrastructure. SEBI has established the SCORES (SEBI Complaints Redress System) platform, an online interface enabling investors to lodge complaints against listed companies, brokers, depositories, and other regulated intermediaries, with mandatory time-bound resolution requirements. The system has progressively reduced average grievance resolution time and has processed millions of investor complaints since its inception.</w:t>
      </w:r>
      <w:r>
        <w:rPr>
          <w:vertAlign w:val="superscript"/>
        </w:rPr>
        <w:footnoteReference w:id="33"/>
      </w:r>
      <w:r>
        <w:t xml:space="preserve"> SEBI has also established the SEBI Investor Protection and Education Fund (IPEF) for financing investor education campaigns and victim compensation in appropriate cases.</w:t>
      </w:r>
    </w:p>
    <w:p w14:paraId="6FEFE67B" w14:textId="77777777" w:rsidR="005662D1" w:rsidRDefault="00000000">
      <w:pPr>
        <w:pStyle w:val="Heading1"/>
      </w:pPr>
      <w:r>
        <w:t>VI. SEBI AND CORPORATE GOVERNANCE</w:t>
      </w:r>
    </w:p>
    <w:p w14:paraId="6169E5F5" w14:textId="77777777" w:rsidR="005662D1" w:rsidRDefault="00000000">
      <w:pPr>
        <w:pStyle w:val="Heading2"/>
      </w:pPr>
      <w:r>
        <w:t>6.1 Evolution of Governance Standards</w:t>
      </w:r>
    </w:p>
    <w:p w14:paraId="36A7C9C9" w14:textId="77777777" w:rsidR="005662D1" w:rsidRDefault="00000000">
      <w:pPr>
        <w:spacing w:before="120" w:after="120" w:line="360" w:lineRule="auto"/>
        <w:jc w:val="both"/>
      </w:pPr>
      <w:r>
        <w:t>The corporate governance dimension of SEBI's regulatory mandate has assumed increasing centrality following a series of corporate scandals — most notably the Ketan Parekh securities scam (2001) and the Satyam Computer Services accounting fraud (2009) — that exposed the vulnerability of Indian capital markets to governance failures. SEBI's governance regulatory framework has developed through an iterative process of committee recommendations and regulatory amendments, with landmark contributions from the Kumar Mangalam Birla Committee (2000),</w:t>
      </w:r>
      <w:r>
        <w:rPr>
          <w:vertAlign w:val="superscript"/>
        </w:rPr>
        <w:footnoteReference w:id="34"/>
      </w:r>
      <w:r>
        <w:t xml:space="preserve"> the Narayana Murthy Committee (2003),</w:t>
      </w:r>
      <w:r>
        <w:rPr>
          <w:vertAlign w:val="superscript"/>
        </w:rPr>
        <w:footnoteReference w:id="35"/>
      </w:r>
      <w:r>
        <w:t xml:space="preserve"> the Naresh Chandra </w:t>
      </w:r>
      <w:r>
        <w:lastRenderedPageBreak/>
        <w:t>Committee (2002),</w:t>
      </w:r>
      <w:r>
        <w:rPr>
          <w:vertAlign w:val="superscript"/>
        </w:rPr>
        <w:footnoteReference w:id="36"/>
      </w:r>
      <w:r>
        <w:t xml:space="preserve"> and most recently the Uday Kotak Committee on Corporate Governance (2017).</w:t>
      </w:r>
    </w:p>
    <w:p w14:paraId="5DF4FF6E" w14:textId="77777777" w:rsidR="005662D1" w:rsidRDefault="00000000">
      <w:pPr>
        <w:spacing w:before="120" w:after="120" w:line="360" w:lineRule="auto"/>
        <w:jc w:val="both"/>
      </w:pPr>
      <w:r>
        <w:t>The SEBI (Listing Obligations and Disclosure Requirements) Regulations, 2015 (LODR Regulations),</w:t>
      </w:r>
      <w:r>
        <w:rPr>
          <w:vertAlign w:val="superscript"/>
        </w:rPr>
        <w:footnoteReference w:id="37"/>
      </w:r>
      <w:r>
        <w:t xml:space="preserve"> represent the most comprehensive codification of corporate governance requirements for listed entities. The LODR Regulations prescribe detailed obligations relating to board composition (including mandatory independent directors and a cap on directorial tenure), audit committee constitution and powers, related party transaction approval mechanisms, dividend distribution policies, and continuous disclosure obligations. These requirements, interpreted and enforced by SEBI through adjudication and regulatory action, have fundamentally altered governance practices in Indian listed companies.</w:t>
      </w:r>
    </w:p>
    <w:p w14:paraId="1AF80FE1" w14:textId="77777777" w:rsidR="005662D1" w:rsidRDefault="00000000">
      <w:pPr>
        <w:pStyle w:val="Heading2"/>
      </w:pPr>
      <w:r>
        <w:t>6.2 Board Independence and Audit Quality</w:t>
      </w:r>
    </w:p>
    <w:p w14:paraId="3985FA50" w14:textId="77777777" w:rsidR="005662D1" w:rsidRDefault="00000000">
      <w:pPr>
        <w:spacing w:before="120" w:after="120" w:line="360" w:lineRule="auto"/>
        <w:jc w:val="both"/>
      </w:pPr>
      <w:r>
        <w:t xml:space="preserve">A central pillar of SEBI's governance framework is the requirement for board independence. The LODR Regulations mandate that at least one-third (or one-half, where the chairperson is an executive director) of the board of a listed entity </w:t>
      </w:r>
      <w:proofErr w:type="gramStart"/>
      <w:r>
        <w:t>comprise</w:t>
      </w:r>
      <w:proofErr w:type="gramEnd"/>
      <w:r>
        <w:t xml:space="preserve"> independent directors meeting prescribed criteria of independence from management, promoters, and associated entities. This requirement, complemented by the Companies Act, 2013's provisions on audit committees and nomination and remuneration committees,</w:t>
      </w:r>
      <w:r>
        <w:rPr>
          <w:vertAlign w:val="superscript"/>
        </w:rPr>
        <w:footnoteReference w:id="38"/>
      </w:r>
      <w:r>
        <w:t xml:space="preserve"> has substantially reduced the ability of promoter groups to dominate board decision-making in listed companies.</w:t>
      </w:r>
    </w:p>
    <w:p w14:paraId="63E0A527" w14:textId="77777777" w:rsidR="005662D1" w:rsidRDefault="00000000">
      <w:pPr>
        <w:spacing w:before="120" w:after="120" w:line="360" w:lineRule="auto"/>
        <w:jc w:val="both"/>
      </w:pPr>
      <w:r>
        <w:t>SEBI's circular framework on audit quality — including requirements for mandatory audit firm rotation, audit partner rotation, and disclosure of audit and non-audit fee ratios — has addressed audit independence concerns that contributed to accounting scandals in the pre-reform era.</w:t>
      </w:r>
      <w:r>
        <w:rPr>
          <w:vertAlign w:val="superscript"/>
        </w:rPr>
        <w:footnoteReference w:id="39"/>
      </w:r>
      <w:r>
        <w:t xml:space="preserve"> The requirement for listed entities to constitute audit committees with a majority of independent directors, vested with powers of enquiry into financial reporting and internal control systems, has added a structural layer of oversight that complements statutory audit.</w:t>
      </w:r>
    </w:p>
    <w:p w14:paraId="3C2CBE0F" w14:textId="77777777" w:rsidR="005662D1" w:rsidRDefault="00000000">
      <w:pPr>
        <w:pStyle w:val="Heading2"/>
      </w:pPr>
      <w:r>
        <w:lastRenderedPageBreak/>
        <w:t>6.3 Related Party Transactions and Minority Shareholder Protection</w:t>
      </w:r>
    </w:p>
    <w:p w14:paraId="1B8406B7" w14:textId="77777777" w:rsidR="005662D1" w:rsidRDefault="00000000">
      <w:pPr>
        <w:spacing w:before="120" w:after="120" w:line="360" w:lineRule="auto"/>
        <w:jc w:val="both"/>
      </w:pPr>
      <w:r>
        <w:t>Related party transactions (RPTs) between listed companies and their promoter-related entities have historically been a significant vector for wealth transfer from minority shareholders to controlling shareholders in India's promoter-dominated listed sector. SEBI's progressive tightening of RPT approval requirements — including mandatory material RPT approval by a majority of minority (non-related party) shareholders and enhanced disclosure of RPT terms and rationale — has substantially reduced the scope for tunnelling.</w:t>
      </w:r>
      <w:r>
        <w:rPr>
          <w:vertAlign w:val="superscript"/>
        </w:rPr>
        <w:footnoteReference w:id="40"/>
      </w:r>
      <w:r>
        <w:t xml:space="preserve"> The introduction of enhanced RPT regulations in 2021, drawing on recommendations of the Kotak Committee, further strengthened these protections by expanding the definition of related parties and lowering materiality thresholds.</w:t>
      </w:r>
    </w:p>
    <w:p w14:paraId="330255FA" w14:textId="77777777" w:rsidR="005662D1" w:rsidRDefault="00000000">
      <w:pPr>
        <w:pStyle w:val="Heading1"/>
      </w:pPr>
      <w:r>
        <w:t>VII. CONTEMPORARY CHALLENGES AND THE PATH FORWARD</w:t>
      </w:r>
    </w:p>
    <w:p w14:paraId="7BA913D6" w14:textId="77777777" w:rsidR="005662D1" w:rsidRDefault="00000000">
      <w:pPr>
        <w:pStyle w:val="Heading2"/>
      </w:pPr>
      <w:r>
        <w:t>7.1 Technological Disruption and Algorithmic Trading</w:t>
      </w:r>
    </w:p>
    <w:p w14:paraId="206AE58A" w14:textId="77777777" w:rsidR="005662D1" w:rsidRDefault="00000000">
      <w:pPr>
        <w:spacing w:before="120" w:after="120" w:line="360" w:lineRule="auto"/>
        <w:jc w:val="both"/>
      </w:pPr>
      <w:r>
        <w:t>The proliferation of algorithmic and high-frequency trading (HFT) presents a regulatory challenge of significant complexity for SEBI. Algorithmic trading now accounts for a substantial share of equity market volume on Indian exchanges, raising concerns about market fairness, systemic risk, and the adequacy of market microstructure safeguards.</w:t>
      </w:r>
      <w:r>
        <w:rPr>
          <w:vertAlign w:val="superscript"/>
        </w:rPr>
        <w:footnoteReference w:id="41"/>
      </w:r>
      <w:r>
        <w:t xml:space="preserve"> SEBI's discussion paper on algorithmic trading (2016)</w:t>
      </w:r>
      <w:r>
        <w:rPr>
          <w:vertAlign w:val="superscript"/>
        </w:rPr>
        <w:footnoteReference w:id="42"/>
      </w:r>
      <w:r>
        <w:t xml:space="preserve"> initiated a regulatory dialogue on issues including co-location fairness, order-to-trade ratios, and risk management for algorithmic participants, but a comprehensive regulatory framework remains a work in progress.</w:t>
      </w:r>
    </w:p>
    <w:p w14:paraId="3FF4AF15" w14:textId="77777777" w:rsidR="005662D1" w:rsidRDefault="00000000">
      <w:pPr>
        <w:spacing w:before="120" w:after="120" w:line="360" w:lineRule="auto"/>
        <w:jc w:val="both"/>
      </w:pPr>
      <w:r>
        <w:t>Cybersecurity represents a related but distinct challenge. The increasing interconnectedness of market infrastructure — exchanges, clearing corporations, depositories, and intermediaries — creates systemic vulnerabilities that sophisticated cyber-attacks could exploit with potentially catastrophic consequences for market stability. SEBI's Technology Advisory Committee has recommended a Cybersecurity and Cyber Resilience Framework,</w:t>
      </w:r>
      <w:r>
        <w:rPr>
          <w:vertAlign w:val="superscript"/>
        </w:rPr>
        <w:footnoteReference w:id="43"/>
      </w:r>
      <w:r>
        <w:t xml:space="preserve"> and SEBI has issued directives mandating minimum cybersecurity standards for regulated entities. However, as the </w:t>
      </w:r>
      <w:r>
        <w:lastRenderedPageBreak/>
        <w:t>global experience with financial sector cyber incidents demonstrates, regulatory prescription alone cannot guarantee the resilience of complex sociotechnical systems.</w:t>
      </w:r>
    </w:p>
    <w:p w14:paraId="28ED8B34" w14:textId="77777777" w:rsidR="005662D1" w:rsidRDefault="00000000">
      <w:pPr>
        <w:pStyle w:val="Heading2"/>
      </w:pPr>
      <w:r>
        <w:t>7.2 ESG Regulation and Sustainable Finance</w:t>
      </w:r>
    </w:p>
    <w:p w14:paraId="3C0203D0" w14:textId="77777777" w:rsidR="005662D1" w:rsidRDefault="00000000">
      <w:pPr>
        <w:spacing w:before="120" w:after="120" w:line="360" w:lineRule="auto"/>
        <w:jc w:val="both"/>
      </w:pPr>
      <w:r>
        <w:t>The global transition toward sustainable finance has prompted SEBI to develop a regulatory framework for Environmental, Social, and Governance (ESG) disclosures, ratings, and investing. The Business Responsibility and Sustainability Report (BRSR), mandated for the top 1,000 listed companies from 2022-23, represents a significant step toward standardised ESG disclosure. SEBI's consultation paper on ESG Disclosures, Ratings and Investing (January 2023)</w:t>
      </w:r>
      <w:r>
        <w:rPr>
          <w:vertAlign w:val="superscript"/>
        </w:rPr>
        <w:footnoteReference w:id="44"/>
      </w:r>
      <w:r>
        <w:t xml:space="preserve"> contemplates the regulation of ESG Rating Providers (ERPs) and the establishment of minimum disclosure standards for ESG-themed investment products. The challenge for SEBI lies in designing an ESG regulatory framework that is robust against greenwashing while remaining operationally feasible for India's diverse corporate sector.</w:t>
      </w:r>
    </w:p>
    <w:p w14:paraId="345905B3" w14:textId="77777777" w:rsidR="005662D1" w:rsidRDefault="00000000">
      <w:pPr>
        <w:pStyle w:val="Heading2"/>
      </w:pPr>
      <w:r>
        <w:t>7.3 Regulatory Gaps and Inter-Agency Coordination</w:t>
      </w:r>
    </w:p>
    <w:p w14:paraId="563C7446" w14:textId="77777777" w:rsidR="005662D1" w:rsidRDefault="00000000">
      <w:pPr>
        <w:spacing w:before="120" w:after="120" w:line="360" w:lineRule="auto"/>
        <w:jc w:val="both"/>
      </w:pPr>
      <w:r>
        <w:t>India's financial regulatory architecture — characterised by the coexistence of SEBI, RBI, IRDAI, and the Pension Fund Regulatory and Development Authority (PFRDA) — creates persistent challenges of regulatory jurisdiction and inter-agency coordination. Conglomerate financial groups operating across the securities, banking, insurance, and pension sectors fall within multiple regulatory jurisdictions, creating opportunities for regulatory arbitrage. The Financial Stability and Development Council (FSDC), constituted in 2010 as an apex inter-regulatory coordination body, provides a forum for regulatory dialogue, but its mandate is advisory and its effectiveness has been debated in the scholarly literature.</w:t>
      </w:r>
      <w:r>
        <w:rPr>
          <w:vertAlign w:val="superscript"/>
        </w:rPr>
        <w:footnoteReference w:id="45"/>
      </w:r>
    </w:p>
    <w:p w14:paraId="68458FDF" w14:textId="77777777" w:rsidR="005662D1" w:rsidRDefault="00000000">
      <w:pPr>
        <w:spacing w:before="120" w:after="120" w:line="360" w:lineRule="auto"/>
        <w:jc w:val="both"/>
      </w:pPr>
      <w:r>
        <w:t>The emergence of new financial instruments — including Infrastructure Investment Trusts (</w:t>
      </w:r>
      <w:proofErr w:type="spellStart"/>
      <w:r>
        <w:t>InvITs</w:t>
      </w:r>
      <w:proofErr w:type="spellEnd"/>
      <w:r>
        <w:t>) and Real Estate Investment Trusts (REITs) regulated under SEBI's framework,</w:t>
      </w:r>
      <w:r>
        <w:rPr>
          <w:vertAlign w:val="superscript"/>
        </w:rPr>
        <w:footnoteReference w:id="46"/>
      </w:r>
      <w:r>
        <w:t xml:space="preserve"> Social Stock Exchanges, and proposed digital rupee-linked securities — further complicates the inter-regulatory landscape. SEBI's progressive assumption of regulatory responsibility for </w:t>
      </w:r>
      <w:r>
        <w:lastRenderedPageBreak/>
        <w:t>these instruments reflects the breadth of its developmental mandate, but also stretches its institutional capacity and expertise.</w:t>
      </w:r>
    </w:p>
    <w:p w14:paraId="4FAD542C" w14:textId="77777777" w:rsidR="005662D1" w:rsidRDefault="00000000">
      <w:pPr>
        <w:pStyle w:val="Heading2"/>
      </w:pPr>
      <w:r>
        <w:t>7.4 Capacity Constraints and Enforcement Effectiveness</w:t>
      </w:r>
    </w:p>
    <w:p w14:paraId="478306FB" w14:textId="77777777" w:rsidR="005662D1" w:rsidRDefault="00000000">
      <w:pPr>
        <w:spacing w:before="120" w:after="120" w:line="360" w:lineRule="auto"/>
        <w:jc w:val="both"/>
      </w:pPr>
      <w:r>
        <w:t>A recurring critique in the literature and in judicial pronouncements is the gap between SEBI's extensive regulatory mandate and its institutional capacity for rigorous enforcement. India's listed universe encompasses thousands of entities, intermediaries, and market participants, creating a supervisory perimeter that strains SEBI's investigative and adjudicatory resources. The establishment of the SEBI (Alternative Investment Funds) Regulations, 2012</w:t>
      </w:r>
      <w:r>
        <w:rPr>
          <w:vertAlign w:val="superscript"/>
        </w:rPr>
        <w:footnoteReference w:id="47"/>
      </w:r>
      <w:r>
        <w:t xml:space="preserve"> and the regulation of hundreds of registered investment advisers, portfolio managers, and research analysts have further expanded this perimeter.</w:t>
      </w:r>
    </w:p>
    <w:p w14:paraId="08AFB3B6" w14:textId="77777777" w:rsidR="005662D1" w:rsidRDefault="00000000">
      <w:pPr>
        <w:spacing w:before="120" w:after="120" w:line="360" w:lineRule="auto"/>
        <w:jc w:val="both"/>
      </w:pPr>
      <w:r>
        <w:t>Addressing capacity constraints requires not merely budgetary augmentation but structural reforms including risk-based supervision prioritisation, enhanced self-regulatory organisation (SRO) oversight, greater use of technology in surveillance, and the development of a specialised cadre of securities law enforcement professionals. International best practices — including the SEC's structured examination programme and the Financial Conduct Authority's supervisory model — offer useful comparators for SEBI's institutional development agenda.</w:t>
      </w:r>
    </w:p>
    <w:p w14:paraId="578E0F81" w14:textId="77777777" w:rsidR="005662D1" w:rsidRDefault="00000000">
      <w:pPr>
        <w:pStyle w:val="Heading1"/>
      </w:pPr>
      <w:r>
        <w:t>VIII. CONCLUSION</w:t>
      </w:r>
    </w:p>
    <w:p w14:paraId="7FF59F27" w14:textId="77777777" w:rsidR="005662D1" w:rsidRDefault="00000000">
      <w:pPr>
        <w:spacing w:before="120" w:after="120" w:line="360" w:lineRule="auto"/>
        <w:jc w:val="both"/>
      </w:pPr>
      <w:r>
        <w:t>The preceding analysis demonstrates that the Securities and Exchange Board of India has been the single most consequential institution in the transformation of India's capital markets over the past three decades. From the abolition of discretionary capital issue controls and the introduction of disclosure-based regulation, to the demutualisation of stock exchanges, the modernisation of settlement infrastructure, the development of a comprehensive investor protection jurisprudence, and the progressive elevation of corporate governance standards — SEBI's regulatory contributions span every dimension of a functioning securities market.</w:t>
      </w:r>
    </w:p>
    <w:p w14:paraId="0CE78C77" w14:textId="77777777" w:rsidR="005662D1" w:rsidRDefault="00000000">
      <w:pPr>
        <w:spacing w:before="120" w:after="120" w:line="360" w:lineRule="auto"/>
        <w:jc w:val="both"/>
      </w:pPr>
      <w:r>
        <w:t>The legal architecture constructed by SEBI — comprising the SEBI Act, the ICDR Regulations, the LODR Regulations, the Insider Trading Regulations, the Takeover Code,</w:t>
      </w:r>
      <w:r>
        <w:rPr>
          <w:vertAlign w:val="superscript"/>
        </w:rPr>
        <w:footnoteReference w:id="48"/>
      </w:r>
      <w:r>
        <w:t xml:space="preserve"> </w:t>
      </w:r>
      <w:r>
        <w:lastRenderedPageBreak/>
        <w:t>the Mutual Fund Regulations,</w:t>
      </w:r>
      <w:r>
        <w:rPr>
          <w:vertAlign w:val="superscript"/>
        </w:rPr>
        <w:footnoteReference w:id="49"/>
      </w:r>
      <w:r>
        <w:t xml:space="preserve"> and a vast corpus of circulars, guidelines, and informal guidance — constitutes an intricate and sophisticated body of securities law that compares favourably with international standards. The Securities Appellate Tribunal has developed a substantial jurisprudence on securities regulation, providing legal certainty and limiting the scope for regulatory arbitrariness.</w:t>
      </w:r>
    </w:p>
    <w:p w14:paraId="2A0456EC" w14:textId="77777777" w:rsidR="005662D1" w:rsidRDefault="00000000">
      <w:pPr>
        <w:spacing w:before="120" w:after="120" w:line="360" w:lineRule="auto"/>
        <w:jc w:val="both"/>
      </w:pPr>
      <w:r>
        <w:t>Nevertheless, the paper has identified significant challenges that SEBI must address to sustain India's capital market growth trajectory. The rapid pace of technological change — manifested in algorithmic trading, cryptocurrency, digital financial products, and cybersecurity threats — requires an adaptive regulatory response that the current institutional framework is not always equipped to provide in a timely manner. The ESG transition creates both opportunities and risks that demand specialised regulatory capacity. Jurisdictional fragmentation across India's financial regulatory landscape requires more effective inter-agency coordination mechanisms than currently exist.</w:t>
      </w:r>
    </w:p>
    <w:p w14:paraId="03875D3A" w14:textId="77777777" w:rsidR="005662D1" w:rsidRDefault="00000000">
      <w:pPr>
        <w:spacing w:before="120" w:after="120" w:line="360" w:lineRule="auto"/>
        <w:jc w:val="both"/>
      </w:pPr>
      <w:r>
        <w:t>The paper makes four principal recommendations. First, SEBI's statutory mandate should be periodically reviewed and updated to reflect the expanding perimeter of securities markets, with legislative amendments enacted on a more responsive timeline. Second, SEBI's enforcement capacity — in terms of personnel, technology, and investigative powers — should be augmented commensurate with the expanded regulated universe. Third, the Financial Stability and Development Council's mandate should be strengthened, with formal coordination protocols between SEBI, RBI, and IRDAI for hybrid financial products and conglomerate supervision. Fourth, SEBI should accelerate its engagement with international regulatory bodies, including IOSCO, to ensure that India's securities regulatory framework keeps pace with global best practices and enables seamless cross-border market participation.</w:t>
      </w:r>
    </w:p>
    <w:p w14:paraId="7B10241A" w14:textId="77777777" w:rsidR="005662D1" w:rsidRDefault="00000000">
      <w:pPr>
        <w:spacing w:before="120" w:after="120" w:line="360" w:lineRule="auto"/>
        <w:jc w:val="both"/>
      </w:pPr>
      <w:r>
        <w:t>In summation, SEBI's impact on Indian capital markets has been overwhelmingly positive and structurally transformative. Its continuing evolution as a sophisticated, independent, and responsive securities regulator is not merely an institutional aspiration but an economic and legal imperative for India's sustained growth as a leading global capital market.</w:t>
      </w:r>
    </w:p>
    <w:p w14:paraId="3545F5D4" w14:textId="77777777" w:rsidR="005662D1" w:rsidRDefault="005662D1">
      <w:pPr>
        <w:spacing w:before="80" w:after="80"/>
      </w:pPr>
    </w:p>
    <w:p w14:paraId="57F48D92" w14:textId="77777777" w:rsidR="005662D1" w:rsidRDefault="00000000">
      <w:r>
        <w:br w:type="page"/>
      </w:r>
    </w:p>
    <w:p w14:paraId="5BE805C9" w14:textId="77777777" w:rsidR="005662D1" w:rsidRDefault="00000000">
      <w:pPr>
        <w:pStyle w:val="Heading1"/>
      </w:pPr>
      <w:r>
        <w:lastRenderedPageBreak/>
        <w:t>BIBLIOGRAPHY</w:t>
      </w:r>
    </w:p>
    <w:p w14:paraId="6F32D180" w14:textId="77777777" w:rsidR="005662D1" w:rsidRDefault="00000000">
      <w:pPr>
        <w:pStyle w:val="Heading2"/>
      </w:pPr>
      <w:r>
        <w:t>A. Primary Sources</w:t>
      </w:r>
    </w:p>
    <w:p w14:paraId="0B9C0168" w14:textId="77777777" w:rsidR="005662D1" w:rsidRDefault="00000000">
      <w:pPr>
        <w:spacing w:before="120" w:after="80"/>
      </w:pPr>
      <w:r>
        <w:rPr>
          <w:b/>
          <w:bCs/>
          <w:sz w:val="22"/>
          <w:szCs w:val="22"/>
        </w:rPr>
        <w:t>I. Statutes and Regulations</w:t>
      </w:r>
    </w:p>
    <w:p w14:paraId="7AEEA774" w14:textId="77777777" w:rsidR="005662D1" w:rsidRDefault="00000000">
      <w:pPr>
        <w:spacing w:before="80" w:after="80" w:line="320" w:lineRule="auto"/>
        <w:ind w:left="720" w:hanging="720"/>
        <w:jc w:val="both"/>
      </w:pPr>
      <w:r>
        <w:rPr>
          <w:sz w:val="22"/>
          <w:szCs w:val="22"/>
        </w:rPr>
        <w:t>1. Securities and Exchange Board of India Act, 1992 (Act No. 15 of 1992).</w:t>
      </w:r>
    </w:p>
    <w:p w14:paraId="309B0195" w14:textId="77777777" w:rsidR="005662D1" w:rsidRDefault="00000000">
      <w:pPr>
        <w:spacing w:before="80" w:after="80" w:line="320" w:lineRule="auto"/>
        <w:ind w:left="720" w:hanging="720"/>
        <w:jc w:val="both"/>
      </w:pPr>
      <w:r>
        <w:rPr>
          <w:sz w:val="22"/>
          <w:szCs w:val="22"/>
        </w:rPr>
        <w:t>2. Securities Contracts (Regulation) Act, 1956 (Act No. 42 of 1956).</w:t>
      </w:r>
    </w:p>
    <w:p w14:paraId="45986F18" w14:textId="77777777" w:rsidR="005662D1" w:rsidRDefault="00000000">
      <w:pPr>
        <w:spacing w:before="80" w:after="80" w:line="320" w:lineRule="auto"/>
        <w:ind w:left="720" w:hanging="720"/>
        <w:jc w:val="both"/>
      </w:pPr>
      <w:r>
        <w:rPr>
          <w:sz w:val="22"/>
          <w:szCs w:val="22"/>
        </w:rPr>
        <w:t>3. Securities Contracts (Regulation) (Amendment) Act, 2004.</w:t>
      </w:r>
    </w:p>
    <w:p w14:paraId="03EACDE1" w14:textId="77777777" w:rsidR="005662D1" w:rsidRDefault="00000000">
      <w:pPr>
        <w:spacing w:before="80" w:after="80" w:line="320" w:lineRule="auto"/>
        <w:ind w:left="720" w:hanging="720"/>
        <w:jc w:val="both"/>
      </w:pPr>
      <w:r>
        <w:rPr>
          <w:sz w:val="22"/>
          <w:szCs w:val="22"/>
        </w:rPr>
        <w:t>4. Companies Act, 2013 (Act No. 18 of 2013).</w:t>
      </w:r>
    </w:p>
    <w:p w14:paraId="61E8E244" w14:textId="77777777" w:rsidR="005662D1" w:rsidRDefault="00000000">
      <w:pPr>
        <w:spacing w:before="80" w:after="80" w:line="320" w:lineRule="auto"/>
        <w:ind w:left="720" w:hanging="720"/>
        <w:jc w:val="both"/>
      </w:pPr>
      <w:r>
        <w:rPr>
          <w:sz w:val="22"/>
          <w:szCs w:val="22"/>
        </w:rPr>
        <w:t>5. SEBI (Issue of Capital and Disclosure Requirements) Regulations, 2018.</w:t>
      </w:r>
    </w:p>
    <w:p w14:paraId="3E3D2704" w14:textId="77777777" w:rsidR="005662D1" w:rsidRDefault="00000000">
      <w:pPr>
        <w:spacing w:before="80" w:after="80" w:line="320" w:lineRule="auto"/>
        <w:ind w:left="720" w:hanging="720"/>
        <w:jc w:val="both"/>
      </w:pPr>
      <w:r>
        <w:rPr>
          <w:sz w:val="22"/>
          <w:szCs w:val="22"/>
        </w:rPr>
        <w:t>6. SEBI (Listing Obligations and Disclosure Requirements) Regulations, 2015.</w:t>
      </w:r>
    </w:p>
    <w:p w14:paraId="4B0E95E6" w14:textId="77777777" w:rsidR="005662D1" w:rsidRDefault="00000000">
      <w:pPr>
        <w:spacing w:before="80" w:after="80" w:line="320" w:lineRule="auto"/>
        <w:ind w:left="720" w:hanging="720"/>
        <w:jc w:val="both"/>
      </w:pPr>
      <w:r>
        <w:rPr>
          <w:sz w:val="22"/>
          <w:szCs w:val="22"/>
        </w:rPr>
        <w:t>7. SEBI (Prohibition of Insider Trading) Regulations, 2015.</w:t>
      </w:r>
    </w:p>
    <w:p w14:paraId="09998368" w14:textId="77777777" w:rsidR="005662D1" w:rsidRDefault="00000000">
      <w:pPr>
        <w:spacing w:before="80" w:after="80" w:line="320" w:lineRule="auto"/>
        <w:ind w:left="720" w:hanging="720"/>
        <w:jc w:val="both"/>
      </w:pPr>
      <w:r>
        <w:rPr>
          <w:sz w:val="22"/>
          <w:szCs w:val="22"/>
        </w:rPr>
        <w:t>8. SEBI (Prohibition of Fraudulent and Unfair Trade Practices Relating to Securities Market) Regulations, 2003.</w:t>
      </w:r>
    </w:p>
    <w:p w14:paraId="6152E101" w14:textId="77777777" w:rsidR="005662D1" w:rsidRDefault="00000000">
      <w:pPr>
        <w:spacing w:before="80" w:after="80" w:line="320" w:lineRule="auto"/>
        <w:ind w:left="720" w:hanging="720"/>
        <w:jc w:val="both"/>
      </w:pPr>
      <w:r>
        <w:rPr>
          <w:sz w:val="22"/>
          <w:szCs w:val="22"/>
        </w:rPr>
        <w:t>9. SEBI (Substantial Acquisition of Shares and Takeovers) Regulations, 2011.</w:t>
      </w:r>
    </w:p>
    <w:p w14:paraId="438ED45B" w14:textId="77777777" w:rsidR="005662D1" w:rsidRDefault="00000000">
      <w:pPr>
        <w:spacing w:before="80" w:after="80" w:line="320" w:lineRule="auto"/>
        <w:ind w:left="720" w:hanging="720"/>
        <w:jc w:val="both"/>
      </w:pPr>
      <w:r>
        <w:rPr>
          <w:sz w:val="22"/>
          <w:szCs w:val="22"/>
        </w:rPr>
        <w:t>10. SEBI (Mutual Funds) Regulations, 1996.</w:t>
      </w:r>
    </w:p>
    <w:p w14:paraId="59757D99" w14:textId="77777777" w:rsidR="005662D1" w:rsidRDefault="00000000">
      <w:pPr>
        <w:spacing w:before="80" w:after="80" w:line="320" w:lineRule="auto"/>
        <w:ind w:left="720" w:hanging="720"/>
        <w:jc w:val="both"/>
      </w:pPr>
      <w:r>
        <w:rPr>
          <w:sz w:val="22"/>
          <w:szCs w:val="22"/>
        </w:rPr>
        <w:t>11. SEBI (Alternative Investment Funds) Regulations, 2012.</w:t>
      </w:r>
    </w:p>
    <w:p w14:paraId="0B604EEC" w14:textId="77777777" w:rsidR="005662D1" w:rsidRDefault="00000000">
      <w:pPr>
        <w:spacing w:before="80" w:after="80" w:line="320" w:lineRule="auto"/>
        <w:ind w:left="720" w:hanging="720"/>
        <w:jc w:val="both"/>
      </w:pPr>
      <w:r>
        <w:rPr>
          <w:sz w:val="22"/>
          <w:szCs w:val="22"/>
        </w:rPr>
        <w:t>12. SEBI (Infrastructure Investment Trusts) Regulations, 2014.</w:t>
      </w:r>
    </w:p>
    <w:p w14:paraId="08C05C46" w14:textId="77777777" w:rsidR="005662D1" w:rsidRDefault="00000000">
      <w:pPr>
        <w:spacing w:before="80" w:after="80" w:line="320" w:lineRule="auto"/>
        <w:ind w:left="720" w:hanging="720"/>
        <w:jc w:val="both"/>
      </w:pPr>
      <w:r>
        <w:rPr>
          <w:sz w:val="22"/>
          <w:szCs w:val="22"/>
        </w:rPr>
        <w:t>13. SEBI (Real Estate Investment Trusts) Regulations, 2014.</w:t>
      </w:r>
    </w:p>
    <w:p w14:paraId="56A0A72B" w14:textId="77777777" w:rsidR="005662D1" w:rsidRDefault="00000000">
      <w:pPr>
        <w:spacing w:before="160" w:after="80"/>
      </w:pPr>
      <w:r>
        <w:rPr>
          <w:b/>
          <w:bCs/>
          <w:sz w:val="22"/>
          <w:szCs w:val="22"/>
        </w:rPr>
        <w:t>II. Judicial Decisions</w:t>
      </w:r>
    </w:p>
    <w:p w14:paraId="6C3A103C" w14:textId="77777777" w:rsidR="005662D1" w:rsidRDefault="00000000">
      <w:pPr>
        <w:spacing w:before="80" w:after="80" w:line="320" w:lineRule="auto"/>
        <w:ind w:left="720" w:hanging="720"/>
        <w:jc w:val="both"/>
      </w:pPr>
      <w:r>
        <w:rPr>
          <w:sz w:val="22"/>
          <w:szCs w:val="22"/>
        </w:rPr>
        <w:t>14. Sahara India Real Estate Corp. Ltd. v. SEBI, (2013) 1 SCC 1 (Supreme Court of India).</w:t>
      </w:r>
    </w:p>
    <w:p w14:paraId="0A8DB20E" w14:textId="77777777" w:rsidR="005662D1" w:rsidRDefault="00000000">
      <w:pPr>
        <w:spacing w:before="80" w:after="80" w:line="320" w:lineRule="auto"/>
        <w:ind w:left="720" w:hanging="720"/>
        <w:jc w:val="both"/>
      </w:pPr>
      <w:r>
        <w:rPr>
          <w:sz w:val="22"/>
          <w:szCs w:val="22"/>
        </w:rPr>
        <w:t xml:space="preserve">15. SEBI v. Rakhi Trading </w:t>
      </w:r>
      <w:proofErr w:type="spellStart"/>
      <w:r>
        <w:rPr>
          <w:sz w:val="22"/>
          <w:szCs w:val="22"/>
        </w:rPr>
        <w:t>Pvt.</w:t>
      </w:r>
      <w:proofErr w:type="spellEnd"/>
      <w:r>
        <w:rPr>
          <w:sz w:val="22"/>
          <w:szCs w:val="22"/>
        </w:rPr>
        <w:t xml:space="preserve"> Ltd., (2018) 13 SCC 1 (Supreme Court of India).</w:t>
      </w:r>
    </w:p>
    <w:p w14:paraId="78F4780F" w14:textId="77777777" w:rsidR="005662D1" w:rsidRDefault="00000000">
      <w:pPr>
        <w:spacing w:before="160" w:after="80"/>
      </w:pPr>
      <w:r>
        <w:rPr>
          <w:b/>
          <w:bCs/>
          <w:sz w:val="22"/>
          <w:szCs w:val="22"/>
        </w:rPr>
        <w:t>III. Official Reports and Documents</w:t>
      </w:r>
    </w:p>
    <w:p w14:paraId="55AEC166" w14:textId="77777777" w:rsidR="005662D1" w:rsidRDefault="00000000">
      <w:pPr>
        <w:spacing w:before="80" w:after="80" w:line="320" w:lineRule="auto"/>
        <w:ind w:left="720" w:hanging="720"/>
        <w:jc w:val="both"/>
      </w:pPr>
      <w:r>
        <w:rPr>
          <w:sz w:val="22"/>
          <w:szCs w:val="22"/>
        </w:rPr>
        <w:t xml:space="preserve">16. Government of India, Report of the </w:t>
      </w:r>
      <w:proofErr w:type="gramStart"/>
      <w:r>
        <w:rPr>
          <w:sz w:val="22"/>
          <w:szCs w:val="22"/>
        </w:rPr>
        <w:t>High Powered</w:t>
      </w:r>
      <w:proofErr w:type="gramEnd"/>
      <w:r>
        <w:rPr>
          <w:sz w:val="22"/>
          <w:szCs w:val="22"/>
        </w:rPr>
        <w:t xml:space="preserve"> Study Group on Establishment of New Stock Exchanges (1991), Ministry of Finance, New Delhi.</w:t>
      </w:r>
    </w:p>
    <w:p w14:paraId="2C3E39E7" w14:textId="77777777" w:rsidR="005662D1" w:rsidRDefault="00000000">
      <w:pPr>
        <w:spacing w:before="80" w:after="80" w:line="320" w:lineRule="auto"/>
        <w:ind w:left="720" w:hanging="720"/>
        <w:jc w:val="both"/>
      </w:pPr>
      <w:r>
        <w:rPr>
          <w:sz w:val="22"/>
          <w:szCs w:val="22"/>
        </w:rPr>
        <w:t>17. SEBI Annual Report 2022–23, Securities and Exchange Board of India, Mumbai.</w:t>
      </w:r>
    </w:p>
    <w:p w14:paraId="6A401035" w14:textId="77777777" w:rsidR="005662D1" w:rsidRDefault="00000000">
      <w:pPr>
        <w:spacing w:before="80" w:after="80" w:line="320" w:lineRule="auto"/>
        <w:ind w:left="720" w:hanging="720"/>
        <w:jc w:val="both"/>
      </w:pPr>
      <w:r>
        <w:rPr>
          <w:sz w:val="22"/>
          <w:szCs w:val="22"/>
        </w:rPr>
        <w:t>18. SEBI Annual Report 2023–24, Securities and Exchange Board of India, Mumbai.</w:t>
      </w:r>
    </w:p>
    <w:p w14:paraId="36BAB16C" w14:textId="77777777" w:rsidR="005662D1" w:rsidRDefault="00000000">
      <w:pPr>
        <w:spacing w:before="80" w:after="80" w:line="320" w:lineRule="auto"/>
        <w:ind w:left="720" w:hanging="720"/>
        <w:jc w:val="both"/>
      </w:pPr>
      <w:r>
        <w:rPr>
          <w:sz w:val="22"/>
          <w:szCs w:val="22"/>
        </w:rPr>
        <w:t>19. Report of the Kumar Mangalam Birla Committee on Corporate Governance (2000), SEBI, Mumbai.</w:t>
      </w:r>
    </w:p>
    <w:p w14:paraId="333552DA" w14:textId="77777777" w:rsidR="005662D1" w:rsidRDefault="00000000">
      <w:pPr>
        <w:spacing w:before="80" w:after="80" w:line="320" w:lineRule="auto"/>
        <w:ind w:left="720" w:hanging="720"/>
        <w:jc w:val="both"/>
      </w:pPr>
      <w:r>
        <w:rPr>
          <w:sz w:val="22"/>
          <w:szCs w:val="22"/>
        </w:rPr>
        <w:t>20. Report of the N. R. Narayana Murthy Committee on Corporate Governance (2003), SEBI, Mumbai.</w:t>
      </w:r>
    </w:p>
    <w:p w14:paraId="1FB84E23" w14:textId="77777777" w:rsidR="005662D1" w:rsidRDefault="00000000">
      <w:pPr>
        <w:spacing w:before="80" w:after="80" w:line="320" w:lineRule="auto"/>
        <w:ind w:left="720" w:hanging="720"/>
        <w:jc w:val="both"/>
      </w:pPr>
      <w:r>
        <w:rPr>
          <w:sz w:val="22"/>
          <w:szCs w:val="22"/>
        </w:rPr>
        <w:t>21. Naresh Chandra Committee Report on Corporate Audit and Governance (2002), Department of Company Affairs, Government of India.</w:t>
      </w:r>
    </w:p>
    <w:p w14:paraId="7C9A5F7D" w14:textId="77777777" w:rsidR="005662D1" w:rsidRDefault="00000000">
      <w:pPr>
        <w:spacing w:before="80" w:after="80" w:line="320" w:lineRule="auto"/>
        <w:ind w:left="720" w:hanging="720"/>
        <w:jc w:val="both"/>
      </w:pPr>
      <w:r>
        <w:rPr>
          <w:sz w:val="22"/>
          <w:szCs w:val="22"/>
        </w:rPr>
        <w:t>22. SEBI Discussion Paper on Algorithmic Trading, February 2016, SEBI, Mumbai.</w:t>
      </w:r>
    </w:p>
    <w:p w14:paraId="494E4941" w14:textId="77777777" w:rsidR="005662D1" w:rsidRDefault="00000000">
      <w:pPr>
        <w:spacing w:before="80" w:after="80" w:line="320" w:lineRule="auto"/>
        <w:ind w:left="720" w:hanging="720"/>
        <w:jc w:val="both"/>
      </w:pPr>
      <w:r>
        <w:rPr>
          <w:sz w:val="22"/>
          <w:szCs w:val="22"/>
        </w:rPr>
        <w:lastRenderedPageBreak/>
        <w:t>23. SEBI Consultation Paper on ESG Disclosures, Ratings and Investing, January 2023, SEBI, Mumbai.</w:t>
      </w:r>
    </w:p>
    <w:p w14:paraId="5B5D0C6B" w14:textId="77777777" w:rsidR="005662D1" w:rsidRDefault="00000000">
      <w:pPr>
        <w:spacing w:before="80" w:after="80" w:line="320" w:lineRule="auto"/>
        <w:ind w:left="720" w:hanging="720"/>
        <w:jc w:val="both"/>
      </w:pPr>
      <w:r>
        <w:rPr>
          <w:sz w:val="22"/>
          <w:szCs w:val="22"/>
        </w:rPr>
        <w:t>24. SEBI Technology Advisory Committee Report on Cybersecurity and Cyber Resilience Framework (2019), SEBI, Mumbai.</w:t>
      </w:r>
    </w:p>
    <w:p w14:paraId="1BB23B7E" w14:textId="77777777" w:rsidR="005662D1" w:rsidRDefault="00000000">
      <w:pPr>
        <w:spacing w:before="80" w:after="80" w:line="320" w:lineRule="auto"/>
        <w:ind w:left="720" w:hanging="720"/>
        <w:jc w:val="both"/>
      </w:pPr>
      <w:r>
        <w:rPr>
          <w:sz w:val="22"/>
          <w:szCs w:val="22"/>
        </w:rPr>
        <w:t>25. NSE India, Indian Securities Market: A Review (ISMR) 2022, National Stock Exchange of India, Mumbai.</w:t>
      </w:r>
    </w:p>
    <w:p w14:paraId="1FA1035A" w14:textId="77777777" w:rsidR="005662D1" w:rsidRDefault="00000000">
      <w:pPr>
        <w:pStyle w:val="Heading2"/>
      </w:pPr>
      <w:r>
        <w:t>B. Secondary Sources</w:t>
      </w:r>
    </w:p>
    <w:p w14:paraId="7F0A5E78" w14:textId="77777777" w:rsidR="005662D1" w:rsidRDefault="00000000">
      <w:pPr>
        <w:spacing w:before="120" w:after="80"/>
      </w:pPr>
      <w:r>
        <w:rPr>
          <w:b/>
          <w:bCs/>
          <w:sz w:val="22"/>
          <w:szCs w:val="22"/>
        </w:rPr>
        <w:t>I. Books</w:t>
      </w:r>
    </w:p>
    <w:p w14:paraId="4BD72C6F" w14:textId="77777777" w:rsidR="005662D1" w:rsidRDefault="00000000">
      <w:pPr>
        <w:spacing w:before="80" w:after="80" w:line="320" w:lineRule="auto"/>
        <w:ind w:left="720" w:hanging="720"/>
        <w:jc w:val="both"/>
      </w:pPr>
      <w:r>
        <w:rPr>
          <w:sz w:val="22"/>
          <w:szCs w:val="22"/>
        </w:rPr>
        <w:t>26. Ajay Shah &amp; Susan Thomas, 'Securities Markets: Towards Greater Efficiency' in Kirit Parikh &amp; R. Radhakrishna (eds.), India Development Report 1999–2000 (Oxford University Press, New Delhi, 1999).</w:t>
      </w:r>
    </w:p>
    <w:p w14:paraId="18D08E7F" w14:textId="77777777" w:rsidR="005662D1" w:rsidRDefault="00000000">
      <w:pPr>
        <w:spacing w:before="80" w:after="80" w:line="320" w:lineRule="auto"/>
        <w:ind w:left="720" w:hanging="720"/>
        <w:jc w:val="both"/>
      </w:pPr>
      <w:r>
        <w:rPr>
          <w:sz w:val="22"/>
          <w:szCs w:val="22"/>
        </w:rPr>
        <w:t>27. N. L. Mitra, Securities and Exchange Board of India: Law and Practice (Wadhwa &amp; Company, Nagpur, 2003).</w:t>
      </w:r>
    </w:p>
    <w:p w14:paraId="13F74E65" w14:textId="77777777" w:rsidR="005662D1" w:rsidRDefault="00000000">
      <w:pPr>
        <w:spacing w:before="80" w:after="80" w:line="320" w:lineRule="auto"/>
        <w:ind w:left="720" w:hanging="720"/>
        <w:jc w:val="both"/>
      </w:pPr>
      <w:r>
        <w:rPr>
          <w:sz w:val="22"/>
          <w:szCs w:val="22"/>
        </w:rPr>
        <w:t>28. H. P. Ranina, Securities and Exchange Board of India: A Regulatory Framework (Eastern Law House, Calcutta, 2002).</w:t>
      </w:r>
    </w:p>
    <w:p w14:paraId="11872B45" w14:textId="77777777" w:rsidR="005662D1" w:rsidRDefault="00000000">
      <w:pPr>
        <w:spacing w:before="160" w:after="80"/>
      </w:pPr>
      <w:r>
        <w:rPr>
          <w:b/>
          <w:bCs/>
          <w:sz w:val="22"/>
          <w:szCs w:val="22"/>
        </w:rPr>
        <w:t>II. Journal Articles</w:t>
      </w:r>
    </w:p>
    <w:p w14:paraId="0993C0D9" w14:textId="77777777" w:rsidR="005662D1" w:rsidRDefault="00000000">
      <w:pPr>
        <w:spacing w:before="80" w:after="80" w:line="320" w:lineRule="auto"/>
        <w:ind w:left="720" w:hanging="720"/>
        <w:jc w:val="both"/>
      </w:pPr>
      <w:r>
        <w:rPr>
          <w:sz w:val="22"/>
          <w:szCs w:val="22"/>
        </w:rPr>
        <w:t>29. Suchismita Bose, 'Securities Market Regulations: Lessons from US and Indian Experience', Money &amp; Finance, ICRA Bulletin (2005) Vol. 2 No. 20-21.</w:t>
      </w:r>
    </w:p>
    <w:p w14:paraId="045A02F4" w14:textId="77777777" w:rsidR="005662D1" w:rsidRDefault="00000000">
      <w:pPr>
        <w:spacing w:before="80" w:after="80" w:line="320" w:lineRule="auto"/>
        <w:ind w:left="720" w:hanging="720"/>
        <w:jc w:val="both"/>
      </w:pPr>
      <w:r>
        <w:rPr>
          <w:sz w:val="22"/>
          <w:szCs w:val="22"/>
        </w:rPr>
        <w:t xml:space="preserve">30. V. </w:t>
      </w:r>
      <w:proofErr w:type="spellStart"/>
      <w:r>
        <w:rPr>
          <w:sz w:val="22"/>
          <w:szCs w:val="22"/>
        </w:rPr>
        <w:t>Umamaheswara</w:t>
      </w:r>
      <w:proofErr w:type="spellEnd"/>
      <w:r>
        <w:rPr>
          <w:sz w:val="22"/>
          <w:szCs w:val="22"/>
        </w:rPr>
        <w:t xml:space="preserve"> Rao, 'SEBI and Indian Capital Market: An Analytical Study', International Journal of Multidisciplinary Research (2012) Vol. 2 Issue 3.</w:t>
      </w:r>
    </w:p>
    <w:p w14:paraId="0C2FEE03" w14:textId="77777777" w:rsidR="005662D1" w:rsidRDefault="00000000">
      <w:pPr>
        <w:spacing w:before="80" w:after="80" w:line="320" w:lineRule="auto"/>
        <w:ind w:left="720" w:hanging="720"/>
        <w:jc w:val="both"/>
      </w:pPr>
      <w:r>
        <w:rPr>
          <w:sz w:val="22"/>
          <w:szCs w:val="22"/>
        </w:rPr>
        <w:t>31. Harshita Bhatnagar, 'Role of SEBI in Regulating Indian Capital Market', IOSR Journal of Business and Management (2014) Vol. 16 Issue 1.</w:t>
      </w:r>
    </w:p>
    <w:p w14:paraId="25CA9261" w14:textId="77777777" w:rsidR="005662D1" w:rsidRDefault="00000000">
      <w:pPr>
        <w:spacing w:before="80" w:after="80" w:line="320" w:lineRule="auto"/>
        <w:ind w:left="720" w:hanging="720"/>
        <w:jc w:val="both"/>
      </w:pPr>
      <w:r>
        <w:rPr>
          <w:sz w:val="22"/>
          <w:szCs w:val="22"/>
        </w:rPr>
        <w:t xml:space="preserve">32. Prabhakara Rao &amp; </w:t>
      </w:r>
      <w:proofErr w:type="spellStart"/>
      <w:r>
        <w:rPr>
          <w:sz w:val="22"/>
          <w:szCs w:val="22"/>
        </w:rPr>
        <w:t>Malleswara</w:t>
      </w:r>
      <w:proofErr w:type="spellEnd"/>
      <w:r>
        <w:rPr>
          <w:sz w:val="22"/>
          <w:szCs w:val="22"/>
        </w:rPr>
        <w:t xml:space="preserve"> Rao, 'SEBI and Corporate Governance in India', Indian Journal of Finance (2013) Vol. 7 No. 2.</w:t>
      </w:r>
    </w:p>
    <w:p w14:paraId="675E49EF" w14:textId="77777777" w:rsidR="005662D1" w:rsidRDefault="00000000">
      <w:pPr>
        <w:spacing w:before="80" w:after="80" w:line="320" w:lineRule="auto"/>
        <w:ind w:left="720" w:hanging="720"/>
        <w:jc w:val="both"/>
      </w:pPr>
      <w:r>
        <w:rPr>
          <w:sz w:val="22"/>
          <w:szCs w:val="22"/>
        </w:rPr>
        <w:t>33. M. T. Raju &amp; Anindya Ghosh, 'Stock Market Volatility – An International Comparison', SEBI Working Paper No. 8 (2004).</w:t>
      </w:r>
    </w:p>
    <w:p w14:paraId="27474698" w14:textId="77777777" w:rsidR="005662D1" w:rsidRDefault="00000000">
      <w:pPr>
        <w:spacing w:before="80" w:after="80" w:line="320" w:lineRule="auto"/>
        <w:ind w:left="720" w:hanging="720"/>
        <w:jc w:val="both"/>
      </w:pPr>
      <w:r>
        <w:rPr>
          <w:sz w:val="22"/>
          <w:szCs w:val="22"/>
        </w:rPr>
        <w:t>34. R. Srinivasan, 'Reforming India's Capital Markets', Economic &amp; Political Weekly (1999) Vol. 34 No. 3–4.</w:t>
      </w:r>
    </w:p>
    <w:p w14:paraId="746BF6DA" w14:textId="77777777" w:rsidR="005662D1" w:rsidRDefault="00000000">
      <w:pPr>
        <w:spacing w:before="80" w:after="80" w:line="320" w:lineRule="auto"/>
        <w:ind w:left="720" w:hanging="720"/>
        <w:jc w:val="both"/>
      </w:pPr>
      <w:r>
        <w:rPr>
          <w:sz w:val="22"/>
          <w:szCs w:val="22"/>
        </w:rPr>
        <w:t>35. N. Ramakrishnan, 'SEBI: History, Mission, Functions and Powers', SEBI Bulletin (2003) Vol. 1 No. 1.</w:t>
      </w:r>
    </w:p>
    <w:p w14:paraId="6CEA0DE4" w14:textId="77777777" w:rsidR="005662D1" w:rsidRDefault="00000000">
      <w:pPr>
        <w:spacing w:before="80" w:after="80" w:line="320" w:lineRule="auto"/>
        <w:ind w:left="720" w:hanging="720"/>
        <w:jc w:val="both"/>
      </w:pPr>
      <w:r>
        <w:rPr>
          <w:sz w:val="22"/>
          <w:szCs w:val="22"/>
        </w:rPr>
        <w:t>36. Deepak Mohanty, 'Capital Market and Economic Development', RBI Occasional Papers, Vol. 30, No. 2 (2009).</w:t>
      </w:r>
    </w:p>
    <w:p w14:paraId="6A23D80A" w14:textId="77777777" w:rsidR="005662D1" w:rsidRDefault="00000000">
      <w:pPr>
        <w:spacing w:before="80" w:after="80" w:line="320" w:lineRule="auto"/>
        <w:ind w:left="720" w:hanging="720"/>
        <w:jc w:val="both"/>
      </w:pPr>
      <w:r>
        <w:rPr>
          <w:sz w:val="22"/>
          <w:szCs w:val="22"/>
        </w:rPr>
        <w:t>37. K. N. Vaidyanathan, 'Capital Market Reforms in India', ICICI Research Centre Occasional Paper (2002).</w:t>
      </w:r>
    </w:p>
    <w:p w14:paraId="7C23ED58" w14:textId="77777777" w:rsidR="005662D1" w:rsidRDefault="00000000">
      <w:pPr>
        <w:spacing w:before="80" w:after="80" w:line="320" w:lineRule="auto"/>
        <w:ind w:left="720" w:hanging="720"/>
        <w:jc w:val="both"/>
      </w:pPr>
      <w:r>
        <w:rPr>
          <w:sz w:val="22"/>
          <w:szCs w:val="22"/>
        </w:rPr>
        <w:lastRenderedPageBreak/>
        <w:t>38. V. Leeladhar, 'Capital Market Development in India', Valedictory Address at SEBI–NISM Seminar, Mumbai (2007).</w:t>
      </w:r>
    </w:p>
    <w:p w14:paraId="09553086" w14:textId="77777777" w:rsidR="005662D1" w:rsidRDefault="00000000">
      <w:pPr>
        <w:spacing w:before="160" w:after="80"/>
      </w:pPr>
      <w:r>
        <w:rPr>
          <w:b/>
          <w:bCs/>
          <w:sz w:val="22"/>
          <w:szCs w:val="22"/>
        </w:rPr>
        <w:t>III. International and Institutional Publications</w:t>
      </w:r>
    </w:p>
    <w:p w14:paraId="2433395B" w14:textId="77777777" w:rsidR="005662D1" w:rsidRDefault="00000000">
      <w:pPr>
        <w:spacing w:before="80" w:after="80" w:line="320" w:lineRule="auto"/>
        <w:ind w:left="720" w:hanging="720"/>
        <w:jc w:val="both"/>
      </w:pPr>
      <w:r>
        <w:rPr>
          <w:sz w:val="22"/>
          <w:szCs w:val="22"/>
        </w:rPr>
        <w:t>39. International Organization of Securities Commissions (IOSCO), Objectives and Principles of Securities Regulation (2010), IOSCO, Madrid.</w:t>
      </w:r>
    </w:p>
    <w:p w14:paraId="5C2C2622" w14:textId="77777777" w:rsidR="005662D1" w:rsidRDefault="00000000">
      <w:pPr>
        <w:spacing w:before="80" w:after="80" w:line="320" w:lineRule="auto"/>
        <w:ind w:left="720" w:hanging="720"/>
        <w:jc w:val="both"/>
        <w:rPr>
          <w:sz w:val="22"/>
          <w:szCs w:val="22"/>
        </w:rPr>
      </w:pPr>
      <w:r>
        <w:rPr>
          <w:sz w:val="22"/>
          <w:szCs w:val="22"/>
        </w:rPr>
        <w:t>40. World Bank, 'India Financial Sector Assessment Program: Capital Markets', World Bank Technical Note (2017), Washington D.C.</w:t>
      </w:r>
    </w:p>
    <w:p w14:paraId="24BFCA88" w14:textId="77777777" w:rsidR="005662D1" w:rsidRDefault="005662D1">
      <w:pPr>
        <w:spacing w:before="80" w:after="80" w:line="320" w:lineRule="auto"/>
        <w:ind w:left="720" w:hanging="720"/>
        <w:jc w:val="both"/>
        <w:rPr>
          <w:sz w:val="22"/>
          <w:szCs w:val="22"/>
        </w:rPr>
      </w:pPr>
    </w:p>
    <w:p w14:paraId="6CC997A0" w14:textId="77777777" w:rsidR="005662D1" w:rsidRDefault="00000000">
      <w:pPr>
        <w:spacing w:before="80" w:after="80" w:line="320" w:lineRule="auto"/>
        <w:ind w:left="720" w:hanging="720"/>
        <w:jc w:val="both"/>
        <w:rPr>
          <w:sz w:val="22"/>
          <w:szCs w:val="22"/>
        </w:rPr>
      </w:pPr>
      <w:r>
        <w:rPr>
          <w:noProof/>
          <w:sz w:val="22"/>
          <w:szCs w:val="22"/>
        </w:rPr>
        <w:drawing>
          <wp:inline distT="114300" distB="114300" distL="114300" distR="114300" wp14:anchorId="0CCAB543" wp14:editId="5798809D">
            <wp:extent cx="5715000" cy="27178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715000" cy="2717800"/>
                    </a:xfrm>
                    <a:prstGeom prst="rect">
                      <a:avLst/>
                    </a:prstGeom>
                    <a:ln/>
                  </pic:spPr>
                </pic:pic>
              </a:graphicData>
            </a:graphic>
          </wp:inline>
        </w:drawing>
      </w:r>
    </w:p>
    <w:sectPr w:rsidR="005662D1">
      <w:headerReference w:type="default" r:id="rId8"/>
      <w:footerReference w:type="default" r:id="rId9"/>
      <w:pgSz w:w="12240" w:h="15840"/>
      <w:pgMar w:top="1440" w:right="1440" w:bottom="1440" w:left="180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B4941" w14:textId="77777777" w:rsidR="00456E40" w:rsidRDefault="00456E40">
      <w:r>
        <w:separator/>
      </w:r>
    </w:p>
  </w:endnote>
  <w:endnote w:type="continuationSeparator" w:id="0">
    <w:p w14:paraId="7E38E248" w14:textId="77777777" w:rsidR="00456E40" w:rsidRDefault="00456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1" w:fontKey="{26717754-EB51-4C6C-A1EC-D601CF846E1E}"/>
  </w:font>
  <w:font w:name="Calibri">
    <w:panose1 w:val="020F0502020204030204"/>
    <w:charset w:val="00"/>
    <w:family w:val="swiss"/>
    <w:pitch w:val="variable"/>
    <w:sig w:usb0="E4002EFF" w:usb1="C200247B" w:usb2="00000009" w:usb3="00000000" w:csb0="000001FF" w:csb1="00000000"/>
    <w:embedRegular r:id="rId2" w:fontKey="{983AB634-6B8D-4A60-99B4-E334EE1ACBE8}"/>
  </w:font>
  <w:font w:name="Mangal">
    <w:panose1 w:val="02040503050203030202"/>
    <w:charset w:val="00"/>
    <w:family w:val="roman"/>
    <w:pitch w:val="variable"/>
    <w:sig w:usb0="00008003" w:usb1="00000000" w:usb2="00000000" w:usb3="00000000" w:csb0="00000001" w:csb1="00000000"/>
    <w:embedRegular r:id="rId3" w:fontKey="{AFDCCCF9-E295-4300-AEA4-8A4DE0BAD0CC}"/>
  </w:font>
  <w:font w:name="Cambria">
    <w:panose1 w:val="02040503050406030204"/>
    <w:charset w:val="00"/>
    <w:family w:val="roman"/>
    <w:pitch w:val="variable"/>
    <w:sig w:usb0="E00006FF" w:usb1="420024FF" w:usb2="02000000" w:usb3="00000000" w:csb0="0000019F" w:csb1="00000000"/>
    <w:embedRegular r:id="rId4" w:fontKey="{6E7A6767-B91A-44AC-978E-EC8FD45D946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39B03" w14:textId="77777777" w:rsidR="005662D1" w:rsidRDefault="00000000">
    <w:pPr>
      <w:pBdr>
        <w:top w:val="single" w:sz="4" w:space="1" w:color="999999"/>
      </w:pBdr>
      <w:jc w:val="center"/>
    </w:pPr>
    <w:r>
      <w:rPr>
        <w:sz w:val="18"/>
        <w:szCs w:val="18"/>
      </w:rPr>
      <w:t xml:space="preserve">Page </w:t>
    </w:r>
    <w:r>
      <w:rPr>
        <w:sz w:val="18"/>
        <w:szCs w:val="18"/>
      </w:rPr>
      <w:fldChar w:fldCharType="begin"/>
    </w:r>
    <w:r>
      <w:rPr>
        <w:sz w:val="18"/>
        <w:szCs w:val="18"/>
      </w:rPr>
      <w:instrText>PAGE</w:instrText>
    </w:r>
    <w:r>
      <w:rPr>
        <w:sz w:val="18"/>
        <w:szCs w:val="18"/>
      </w:rPr>
      <w:fldChar w:fldCharType="separate"/>
    </w:r>
    <w:r w:rsidR="00301BC0">
      <w:rPr>
        <w:noProof/>
        <w:sz w:val="18"/>
        <w:szCs w:val="18"/>
      </w:rPr>
      <w:t>1</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92695" w14:textId="77777777" w:rsidR="00456E40" w:rsidRDefault="00456E40">
      <w:r>
        <w:separator/>
      </w:r>
    </w:p>
  </w:footnote>
  <w:footnote w:type="continuationSeparator" w:id="0">
    <w:p w14:paraId="1947150B" w14:textId="77777777" w:rsidR="00456E40" w:rsidRDefault="00456E40">
      <w:r>
        <w:continuationSeparator/>
      </w:r>
    </w:p>
  </w:footnote>
  <w:footnote w:id="1">
    <w:p w14:paraId="2BAA1A86" w14:textId="77777777" w:rsidR="005662D1" w:rsidRDefault="00000000">
      <w:r>
        <w:rPr>
          <w:rStyle w:val="FootnoteReference"/>
        </w:rPr>
        <w:footnoteRef/>
      </w:r>
      <w:r>
        <w:rPr>
          <w:sz w:val="18"/>
          <w:szCs w:val="18"/>
        </w:rPr>
        <w:t>Securities and Exchange Board of India Act, 1992 (Act No. 15 of 1992), Preamble.</w:t>
      </w:r>
    </w:p>
  </w:footnote>
  <w:footnote w:id="2">
    <w:p w14:paraId="37C860D2" w14:textId="77777777" w:rsidR="005662D1" w:rsidRDefault="00000000">
      <w:r>
        <w:rPr>
          <w:rStyle w:val="FootnoteReference"/>
        </w:rPr>
        <w:footnoteRef/>
      </w:r>
      <w:r>
        <w:rPr>
          <w:sz w:val="18"/>
          <w:szCs w:val="18"/>
        </w:rPr>
        <w:t>Government of India, Report of the High Powered Study Group on Establishment of New Stock Exchanges (1991), Ministry of Finance.</w:t>
      </w:r>
    </w:p>
  </w:footnote>
  <w:footnote w:id="3">
    <w:p w14:paraId="1D371F79" w14:textId="77777777" w:rsidR="005662D1" w:rsidRDefault="00000000">
      <w:r>
        <w:rPr>
          <w:rStyle w:val="FootnoteReference"/>
        </w:rPr>
        <w:footnoteRef/>
      </w:r>
      <w:r>
        <w:rPr>
          <w:sz w:val="18"/>
          <w:szCs w:val="18"/>
        </w:rPr>
        <w:t>SEBI Annual Report 2022–23, Securities and Exchange Board of India, Mumbai.</w:t>
      </w:r>
    </w:p>
  </w:footnote>
  <w:footnote w:id="4">
    <w:p w14:paraId="66BF2DDC" w14:textId="77777777" w:rsidR="005662D1" w:rsidRDefault="00000000">
      <w:r>
        <w:rPr>
          <w:rStyle w:val="FootnoteReference"/>
        </w:rPr>
        <w:footnoteRef/>
      </w:r>
      <w:r>
        <w:rPr>
          <w:sz w:val="18"/>
          <w:szCs w:val="18"/>
        </w:rPr>
        <w:t>Deepak Mohanty, 'Capital Market and Economic Development', RBI Occasional Papers, Vol. 30, No. 2 (2009).</w:t>
      </w:r>
    </w:p>
  </w:footnote>
  <w:footnote w:id="5">
    <w:p w14:paraId="4F4F4702" w14:textId="77777777" w:rsidR="005662D1" w:rsidRDefault="00000000">
      <w:r>
        <w:rPr>
          <w:rStyle w:val="FootnoteReference"/>
        </w:rPr>
        <w:footnoteRef/>
      </w:r>
      <w:r>
        <w:rPr>
          <w:sz w:val="18"/>
          <w:szCs w:val="18"/>
        </w:rPr>
        <w:t>Securities Contracts (Regulation) Act, 1956 (Act No. 42 of 1956), Section 2(h).</w:t>
      </w:r>
    </w:p>
  </w:footnote>
  <w:footnote w:id="6">
    <w:p w14:paraId="2F63FBC2" w14:textId="77777777" w:rsidR="00301BC0" w:rsidRDefault="00301BC0"/>
    <w:p w14:paraId="29BE07C3" w14:textId="77777777" w:rsidR="00000000" w:rsidRDefault="00000000"/>
  </w:footnote>
  <w:footnote w:id="7">
    <w:p w14:paraId="7A3C85D9" w14:textId="77777777" w:rsidR="005662D1" w:rsidRDefault="00000000">
      <w:r>
        <w:rPr>
          <w:rStyle w:val="FootnoteReference"/>
        </w:rPr>
        <w:footnoteRef/>
      </w:r>
      <w:r>
        <w:rPr>
          <w:sz w:val="18"/>
          <w:szCs w:val="18"/>
        </w:rPr>
        <w:t>Suchismita Bose, 'Securities Market Regulations: Lessons from US and Indian Experience', Money &amp; Finance, ICRA Bulletin (2005) Vol. 2 No. 20-21.</w:t>
      </w:r>
    </w:p>
  </w:footnote>
  <w:footnote w:id="8">
    <w:p w14:paraId="7EE7D701" w14:textId="77777777" w:rsidR="005662D1" w:rsidRDefault="00000000">
      <w:r>
        <w:rPr>
          <w:rStyle w:val="FootnoteReference"/>
        </w:rPr>
        <w:footnoteRef/>
      </w:r>
      <w:r>
        <w:rPr>
          <w:sz w:val="18"/>
          <w:szCs w:val="18"/>
        </w:rPr>
        <w:t>Press Trust of India, 'India's Market Cap Crosses USD 4 Trillion', The Economic Times, December 2023.</w:t>
      </w:r>
    </w:p>
  </w:footnote>
  <w:footnote w:id="9">
    <w:p w14:paraId="1F304743" w14:textId="77777777" w:rsidR="005662D1" w:rsidRDefault="00000000">
      <w:r>
        <w:rPr>
          <w:rStyle w:val="FootnoteReference"/>
        </w:rPr>
        <w:footnoteRef/>
      </w:r>
      <w:r>
        <w:rPr>
          <w:sz w:val="18"/>
          <w:szCs w:val="18"/>
        </w:rPr>
        <w:t>Ajay Shah &amp; Susan Thomas, 'Securities Markets: Towards Greater Efficiency', in Kirit Parikh &amp; R. Radhakrishna (eds.), India Development Report 1999–2000, Oxford University Press.</w:t>
      </w:r>
    </w:p>
  </w:footnote>
  <w:footnote w:id="10">
    <w:p w14:paraId="1A2A9F99" w14:textId="77777777" w:rsidR="00301BC0" w:rsidRDefault="00301BC0"/>
    <w:p w14:paraId="70396448" w14:textId="77777777" w:rsidR="00000000" w:rsidRDefault="00000000"/>
  </w:footnote>
  <w:footnote w:id="11">
    <w:p w14:paraId="64C904BB" w14:textId="77777777" w:rsidR="005662D1" w:rsidRDefault="00000000">
      <w:r>
        <w:rPr>
          <w:rStyle w:val="FootnoteReference"/>
        </w:rPr>
        <w:footnoteRef/>
      </w:r>
      <w:r>
        <w:rPr>
          <w:sz w:val="18"/>
          <w:szCs w:val="18"/>
        </w:rPr>
        <w:t>V. Umamaheswara Rao, 'SEBI and Indian Capital Market: An Analytical Study', International Journal of Multidisciplinary Research (2012) Vol. 2 Issue 3.</w:t>
      </w:r>
    </w:p>
  </w:footnote>
  <w:footnote w:id="12">
    <w:p w14:paraId="0EC76D67" w14:textId="77777777" w:rsidR="005662D1" w:rsidRDefault="00000000">
      <w:r>
        <w:rPr>
          <w:rStyle w:val="FootnoteReference"/>
        </w:rPr>
        <w:footnoteRef/>
      </w:r>
      <w:r>
        <w:rPr>
          <w:sz w:val="18"/>
          <w:szCs w:val="18"/>
        </w:rPr>
        <w:t>Harshita Bhatnagar, 'Role of SEBI in Regulating Indian Capital Market', IOSR Journal of Business and Management (2014) Vol. 16 Issue 1.</w:t>
      </w:r>
    </w:p>
  </w:footnote>
  <w:footnote w:id="13">
    <w:p w14:paraId="13BCB860" w14:textId="77777777" w:rsidR="005662D1" w:rsidRDefault="00000000">
      <w:r>
        <w:rPr>
          <w:rStyle w:val="FootnoteReference"/>
        </w:rPr>
        <w:footnoteRef/>
      </w:r>
      <w:r>
        <w:rPr>
          <w:sz w:val="18"/>
          <w:szCs w:val="18"/>
        </w:rPr>
        <w:t>Prabhakara Rao &amp; Malleswara Rao, 'SEBI and Corporate Governance in India', Indian Journal of Finance (2013) Vol. 7 No. 2.</w:t>
      </w:r>
    </w:p>
  </w:footnote>
  <w:footnote w:id="14">
    <w:p w14:paraId="49F9F7F1" w14:textId="77777777" w:rsidR="005662D1" w:rsidRDefault="00000000">
      <w:r>
        <w:rPr>
          <w:rStyle w:val="FootnoteReference"/>
        </w:rPr>
        <w:footnoteRef/>
      </w:r>
      <w:r>
        <w:rPr>
          <w:sz w:val="18"/>
          <w:szCs w:val="18"/>
        </w:rPr>
        <w:t>N. Ramakrishnan, 'SEBI: History, Mission, Functions and Powers', SEBI Bulletin (2003) Vol. 1 No. 1.</w:t>
      </w:r>
    </w:p>
  </w:footnote>
  <w:footnote w:id="15">
    <w:p w14:paraId="15A9B3D1" w14:textId="77777777" w:rsidR="005662D1" w:rsidRDefault="00000000">
      <w:r>
        <w:rPr>
          <w:rStyle w:val="FootnoteReference"/>
        </w:rPr>
        <w:footnoteRef/>
      </w:r>
      <w:r>
        <w:rPr>
          <w:sz w:val="18"/>
          <w:szCs w:val="18"/>
        </w:rPr>
        <w:t>International Organization of Securities Commissions (IOSCO), Objectives and Principles of Securities Regulation (2010), IOSCO, Madrid.</w:t>
      </w:r>
    </w:p>
  </w:footnote>
  <w:footnote w:id="16">
    <w:p w14:paraId="2A64158B" w14:textId="77777777" w:rsidR="005662D1" w:rsidRDefault="00000000">
      <w:r>
        <w:rPr>
          <w:rStyle w:val="FootnoteReference"/>
        </w:rPr>
        <w:footnoteRef/>
      </w:r>
      <w:r>
        <w:rPr>
          <w:sz w:val="18"/>
          <w:szCs w:val="18"/>
        </w:rPr>
        <w:t>World Bank, 'India Financial Sector Assessment Program: Capital Markets', World Bank Technical Note (2017).</w:t>
      </w:r>
    </w:p>
  </w:footnote>
  <w:footnote w:id="17">
    <w:p w14:paraId="5C9B4D50" w14:textId="77777777" w:rsidR="00301BC0" w:rsidRDefault="00301BC0"/>
    <w:p w14:paraId="4CF1CB68" w14:textId="77777777" w:rsidR="00000000" w:rsidRDefault="00000000"/>
  </w:footnote>
  <w:footnote w:id="18">
    <w:p w14:paraId="73152A59" w14:textId="77777777" w:rsidR="00301BC0" w:rsidRDefault="00301BC0"/>
    <w:p w14:paraId="0E0682CF" w14:textId="77777777" w:rsidR="00000000" w:rsidRDefault="00000000"/>
  </w:footnote>
  <w:footnote w:id="19">
    <w:p w14:paraId="2AD4F706" w14:textId="77777777" w:rsidR="00301BC0" w:rsidRDefault="00301BC0"/>
    <w:p w14:paraId="47156105" w14:textId="77777777" w:rsidR="00000000" w:rsidRDefault="00000000"/>
  </w:footnote>
  <w:footnote w:id="20">
    <w:p w14:paraId="1A37CD5E" w14:textId="77777777" w:rsidR="005662D1" w:rsidRDefault="00000000">
      <w:r>
        <w:rPr>
          <w:rStyle w:val="FootnoteReference"/>
        </w:rPr>
        <w:footnoteRef/>
      </w:r>
      <w:r>
        <w:rPr>
          <w:sz w:val="18"/>
          <w:szCs w:val="18"/>
        </w:rPr>
        <w:t>SEBI (Issue of Capital and Disclosure Requirements) Regulations, 2018 (ICDR Regulations), Regulation 2.</w:t>
      </w:r>
    </w:p>
  </w:footnote>
  <w:footnote w:id="21">
    <w:p w14:paraId="69CE4CBD" w14:textId="77777777" w:rsidR="005662D1" w:rsidRDefault="00000000">
      <w:r>
        <w:rPr>
          <w:rStyle w:val="FootnoteReference"/>
        </w:rPr>
        <w:footnoteRef/>
      </w:r>
      <w:r>
        <w:rPr>
          <w:sz w:val="18"/>
          <w:szCs w:val="18"/>
        </w:rPr>
        <w:t>Sahara India Real Estate Corp. Ltd. v. SEBI, (2013) 1 SCC 1 (Supreme Court of India).</w:t>
      </w:r>
    </w:p>
  </w:footnote>
  <w:footnote w:id="22">
    <w:p w14:paraId="2A62D457" w14:textId="77777777" w:rsidR="005662D1" w:rsidRDefault="00000000">
      <w:r>
        <w:rPr>
          <w:rStyle w:val="FootnoteReference"/>
        </w:rPr>
        <w:footnoteRef/>
      </w:r>
      <w:r>
        <w:rPr>
          <w:sz w:val="18"/>
          <w:szCs w:val="18"/>
        </w:rPr>
        <w:t>SEBI (Prohibition of Fraudulent and Unfair Trade Practices Relating to Securities Market) Regulations, 2003.</w:t>
      </w:r>
    </w:p>
  </w:footnote>
  <w:footnote w:id="23">
    <w:p w14:paraId="2C78D3BD" w14:textId="77777777" w:rsidR="005662D1" w:rsidRDefault="00000000">
      <w:r>
        <w:rPr>
          <w:rStyle w:val="FootnoteReference"/>
        </w:rPr>
        <w:footnoteRef/>
      </w:r>
      <w:r>
        <w:rPr>
          <w:sz w:val="18"/>
          <w:szCs w:val="18"/>
        </w:rPr>
        <w:t>R. Srinivasan, 'Reforming India's Capital Markets', Economic &amp; Political Weekly (1999) Vol. 34 No. 3–4.</w:t>
      </w:r>
    </w:p>
  </w:footnote>
  <w:footnote w:id="24">
    <w:p w14:paraId="325FD41A" w14:textId="77777777" w:rsidR="00301BC0" w:rsidRDefault="00301BC0"/>
    <w:p w14:paraId="2158A624" w14:textId="77777777" w:rsidR="00000000" w:rsidRDefault="00000000"/>
  </w:footnote>
  <w:footnote w:id="25">
    <w:p w14:paraId="60EA6B7F" w14:textId="77777777" w:rsidR="00301BC0" w:rsidRDefault="00301BC0"/>
    <w:p w14:paraId="1C2ADEBA" w14:textId="77777777" w:rsidR="00000000" w:rsidRDefault="00000000"/>
  </w:footnote>
  <w:footnote w:id="26">
    <w:p w14:paraId="33AF3527" w14:textId="77777777" w:rsidR="005662D1" w:rsidRDefault="00000000">
      <w:r>
        <w:rPr>
          <w:rStyle w:val="FootnoteReference"/>
        </w:rPr>
        <w:footnoteRef/>
      </w:r>
      <w:r>
        <w:rPr>
          <w:sz w:val="18"/>
          <w:szCs w:val="18"/>
        </w:rPr>
        <w:t>NSE India, Indian Securities Market: A Review (ISMR) 2022, National Stock Exchange of India.</w:t>
      </w:r>
    </w:p>
  </w:footnote>
  <w:footnote w:id="27">
    <w:p w14:paraId="6396D9C1" w14:textId="77777777" w:rsidR="00301BC0" w:rsidRDefault="00301BC0"/>
    <w:p w14:paraId="2D2CB0FC" w14:textId="77777777" w:rsidR="00000000" w:rsidRDefault="00000000"/>
  </w:footnote>
  <w:footnote w:id="28">
    <w:p w14:paraId="268E6E4B" w14:textId="77777777" w:rsidR="005662D1" w:rsidRDefault="00000000">
      <w:r>
        <w:rPr>
          <w:rStyle w:val="FootnoteReference"/>
        </w:rPr>
        <w:footnoteRef/>
      </w:r>
      <w:r>
        <w:rPr>
          <w:sz w:val="18"/>
          <w:szCs w:val="18"/>
        </w:rPr>
        <w:t>M. T. Raju &amp; Anindya Ghosh, 'Stock Market Volatility – An International Comparison', SEBI Working Paper No. 8 (2004).</w:t>
      </w:r>
    </w:p>
  </w:footnote>
  <w:footnote w:id="29">
    <w:p w14:paraId="4129F64F" w14:textId="77777777" w:rsidR="005662D1" w:rsidRDefault="00000000">
      <w:r>
        <w:rPr>
          <w:rStyle w:val="FootnoteReference"/>
        </w:rPr>
        <w:footnoteRef/>
      </w:r>
      <w:r>
        <w:rPr>
          <w:sz w:val="18"/>
          <w:szCs w:val="18"/>
        </w:rPr>
        <w:t>SEBI (Prohibition of Insider Trading) Regulations, 2015, Gazette of India, Extraordinary, Part III, Section 4.</w:t>
      </w:r>
    </w:p>
  </w:footnote>
  <w:footnote w:id="30">
    <w:p w14:paraId="01DAFDFC" w14:textId="77777777" w:rsidR="005662D1" w:rsidRDefault="00000000">
      <w:r>
        <w:rPr>
          <w:rStyle w:val="FootnoteReference"/>
        </w:rPr>
        <w:footnoteRef/>
      </w:r>
      <w:r>
        <w:rPr>
          <w:sz w:val="18"/>
          <w:szCs w:val="18"/>
        </w:rPr>
        <w:t>SEBI v. Rakhi Trading Pvt. Ltd., (2018) 13 SCC 1 (Supreme Court of India).</w:t>
      </w:r>
    </w:p>
  </w:footnote>
  <w:footnote w:id="31">
    <w:p w14:paraId="494E5263" w14:textId="77777777" w:rsidR="00301BC0" w:rsidRDefault="00301BC0"/>
    <w:p w14:paraId="5CBB6F64" w14:textId="77777777" w:rsidR="00000000" w:rsidRDefault="00000000"/>
  </w:footnote>
  <w:footnote w:id="32">
    <w:p w14:paraId="1DAD2E7D" w14:textId="77777777" w:rsidR="005662D1" w:rsidRDefault="00000000">
      <w:r>
        <w:rPr>
          <w:rStyle w:val="FootnoteReference"/>
        </w:rPr>
        <w:footnoteRef/>
      </w:r>
      <w:r>
        <w:rPr>
          <w:sz w:val="18"/>
          <w:szCs w:val="18"/>
        </w:rPr>
        <w:t>SEBI Annual Report 2023–24, Chapter V: Enforcement Actions.</w:t>
      </w:r>
    </w:p>
  </w:footnote>
  <w:footnote w:id="33">
    <w:p w14:paraId="17DD3F1D" w14:textId="77777777" w:rsidR="00301BC0" w:rsidRDefault="00301BC0"/>
    <w:p w14:paraId="1DCAFCE0" w14:textId="77777777" w:rsidR="00000000" w:rsidRDefault="00000000"/>
  </w:footnote>
  <w:footnote w:id="34">
    <w:p w14:paraId="0F53DFD7" w14:textId="77777777" w:rsidR="005662D1" w:rsidRDefault="00000000">
      <w:r>
        <w:rPr>
          <w:rStyle w:val="FootnoteReference"/>
        </w:rPr>
        <w:footnoteRef/>
      </w:r>
      <w:r>
        <w:rPr>
          <w:sz w:val="18"/>
          <w:szCs w:val="18"/>
        </w:rPr>
        <w:t>Report of the Kumar Mangalam Birla Committee on Corporate Governance (2000), SEBI, Mumbai.</w:t>
      </w:r>
    </w:p>
  </w:footnote>
  <w:footnote w:id="35">
    <w:p w14:paraId="1FBEF301" w14:textId="77777777" w:rsidR="005662D1" w:rsidRDefault="00000000">
      <w:r>
        <w:rPr>
          <w:rStyle w:val="FootnoteReference"/>
        </w:rPr>
        <w:footnoteRef/>
      </w:r>
      <w:r>
        <w:rPr>
          <w:sz w:val="18"/>
          <w:szCs w:val="18"/>
        </w:rPr>
        <w:t>Report of the N. R. Narayana Murthy Committee on Corporate Governance (2003), SEBI, Mumbai.</w:t>
      </w:r>
    </w:p>
  </w:footnote>
  <w:footnote w:id="36">
    <w:p w14:paraId="7B7D342B" w14:textId="77777777" w:rsidR="005662D1" w:rsidRDefault="00000000">
      <w:r>
        <w:rPr>
          <w:rStyle w:val="FootnoteReference"/>
        </w:rPr>
        <w:footnoteRef/>
      </w:r>
      <w:r>
        <w:rPr>
          <w:sz w:val="18"/>
          <w:szCs w:val="18"/>
        </w:rPr>
        <w:t>Naresh Chandra Committee Report on Corporate Audit and Governance (2002), Department of Company Affairs, Government of India.</w:t>
      </w:r>
    </w:p>
  </w:footnote>
  <w:footnote w:id="37">
    <w:p w14:paraId="0D47486A" w14:textId="77777777" w:rsidR="005662D1" w:rsidRDefault="00000000">
      <w:r>
        <w:rPr>
          <w:rStyle w:val="FootnoteReference"/>
        </w:rPr>
        <w:footnoteRef/>
      </w:r>
      <w:r>
        <w:rPr>
          <w:sz w:val="18"/>
          <w:szCs w:val="18"/>
        </w:rPr>
        <w:t>SEBI (Listing Obligations and Disclosure Requirements) Regulations, 2015, Regulation 17 (Board Composition).</w:t>
      </w:r>
    </w:p>
  </w:footnote>
  <w:footnote w:id="38">
    <w:p w14:paraId="02B1C87A" w14:textId="77777777" w:rsidR="005662D1" w:rsidRDefault="00000000">
      <w:r>
        <w:rPr>
          <w:rStyle w:val="FootnoteReference"/>
        </w:rPr>
        <w:footnoteRef/>
      </w:r>
      <w:r>
        <w:rPr>
          <w:sz w:val="18"/>
          <w:szCs w:val="18"/>
        </w:rPr>
        <w:t>Companies Act, 2013 (Act No. 18 of 2013), Section 177 (Audit Committee) and Section 178 (Nomination and Remuneration Committee).</w:t>
      </w:r>
    </w:p>
  </w:footnote>
  <w:footnote w:id="39">
    <w:p w14:paraId="7964AC1C" w14:textId="77777777" w:rsidR="005662D1" w:rsidRDefault="00000000">
      <w:r>
        <w:rPr>
          <w:rStyle w:val="FootnoteReference"/>
        </w:rPr>
        <w:footnoteRef/>
      </w:r>
      <w:r>
        <w:rPr>
          <w:sz w:val="18"/>
          <w:szCs w:val="18"/>
        </w:rPr>
        <w:t>SEBI Circular No. SEBI/HO/CFD/CMD/CIR/P/2018/79 dated May 10, 2018, on Listing Obligations and Disclosure Requirements.</w:t>
      </w:r>
    </w:p>
  </w:footnote>
  <w:footnote w:id="40">
    <w:p w14:paraId="262BAC6E" w14:textId="77777777" w:rsidR="00301BC0" w:rsidRDefault="00301BC0"/>
    <w:p w14:paraId="7482C4E9" w14:textId="77777777" w:rsidR="00000000" w:rsidRDefault="00000000"/>
  </w:footnote>
  <w:footnote w:id="41">
    <w:p w14:paraId="57C90D63" w14:textId="77777777" w:rsidR="005662D1" w:rsidRDefault="00000000">
      <w:r>
        <w:rPr>
          <w:rStyle w:val="FootnoteReference"/>
        </w:rPr>
        <w:footnoteRef/>
      </w:r>
      <w:r>
        <w:rPr>
          <w:sz w:val="18"/>
          <w:szCs w:val="18"/>
        </w:rPr>
        <w:t>V. Leeladhar, 'Capital Market Development in India', Valedictory Address at SEBI–NISM Seminar, Mumbai, 2007.</w:t>
      </w:r>
    </w:p>
  </w:footnote>
  <w:footnote w:id="42">
    <w:p w14:paraId="57137AC9" w14:textId="77777777" w:rsidR="005662D1" w:rsidRDefault="00000000">
      <w:r>
        <w:rPr>
          <w:rStyle w:val="FootnoteReference"/>
        </w:rPr>
        <w:footnoteRef/>
      </w:r>
      <w:r>
        <w:rPr>
          <w:sz w:val="18"/>
          <w:szCs w:val="18"/>
        </w:rPr>
        <w:t>SEBI Discussion Paper on Algorithmic Trading, February 2016, SEBI, Mumbai.</w:t>
      </w:r>
    </w:p>
  </w:footnote>
  <w:footnote w:id="43">
    <w:p w14:paraId="215A5979" w14:textId="77777777" w:rsidR="005662D1" w:rsidRDefault="00000000">
      <w:r>
        <w:rPr>
          <w:rStyle w:val="FootnoteReference"/>
        </w:rPr>
        <w:footnoteRef/>
      </w:r>
      <w:r>
        <w:rPr>
          <w:sz w:val="18"/>
          <w:szCs w:val="18"/>
        </w:rPr>
        <w:t>SEBI Technology Advisory Committee Report on Cybersecurity and Cyber Resilience Framework, 2019.</w:t>
      </w:r>
    </w:p>
  </w:footnote>
  <w:footnote w:id="44">
    <w:p w14:paraId="22273261" w14:textId="77777777" w:rsidR="005662D1" w:rsidRDefault="00000000">
      <w:r>
        <w:rPr>
          <w:rStyle w:val="FootnoteReference"/>
        </w:rPr>
        <w:footnoteRef/>
      </w:r>
      <w:r>
        <w:rPr>
          <w:sz w:val="18"/>
          <w:szCs w:val="18"/>
        </w:rPr>
        <w:t>SEBI Consultation Paper on Environmental, Social and Governance (ESG) Disclosures, Ratings and Investing, January 2023.</w:t>
      </w:r>
    </w:p>
  </w:footnote>
  <w:footnote w:id="45">
    <w:p w14:paraId="54C46849" w14:textId="77777777" w:rsidR="005662D1" w:rsidRDefault="00000000">
      <w:r>
        <w:rPr>
          <w:rStyle w:val="FootnoteReference"/>
        </w:rPr>
        <w:footnoteRef/>
      </w:r>
      <w:r>
        <w:rPr>
          <w:sz w:val="18"/>
          <w:szCs w:val="18"/>
        </w:rPr>
        <w:t>K. N. Vaidyanathan, 'Capital Market Reforms in India', ICICI Research Centre Occasional Paper (2002).</w:t>
      </w:r>
    </w:p>
  </w:footnote>
  <w:footnote w:id="46">
    <w:p w14:paraId="0DE1A971" w14:textId="77777777" w:rsidR="005662D1" w:rsidRDefault="00000000">
      <w:r>
        <w:rPr>
          <w:rStyle w:val="FootnoteReference"/>
        </w:rPr>
        <w:footnoteRef/>
      </w:r>
      <w:r>
        <w:rPr>
          <w:sz w:val="18"/>
          <w:szCs w:val="18"/>
        </w:rPr>
        <w:t>SEBI (Infrastructure Investment Trusts) Regulations, 2014 and SEBI (Real Estate Investment Trusts) Regulations, 2014.</w:t>
      </w:r>
    </w:p>
  </w:footnote>
  <w:footnote w:id="47">
    <w:p w14:paraId="252DFD43" w14:textId="77777777" w:rsidR="005662D1" w:rsidRDefault="00000000">
      <w:r>
        <w:rPr>
          <w:rStyle w:val="FootnoteReference"/>
        </w:rPr>
        <w:footnoteRef/>
      </w:r>
      <w:r>
        <w:rPr>
          <w:sz w:val="18"/>
          <w:szCs w:val="18"/>
        </w:rPr>
        <w:t>SEBI (Alternative Investment Funds) Regulations, 2012, Gazette of India, Extraordinary Part III, Section 4.</w:t>
      </w:r>
    </w:p>
  </w:footnote>
  <w:footnote w:id="48">
    <w:p w14:paraId="7059C96E" w14:textId="77777777" w:rsidR="005662D1" w:rsidRDefault="00000000">
      <w:r>
        <w:rPr>
          <w:rStyle w:val="FootnoteReference"/>
        </w:rPr>
        <w:footnoteRef/>
      </w:r>
      <w:r>
        <w:rPr>
          <w:sz w:val="18"/>
          <w:szCs w:val="18"/>
        </w:rPr>
        <w:t>SEBI (Substantial Acquisition of Shares and Takeovers) Regulations, 2011, Regulation 3.</w:t>
      </w:r>
    </w:p>
  </w:footnote>
  <w:footnote w:id="49">
    <w:p w14:paraId="3F9175D9" w14:textId="77777777" w:rsidR="005662D1" w:rsidRDefault="00000000">
      <w:r>
        <w:rPr>
          <w:rStyle w:val="FootnoteReference"/>
        </w:rPr>
        <w:footnoteRef/>
      </w:r>
      <w:r>
        <w:rPr>
          <w:sz w:val="18"/>
          <w:szCs w:val="18"/>
        </w:rPr>
        <w:t>SEBI (Mutual Funds) Regulations, 1996, as amended, Regulation 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949D0" w14:textId="77777777" w:rsidR="005662D1" w:rsidRDefault="00000000">
    <w:pPr>
      <w:pBdr>
        <w:bottom w:val="single" w:sz="6" w:space="1" w:color="333333"/>
      </w:pBdr>
      <w:jc w:val="right"/>
    </w:pPr>
    <w:r>
      <w:rPr>
        <w:i/>
        <w:iCs/>
        <w:color w:val="555555"/>
        <w:sz w:val="18"/>
        <w:szCs w:val="18"/>
      </w:rPr>
      <w:t>IMPACT OF SEBI ON INDIAN CAPITAL MARKET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62D1"/>
    <w:rsid w:val="00301BC0"/>
    <w:rsid w:val="00456E40"/>
    <w:rsid w:val="005662D1"/>
    <w:rsid w:val="00C4418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5EA04"/>
  <w15:docId w15:val="{4824F2C6-3F20-4FD9-B1A5-E4D1AF2F5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IN" w:eastAsia="en-I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pBdr>
        <w:top w:val="nil"/>
        <w:left w:val="nil"/>
        <w:bottom w:val="nil"/>
        <w:right w:val="nil"/>
        <w:between w:val="nil"/>
      </w:pBdr>
      <w:spacing w:before="360" w:after="200"/>
      <w:outlineLvl w:val="0"/>
    </w:pPr>
    <w:rPr>
      <w:b/>
      <w:bCs/>
      <w:color w:val="000000"/>
      <w:sz w:val="28"/>
      <w:szCs w:val="28"/>
    </w:rPr>
  </w:style>
  <w:style w:type="paragraph" w:styleId="Heading2">
    <w:name w:val="heading 2"/>
    <w:basedOn w:val="Normal"/>
    <w:next w:val="Normal"/>
    <w:uiPriority w:val="9"/>
    <w:unhideWhenUsed/>
    <w:qFormat/>
    <w:pPr>
      <w:pBdr>
        <w:top w:val="nil"/>
        <w:left w:val="nil"/>
        <w:bottom w:val="nil"/>
        <w:right w:val="nil"/>
        <w:between w:val="nil"/>
      </w:pBdr>
      <w:spacing w:before="280" w:after="160"/>
      <w:outlineLvl w:val="1"/>
    </w:pPr>
    <w:rPr>
      <w:b/>
      <w:bCs/>
      <w:color w:val="000000"/>
      <w:sz w:val="26"/>
      <w:szCs w:val="26"/>
    </w:rPr>
  </w:style>
  <w:style w:type="paragraph" w:styleId="Heading3">
    <w:name w:val="heading 3"/>
    <w:basedOn w:val="Normal"/>
    <w:next w:val="Normal"/>
    <w:uiPriority w:val="9"/>
    <w:semiHidden/>
    <w:unhideWhenUsed/>
    <w:qFormat/>
    <w:pPr>
      <w:pBdr>
        <w:top w:val="nil"/>
        <w:left w:val="nil"/>
        <w:bottom w:val="nil"/>
        <w:right w:val="nil"/>
        <w:between w:val="nil"/>
      </w:pBdr>
      <w:outlineLvl w:val="2"/>
    </w:pPr>
    <w:rPr>
      <w:color w:val="1F4D78"/>
    </w:rPr>
  </w:style>
  <w:style w:type="paragraph" w:styleId="Heading4">
    <w:name w:val="heading 4"/>
    <w:basedOn w:val="Normal"/>
    <w:next w:val="Normal"/>
    <w:uiPriority w:val="9"/>
    <w:semiHidden/>
    <w:unhideWhenUsed/>
    <w:qFormat/>
    <w:pPr>
      <w:pBdr>
        <w:top w:val="nil"/>
        <w:left w:val="nil"/>
        <w:bottom w:val="nil"/>
        <w:right w:val="nil"/>
        <w:between w:val="nil"/>
      </w:pBdr>
      <w:outlineLvl w:val="3"/>
    </w:pPr>
    <w:rPr>
      <w:i/>
      <w:iCs/>
      <w:color w:val="2E74B5"/>
    </w:rPr>
  </w:style>
  <w:style w:type="paragraph" w:styleId="Heading5">
    <w:name w:val="heading 5"/>
    <w:basedOn w:val="Normal"/>
    <w:next w:val="Normal"/>
    <w:uiPriority w:val="9"/>
    <w:semiHidden/>
    <w:unhideWhenUsed/>
    <w:qFormat/>
    <w:pPr>
      <w:pBdr>
        <w:top w:val="nil"/>
        <w:left w:val="nil"/>
        <w:bottom w:val="nil"/>
        <w:right w:val="nil"/>
        <w:between w:val="nil"/>
      </w:pBdr>
      <w:outlineLvl w:val="4"/>
    </w:pPr>
    <w:rPr>
      <w:color w:val="2E74B5"/>
    </w:rPr>
  </w:style>
  <w:style w:type="paragraph" w:styleId="Heading6">
    <w:name w:val="heading 6"/>
    <w:basedOn w:val="Normal"/>
    <w:next w:val="Normal"/>
    <w:uiPriority w:val="9"/>
    <w:semiHidden/>
    <w:unhideWhenUsed/>
    <w:qFormat/>
    <w:pPr>
      <w:pBdr>
        <w:top w:val="nil"/>
        <w:left w:val="nil"/>
        <w:bottom w:val="nil"/>
        <w:right w:val="nil"/>
        <w:between w:val="nil"/>
      </w:pBd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pBdr>
        <w:top w:val="nil"/>
        <w:left w:val="nil"/>
        <w:bottom w:val="nil"/>
        <w:right w:val="nil"/>
        <w:between w:val="nil"/>
      </w:pBdr>
    </w:pPr>
    <w:rPr>
      <w:color w:val="000000"/>
      <w:sz w:val="56"/>
      <w:szCs w:val="56"/>
    </w:rPr>
  </w:style>
  <w:style w:type="paragraph" w:customStyle="1" w:styleId="Strong1">
    <w:name w:val="Strong1"/>
    <w:basedOn w:val="Normal"/>
    <w:next w:val="Normal"/>
    <w:qFormat/>
    <w:rPr>
      <w:b/>
      <w:bCs/>
    </w:rPr>
  </w:style>
  <w:style w:type="paragraph" w:styleId="ListParagraph">
    <w:name w:val="List Paragraph"/>
    <w:basedOn w:val="Normal"/>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x3YdJc2o9C2ifS/K/Ht5AmfETg==">CgMxLjA4AHIhMWtvRWFkNXBOQ3lMN1drRTlTYUo0bVNYVFdUQ0V2SzlX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5255</Words>
  <Characters>29955</Characters>
  <Application>Microsoft Office Word</Application>
  <DocSecurity>0</DocSecurity>
  <Lines>249</Lines>
  <Paragraphs>70</Paragraphs>
  <ScaleCrop>false</ScaleCrop>
  <Company/>
  <LinksUpToDate>false</LinksUpToDate>
  <CharactersWithSpaces>35140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Shubhi Shukla</cp:lastModifiedBy>
  <cp:revision>1</cp:revision>
  <dcterms:created xsi:type="dcterms:W3CDTF">2026-03-26T04:16:00Z</dcterms:created>
  <dcterms:modified xsi:type="dcterms:W3CDTF">2026-03-26T05:46:00Z</dcterms:modified>
</cp:coreProperties>
</file>