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00CAFD" w14:textId="77777777" w:rsidR="00FE75D7" w:rsidRDefault="00FE75D7">
      <w:pPr>
        <w:spacing w:after="80"/>
      </w:pPr>
    </w:p>
    <w:p w14:paraId="0E52518D" w14:textId="77777777" w:rsidR="001D4D81" w:rsidRDefault="001D4D81">
      <w:pPr>
        <w:spacing w:after="80"/>
      </w:pPr>
    </w:p>
    <w:p w14:paraId="5EAC804A" w14:textId="77777777" w:rsidR="001D4D81" w:rsidRDefault="001D4D81" w:rsidP="001D4D81">
      <w:pPr>
        <w:spacing w:after="80"/>
        <w:jc w:val="center"/>
      </w:pPr>
      <w:r>
        <w:t xml:space="preserve">Paper Submitted by Rohit Upadhyay </w:t>
      </w:r>
    </w:p>
    <w:p w14:paraId="34988AC5" w14:textId="26CA0734" w:rsidR="001D4D81" w:rsidRDefault="001D4D81" w:rsidP="001D4D81">
      <w:pPr>
        <w:spacing w:after="80"/>
        <w:jc w:val="center"/>
      </w:pPr>
      <w:proofErr w:type="spellStart"/>
      <w:r>
        <w:t>Ballb</w:t>
      </w:r>
      <w:proofErr w:type="spellEnd"/>
      <w:r>
        <w:t xml:space="preserve"> (final </w:t>
      </w:r>
      <w:proofErr w:type="gramStart"/>
      <w:r>
        <w:t>year )</w:t>
      </w:r>
      <w:proofErr w:type="gramEnd"/>
    </w:p>
    <w:p w14:paraId="6D7B172A" w14:textId="1AC28C99" w:rsidR="001D4D81" w:rsidRDefault="001D4D81" w:rsidP="001D4D81">
      <w:pPr>
        <w:spacing w:after="80"/>
        <w:jc w:val="center"/>
      </w:pPr>
      <w:r>
        <w:t>Amity University Noida</w:t>
      </w:r>
    </w:p>
    <w:p w14:paraId="4BDA5A83" w14:textId="77777777" w:rsidR="001D4D81" w:rsidRDefault="001D4D81" w:rsidP="001D4D81">
      <w:pPr>
        <w:spacing w:after="80"/>
        <w:jc w:val="center"/>
      </w:pPr>
    </w:p>
    <w:p w14:paraId="315C4324" w14:textId="77777777" w:rsidR="001D4D81" w:rsidRDefault="001D4D81">
      <w:pPr>
        <w:spacing w:after="80"/>
      </w:pPr>
    </w:p>
    <w:p w14:paraId="0D784945" w14:textId="77777777" w:rsidR="00FE75D7" w:rsidRDefault="00FE75D7">
      <w:pPr>
        <w:spacing w:after="80"/>
      </w:pPr>
    </w:p>
    <w:p w14:paraId="5A9F8B1F" w14:textId="77777777" w:rsidR="00FE75D7" w:rsidRDefault="00FE75D7">
      <w:pPr>
        <w:spacing w:after="80"/>
      </w:pPr>
    </w:p>
    <w:p w14:paraId="35A900CD" w14:textId="77777777" w:rsidR="00FE75D7" w:rsidRDefault="00000000">
      <w:pPr>
        <w:spacing w:after="200"/>
        <w:jc w:val="center"/>
      </w:pPr>
      <w:r>
        <w:rPr>
          <w:b/>
          <w:bCs/>
          <w:sz w:val="36"/>
          <w:szCs w:val="36"/>
        </w:rPr>
        <w:t>CONSUMER PERSPECTIVES ON CYBERSECURITY AND DATA PRIVACY:</w:t>
      </w:r>
    </w:p>
    <w:p w14:paraId="2F907876" w14:textId="77777777" w:rsidR="00FE75D7" w:rsidRDefault="00000000">
      <w:pPr>
        <w:spacing w:after="400"/>
        <w:jc w:val="center"/>
      </w:pPr>
      <w:r>
        <w:rPr>
          <w:b/>
          <w:bCs/>
          <w:sz w:val="36"/>
          <w:szCs w:val="36"/>
        </w:rPr>
        <w:t>POLICY AND REGULATIONS IN INDIA</w:t>
      </w:r>
    </w:p>
    <w:p w14:paraId="546A255A" w14:textId="77777777" w:rsidR="00FE75D7" w:rsidRDefault="00000000">
      <w:pPr>
        <w:spacing w:after="160"/>
        <w:jc w:val="center"/>
      </w:pPr>
      <w:r>
        <w:rPr>
          <w:i/>
          <w:iCs/>
          <w:sz w:val="26"/>
          <w:szCs w:val="26"/>
        </w:rPr>
        <w:t>A Legal Research Paper</w:t>
      </w:r>
    </w:p>
    <w:p w14:paraId="0727C969" w14:textId="77777777" w:rsidR="00FE75D7" w:rsidRDefault="00FE75D7">
      <w:pPr>
        <w:spacing w:after="80"/>
      </w:pPr>
    </w:p>
    <w:p w14:paraId="1C668136" w14:textId="77777777" w:rsidR="00FE75D7" w:rsidRDefault="00FE75D7">
      <w:pPr>
        <w:spacing w:after="120"/>
        <w:jc w:val="center"/>
      </w:pPr>
    </w:p>
    <w:p w14:paraId="2377B3B5" w14:textId="77777777" w:rsidR="00FE75D7" w:rsidRDefault="00000000">
      <w:r>
        <w:br w:type="page"/>
      </w:r>
    </w:p>
    <w:p w14:paraId="4235FE58" w14:textId="77777777" w:rsidR="00FE75D7" w:rsidRDefault="00000000">
      <w:pPr>
        <w:pStyle w:val="Heading1"/>
      </w:pPr>
      <w:r>
        <w:rPr>
          <w:smallCaps/>
        </w:rPr>
        <w:lastRenderedPageBreak/>
        <w:t>ABSTRACT</w:t>
      </w:r>
    </w:p>
    <w:p w14:paraId="2C6B5CC6" w14:textId="77777777" w:rsidR="00FE75D7" w:rsidRDefault="00000000">
      <w:pPr>
        <w:spacing w:after="160" w:line="360" w:lineRule="auto"/>
        <w:jc w:val="both"/>
      </w:pPr>
      <w:r>
        <w:t xml:space="preserve">The digital revolution in India has delivered one of the biggest and fastest-growing online consumer markets in the world which houses in excess of 900 million internet users spanning online payment and healthcare systems to online education and governance. This exponential increase, however, has radically changed the risk environment, putting citizens at the </w:t>
      </w:r>
      <w:proofErr w:type="spellStart"/>
      <w:r>
        <w:t>center</w:t>
      </w:r>
      <w:proofErr w:type="spellEnd"/>
      <w:r>
        <w:t xml:space="preserve"> of risk never seen before with regards to the threats of cybersecurity and systematic breach of privacy. The current paper is the attempt to conduct an in-depth legal-analytical study of consumer attitudes towards cybersecurity and data privacy in the Indian regulatory context. It critically reviews the history of the development of legislations in India - beginning with the primitive stipulations of the Information Technology Act, 2000, and then the historic constitutional declaration of privacy as a fundamental right of constitutional law in the case Justice K.S. </w:t>
      </w:r>
      <w:proofErr w:type="spellStart"/>
      <w:r>
        <w:t>Puttaswamy</w:t>
      </w:r>
      <w:proofErr w:type="spellEnd"/>
      <w:r>
        <w:t xml:space="preserve"> </w:t>
      </w:r>
      <w:proofErr w:type="spellStart"/>
      <w:proofErr w:type="gramStart"/>
      <w:r>
        <w:t>v.Union</w:t>
      </w:r>
      <w:proofErr w:type="spellEnd"/>
      <w:proofErr w:type="gramEnd"/>
      <w:r>
        <w:t xml:space="preserve"> of India </w:t>
      </w:r>
      <w:proofErr w:type="gramStart"/>
      <w:r>
        <w:t>To</w:t>
      </w:r>
      <w:proofErr w:type="gramEnd"/>
      <w:r>
        <w:t xml:space="preserve"> the enactment of the Digital Personal data protection Act, 2023, (2017). Using primary legal materials, judicial decisions, reports of parliamentary committees, and available empirical research on consumer awareness, the paper presents four cardinal issues, namely the lack of informed consent, regulatory fragmentation in specific sectors, the lack of efficiency in the existing consumer redressal mechanisms, and structural imbalances in the responsibility of data fiduciaries. The conclusion reached in the paper states that although the Digital Personal Data Protection Act, 2023 is a radical legislative step forward, effective consumer protection necessitates effective supporting rules, an autonomous and adequately funded Data Protection Board, convergent sectoral regulation, and continued investments in digital literacy. Devoid of these concomitant action points, legislative commitments will be idealistic instead of functional to the 1.4 billion consumers whose information is the foundation of the Indian digital economy.</w:t>
      </w:r>
    </w:p>
    <w:p w14:paraId="2DD2D380" w14:textId="77777777" w:rsidR="00FE75D7" w:rsidRDefault="00FE75D7">
      <w:pPr>
        <w:spacing w:after="80"/>
      </w:pPr>
    </w:p>
    <w:p w14:paraId="0C08987D" w14:textId="77777777" w:rsidR="00FE75D7" w:rsidRDefault="00000000">
      <w:pPr>
        <w:spacing w:after="160"/>
      </w:pPr>
      <w:r>
        <w:rPr>
          <w:b/>
          <w:bCs/>
        </w:rPr>
        <w:t xml:space="preserve">Keywords: </w:t>
      </w:r>
      <w:r>
        <w:rPr>
          <w:i/>
          <w:iCs/>
        </w:rPr>
        <w:t>Data Privacy, Cybersecurity, Digital Personal Data Protection Act 2023, Consumer Rights, Information Technology Law, India, Fundamental Right to Privacy, Data Fiduciary, CERT-In.</w:t>
      </w:r>
    </w:p>
    <w:p w14:paraId="40CEB5B9" w14:textId="77777777" w:rsidR="00FE75D7" w:rsidRDefault="00000000">
      <w:pPr>
        <w:pStyle w:val="Heading1"/>
      </w:pPr>
      <w:r>
        <w:rPr>
          <w:smallCaps/>
        </w:rPr>
        <w:t>I.  INTRODUCTION</w:t>
      </w:r>
    </w:p>
    <w:p w14:paraId="551E4A87" w14:textId="77777777" w:rsidR="00FE75D7" w:rsidRDefault="00000000">
      <w:pPr>
        <w:spacing w:after="160" w:line="360" w:lineRule="auto"/>
        <w:jc w:val="both"/>
      </w:pPr>
      <w:r>
        <w:t xml:space="preserve">India occupies a paradoxical position in the global digital order. On one hand, it is the world's most populous democracy and hosts the second-largest internet user base, with digital public infrastructure—Aadhaar, UPI, and the India Stack—celebrated internationally as a model of inclusive technological governance. On the other hand, its citizens have, until very recently, navigated a vast </w:t>
      </w:r>
      <w:r>
        <w:lastRenderedPageBreak/>
        <w:t>and complex digital ecosystem without the protection of a comprehensive, rights-based data privacy statute.</w:t>
      </w:r>
      <w:r>
        <w:rPr>
          <w:vertAlign w:val="superscript"/>
        </w:rPr>
        <w:footnoteReference w:id="1"/>
      </w:r>
    </w:p>
    <w:p w14:paraId="061E1276" w14:textId="77777777" w:rsidR="00FE75D7" w:rsidRDefault="00000000">
      <w:pPr>
        <w:spacing w:after="160" w:line="360" w:lineRule="auto"/>
        <w:jc w:val="both"/>
      </w:pPr>
      <w:r>
        <w:t xml:space="preserve">The enactment of the Digital Personal Data Protection Act, 2023 (hereinafter 'DPDPA' or 'the Act') marked a watershed in India's legal history. After nearly a decade of consultations, the collapse of the Personal Data Protection Bill, 2019, and the constitutional imperative established in </w:t>
      </w:r>
      <w:proofErr w:type="spellStart"/>
      <w:r>
        <w:t>Puttaswamy</w:t>
      </w:r>
      <w:proofErr w:type="spellEnd"/>
      <w:r>
        <w:t>, India finally codified the rights of data principals and the obligations of data fiduciaries in a unified framework.</w:t>
      </w:r>
      <w:r>
        <w:rPr>
          <w:vertAlign w:val="superscript"/>
        </w:rPr>
        <w:footnoteReference w:id="2"/>
      </w:r>
    </w:p>
    <w:p w14:paraId="4AB6DE2E" w14:textId="77777777" w:rsidR="00FE75D7" w:rsidRDefault="00000000">
      <w:pPr>
        <w:spacing w:after="160" w:line="360" w:lineRule="auto"/>
        <w:jc w:val="both"/>
      </w:pPr>
      <w:r>
        <w:t>Yet legislation alone is insufficient. The central question this paper addresses is not merely whether India has a data privacy law, but whether that law—and the broader regulatory ecosystem surrounding cybersecurity—adequately reflects and protects consumer interests. This question demands attention to the consumer as the primary subject of data collection and the principal victim of privacy violations and cyberattacks.</w:t>
      </w:r>
    </w:p>
    <w:p w14:paraId="64767615" w14:textId="77777777" w:rsidR="00FE75D7" w:rsidRDefault="00000000">
      <w:pPr>
        <w:spacing w:after="160" w:line="360" w:lineRule="auto"/>
        <w:jc w:val="both"/>
      </w:pPr>
      <w:r>
        <w:t>Consumer vulnerability in the digital space arises from multiple intersecting factors: asymmetric information between platforms and users, the complexity of consent architectures, the prevalence of dark patterns, limited digital literacy, and the relative weakness of enforcement mechanisms. Studies indicate that a large proportion of Indian internet users remain unaware of their data rights, with awareness being inversely correlated with the demographic groups—women, rural populations, and economically weaker sections—that constitute the majority of India's new internet users.</w:t>
      </w:r>
      <w:r>
        <w:rPr>
          <w:vertAlign w:val="superscript"/>
        </w:rPr>
        <w:footnoteReference w:id="3"/>
      </w:r>
    </w:p>
    <w:p w14:paraId="2F9CE8A2" w14:textId="77777777" w:rsidR="00FE75D7" w:rsidRDefault="00000000">
      <w:pPr>
        <w:spacing w:after="160" w:line="360" w:lineRule="auto"/>
        <w:jc w:val="both"/>
      </w:pPr>
      <w:r>
        <w:t>This paper proceeds in nine substantive parts. Following the literature review, it examines the constitutional and judicial foundations of the right to privacy. It then traces the legislative trajectory from the IT Act, 2000 through the DPDPA, 2023. The paper subsequently analyses consumer perspectives on consent, awareness, and redressal, before examining cybersecurity regulations and their consumer implications. Sectoral regulation, comparative analysis with international frameworks, critical gaps in the current regime, and final recommendations complete the inquiry. The paper adopts a doctrinal methodology supplemented by empirical findings and comparative insights.</w:t>
      </w:r>
    </w:p>
    <w:p w14:paraId="319562FF" w14:textId="77777777" w:rsidR="00FE75D7" w:rsidRDefault="00000000">
      <w:pPr>
        <w:pStyle w:val="Heading1"/>
      </w:pPr>
      <w:r>
        <w:rPr>
          <w:smallCaps/>
        </w:rPr>
        <w:lastRenderedPageBreak/>
        <w:t>II.  LITERATURE REVIEW</w:t>
      </w:r>
    </w:p>
    <w:p w14:paraId="4B03A9CD" w14:textId="77777777" w:rsidR="00FE75D7" w:rsidRDefault="00000000">
      <w:pPr>
        <w:spacing w:after="160" w:line="360" w:lineRule="auto"/>
        <w:jc w:val="both"/>
      </w:pPr>
      <w:r>
        <w:t>The academic discourse on data privacy and cybersecurity in India has grown substantially over the past two decades, paralleling the maturation of the policy debate. An early and influential contribution was that of Usha Ramanathan, whose writings on the Unique Identification Authority of India highlighted the structural dangers of mass biometric data collection and the inadequacy of consent frameworks in a society marked by profound information asymmetries between the State and its citizens.</w:t>
      </w:r>
    </w:p>
    <w:p w14:paraId="6695FD27" w14:textId="77777777" w:rsidR="00FE75D7" w:rsidRDefault="00000000">
      <w:pPr>
        <w:spacing w:after="160" w:line="360" w:lineRule="auto"/>
        <w:jc w:val="both"/>
      </w:pPr>
      <w:r>
        <w:t>Rahul Matthan's Privacy 3.0 provided one of the first book-length treatments of data privacy from an Indian practitioner's perspective, arguing for a contextual rather than formal approach to consent that would better reflect the realities of Indian digital consumption. Matthan's framework of 'Privacy 3.0' positioned privacy not as an individual right but as a social contract between data subjects, fiduciaries, and the State.</w:t>
      </w:r>
      <w:r>
        <w:rPr>
          <w:vertAlign w:val="superscript"/>
        </w:rPr>
        <w:footnoteReference w:id="4"/>
      </w:r>
    </w:p>
    <w:p w14:paraId="231DBFA6" w14:textId="77777777" w:rsidR="00FE75D7" w:rsidRDefault="00000000">
      <w:pPr>
        <w:spacing w:after="160" w:line="360" w:lineRule="auto"/>
        <w:jc w:val="both"/>
      </w:pPr>
      <w:r>
        <w:t>The Srikrishna Committee Report of 2018 constitutes the most comprehensive official examination of India's data protection needs prior to the DPDPA. The Report diagnosed the core problem as a 'vacuum of data protection law' and proposed a harm-based approach to consent that acknowledged the limitations of the notice-and-consent paradigm in high-volume digital environments. The Committee's draft bill was largely built upon these foundations, though subsequent legislative revisions introduced significant departures.</w:t>
      </w:r>
      <w:r>
        <w:rPr>
          <w:vertAlign w:val="superscript"/>
        </w:rPr>
        <w:footnoteReference w:id="5"/>
      </w:r>
    </w:p>
    <w:p w14:paraId="474E0E28" w14:textId="77777777" w:rsidR="00FE75D7" w:rsidRDefault="00000000">
      <w:pPr>
        <w:spacing w:after="160" w:line="360" w:lineRule="auto"/>
        <w:jc w:val="both"/>
      </w:pPr>
      <w:r>
        <w:t xml:space="preserve">Vrinda Bhandari and Smriti </w:t>
      </w:r>
      <w:proofErr w:type="spellStart"/>
      <w:r>
        <w:t>Parsheera</w:t>
      </w:r>
      <w:proofErr w:type="spellEnd"/>
      <w:r>
        <w:t xml:space="preserve"> critically examined the question of data localisation from the perspective of Indian consumers, questioning whether territorial data storage mandates would genuinely enhance consumer protection or primarily serve industrial policy objectives. Their analysis remains highly relevant given the DPDPA's provisions on cross-border data transfers and the government's ongoing work on an adequacy list.</w:t>
      </w:r>
      <w:r>
        <w:rPr>
          <w:vertAlign w:val="superscript"/>
        </w:rPr>
        <w:footnoteReference w:id="6"/>
      </w:r>
    </w:p>
    <w:p w14:paraId="1881FFFB" w14:textId="77777777" w:rsidR="00FE75D7" w:rsidRDefault="00000000">
      <w:pPr>
        <w:spacing w:after="160" w:line="360" w:lineRule="auto"/>
        <w:jc w:val="both"/>
      </w:pPr>
      <w:r>
        <w:t xml:space="preserve">In the sphere of cybersecurity, Pavan Duggal's extensive scholarship on cyberlaw has traced the evolution of India's IT Act regime and its interaction with cybercrime. Duggal has argued that India's </w:t>
      </w:r>
      <w:r>
        <w:lastRenderedPageBreak/>
        <w:t>approach to cybersecurity has remained predominantly reactive—responding to specific incidents rather than building a proactive consumer-protective framework.</w:t>
      </w:r>
      <w:r>
        <w:rPr>
          <w:vertAlign w:val="superscript"/>
        </w:rPr>
        <w:footnoteReference w:id="7"/>
      </w:r>
    </w:p>
    <w:p w14:paraId="4E4605CB" w14:textId="77777777" w:rsidR="00FE75D7" w:rsidRDefault="00000000">
      <w:pPr>
        <w:spacing w:after="160" w:line="360" w:lineRule="auto"/>
        <w:jc w:val="both"/>
      </w:pPr>
      <w:proofErr w:type="spellStart"/>
      <w:r>
        <w:t>Bedavyasa</w:t>
      </w:r>
      <w:proofErr w:type="spellEnd"/>
      <w:r>
        <w:t xml:space="preserve"> Mohanty's recent analysis of the DPDPA, 2023 at the Observer Research Foundation offers one of the earliest post-enactment assessments, identifying the Act's reliance on delegated legislation as both a flexibility mechanism and a source of regulatory uncertainty. Mohanty highlights that the omission of the data localisation mandate from the final Act, and the expansive exemptions granted to the State, may undermine the consumer-protective purpose of the legislation.</w:t>
      </w:r>
      <w:r>
        <w:rPr>
          <w:vertAlign w:val="superscript"/>
        </w:rPr>
        <w:footnoteReference w:id="8"/>
      </w:r>
    </w:p>
    <w:p w14:paraId="6F590CC4" w14:textId="77777777" w:rsidR="00FE75D7" w:rsidRDefault="00000000">
      <w:pPr>
        <w:spacing w:after="160" w:line="360" w:lineRule="auto"/>
        <w:jc w:val="both"/>
      </w:pPr>
      <w:r>
        <w:t>Comparative scholarship by K.S. Stallings has drawn attention to the divergence between the EU's rights-based GDPR model and the more industry-accommodating approaches of emerging economies, including India. This literature frames the DPDPA as a hybrid instrument that selectively borrows from the GDPR while retaining significant discretion for the executive branch.</w:t>
      </w:r>
      <w:r>
        <w:rPr>
          <w:vertAlign w:val="superscript"/>
        </w:rPr>
        <w:footnoteReference w:id="9"/>
      </w:r>
    </w:p>
    <w:p w14:paraId="464BBB1B" w14:textId="77777777" w:rsidR="00FE75D7" w:rsidRDefault="00000000">
      <w:pPr>
        <w:spacing w:after="160" w:line="360" w:lineRule="auto"/>
        <w:jc w:val="both"/>
      </w:pPr>
      <w:r>
        <w:t>A notable gap in the existing literature concerns the consumer's subjective experience of data privacy. Most legal scholarship has focused on the normative architecture of law rather than its operationalisation. Empirical studies on consumer awareness—conducted by organisations such as NASSCOM, the Data Security Council of India, and PwC India—indicate persistently low levels of informed consent, suggesting that legal guarantees without accompanying awareness infrastructure remain largely formal. This gap motivates the analytical focus of the present paper.</w:t>
      </w:r>
    </w:p>
    <w:p w14:paraId="6255D70B" w14:textId="77777777" w:rsidR="00FE75D7" w:rsidRDefault="00000000">
      <w:pPr>
        <w:pStyle w:val="Heading1"/>
      </w:pPr>
      <w:r>
        <w:rPr>
          <w:smallCaps/>
        </w:rPr>
        <w:t>III.  CONSTITUTIONAL AND JUDICIAL FOUNDATIONS OF DATA PRIVACY</w:t>
      </w:r>
    </w:p>
    <w:p w14:paraId="1227B1D7" w14:textId="77777777" w:rsidR="00FE75D7" w:rsidRDefault="00000000">
      <w:pPr>
        <w:pStyle w:val="Heading2"/>
      </w:pPr>
      <w:r>
        <w:t>A. The Right to Privacy as a Fundamental Right</w:t>
      </w:r>
    </w:p>
    <w:p w14:paraId="17DE4DB7" w14:textId="77777777" w:rsidR="00FE75D7" w:rsidRDefault="00000000">
      <w:pPr>
        <w:spacing w:after="160" w:line="360" w:lineRule="auto"/>
        <w:jc w:val="both"/>
      </w:pPr>
      <w:r>
        <w:t xml:space="preserve">The constitutional status of privacy in India was definitively resolved by the nine-judge bench of the Supreme Court in Justice K.S. </w:t>
      </w:r>
      <w:proofErr w:type="spellStart"/>
      <w:r>
        <w:t>Puttaswamy</w:t>
      </w:r>
      <w:proofErr w:type="spellEnd"/>
      <w:r>
        <w:t xml:space="preserve"> (Retd.) v. Union of India, (2017) 10 SCC 1. The judgment held, unanimously, that the right to privacy is a fundamental right protected under Article 21 (right to life and personal liberty) and under the broader scheme of Part III of the Constitution. This ruling </w:t>
      </w:r>
      <w:r>
        <w:lastRenderedPageBreak/>
        <w:t>overruled M.P. Sharma v. Satish Chandra (1954) and Kharak Singh v. State of Uttar Pradesh (1963) to the extent they denied constitutional protection to privacy.</w:t>
      </w:r>
      <w:r>
        <w:rPr>
          <w:vertAlign w:val="superscript"/>
        </w:rPr>
        <w:footnoteReference w:id="10"/>
      </w:r>
    </w:p>
    <w:p w14:paraId="46581955" w14:textId="77777777" w:rsidR="00FE75D7" w:rsidRDefault="00000000">
      <w:pPr>
        <w:spacing w:after="160" w:line="360" w:lineRule="auto"/>
        <w:jc w:val="both"/>
      </w:pPr>
      <w:r>
        <w:t xml:space="preserve">For data privacy law, the significance of </w:t>
      </w:r>
      <w:proofErr w:type="spellStart"/>
      <w:r>
        <w:t>Puttaswamy</w:t>
      </w:r>
      <w:proofErr w:type="spellEnd"/>
      <w:r>
        <w:t xml:space="preserve"> is profound. By constitutionalising privacy, the Court created an enforceable standard against which legislative and executive action must be measured. Justice D.Y. Chandrachud's concurring opinion articulated a multi-dimensional concept of privacy encompassing informational self-determination—the right of individuals to control the collection, use, and dissemination of personal information about themselves. The Court held that any restriction on this right must satisfy the triple test of legality, legitimate aim, and proportionality.</w:t>
      </w:r>
      <w:r>
        <w:rPr>
          <w:vertAlign w:val="superscript"/>
        </w:rPr>
        <w:footnoteReference w:id="11"/>
      </w:r>
    </w:p>
    <w:p w14:paraId="3CD0A008" w14:textId="77777777" w:rsidR="00FE75D7" w:rsidRDefault="00000000">
      <w:pPr>
        <w:spacing w:after="160" w:line="360" w:lineRule="auto"/>
        <w:jc w:val="both"/>
      </w:pPr>
      <w:r>
        <w:t xml:space="preserve">The </w:t>
      </w:r>
      <w:proofErr w:type="spellStart"/>
      <w:r>
        <w:t>Puttaswamy</w:t>
      </w:r>
      <w:proofErr w:type="spellEnd"/>
      <w:r>
        <w:t xml:space="preserve"> mandate directly shaped the drafting of the DPDPA. The Act's preamble explicitly references the need to process digital personal data in a manner that recognises both the right of individuals to protect their personal data and the need to process such data for lawful purposes. This constitutional grounding distinguishes the DPDPA from its predecessor bills and lends it greater normative authority.</w:t>
      </w:r>
    </w:p>
    <w:p w14:paraId="2A9817B1" w14:textId="77777777" w:rsidR="00FE75D7" w:rsidRDefault="00000000">
      <w:pPr>
        <w:pStyle w:val="Heading2"/>
      </w:pPr>
      <w:r>
        <w:t>B. Subsequent Judicial Developments</w:t>
      </w:r>
    </w:p>
    <w:p w14:paraId="27D1B167" w14:textId="77777777" w:rsidR="00FE75D7" w:rsidRDefault="00000000">
      <w:pPr>
        <w:spacing w:after="160" w:line="360" w:lineRule="auto"/>
        <w:jc w:val="both"/>
      </w:pPr>
      <w:r>
        <w:t>Following Puttaswamy, Indian courts have incrementally developed the contours of informational privacy. The Supreme Court in Virendra Khanna v. State of Karnataka (2021) addressed the right to informational privacy in the context of digital evidence. The Bombay High Court in Prabha Tyagi v. Kamlesh Devi Tyagi (2022) acknowledged the right to be forgotten as a dimension of privacy, though its application in the Indian context remains unsettled. The Kerala High Court in Faheema Shirin v. State of Kerala (2019) recognised the right to internet access as a fundamental right, linking digital access with privacy and expression. These developments collectively signal a judiciary increasingly attentive to the digital dimensions of constitutional rights, creating a conducive environment for robust consumer-protective interpretation of data privacy legislation.</w:t>
      </w:r>
    </w:p>
    <w:p w14:paraId="328F7690" w14:textId="77777777" w:rsidR="00FE75D7" w:rsidRDefault="00000000">
      <w:pPr>
        <w:pStyle w:val="Heading1"/>
      </w:pPr>
      <w:r>
        <w:rPr>
          <w:smallCaps/>
        </w:rPr>
        <w:t>IV.  LEGISLATIVE FRAMEWORK: FROM IT ACT 2000 TO DPDPA 2023</w:t>
      </w:r>
    </w:p>
    <w:p w14:paraId="44C44A5A" w14:textId="77777777" w:rsidR="00FE75D7" w:rsidRDefault="00000000">
      <w:pPr>
        <w:pStyle w:val="Heading2"/>
      </w:pPr>
      <w:r>
        <w:t>A. Information Technology Act, 2000 and Its Limitations</w:t>
      </w:r>
    </w:p>
    <w:p w14:paraId="396548F2" w14:textId="77777777" w:rsidR="00FE75D7" w:rsidRDefault="00000000">
      <w:pPr>
        <w:spacing w:after="160" w:line="360" w:lineRule="auto"/>
        <w:jc w:val="both"/>
      </w:pPr>
      <w:r>
        <w:lastRenderedPageBreak/>
        <w:t>The Information Technology Act, 2000—India's first comprehensive cyberlaw—was enacted primarily to facilitate e-commerce and to provide legal recognition to electronic records and signatures. Its approach to privacy and data protection was incidental rather than foundational. The 2008 Amendment introduced Section 43A, which imposed a duty on corporate entities handling sensitive personal data to maintain 'reasonable security practices and procedures', backed by civil liability for negligent data handling.</w:t>
      </w:r>
      <w:r>
        <w:rPr>
          <w:vertAlign w:val="superscript"/>
        </w:rPr>
        <w:footnoteReference w:id="12"/>
      </w:r>
    </w:p>
    <w:p w14:paraId="7DAC351E" w14:textId="77777777" w:rsidR="00FE75D7" w:rsidRDefault="00000000">
      <w:pPr>
        <w:spacing w:after="160" w:line="360" w:lineRule="auto"/>
        <w:jc w:val="both"/>
      </w:pPr>
      <w:r>
        <w:t>The IT (Reasonable Security Practices and Procedures and Sensitive Personal Data or Information) Rules, 2011 (SPDI Rules), issued under Section 43A and Section 87 of the IT Act, provided the first detailed definition of 'sensitive personal data or information' in Indian law. The SPDI Rules introduced requirements for a privacy policy, consent for data collection, and a grievance officer. However, their scope was narrow, their definitions were contested, and their enforcement was weak.</w:t>
      </w:r>
      <w:r>
        <w:rPr>
          <w:vertAlign w:val="superscript"/>
        </w:rPr>
        <w:footnoteReference w:id="13"/>
      </w:r>
    </w:p>
    <w:p w14:paraId="527EAB7F" w14:textId="77777777" w:rsidR="00FE75D7" w:rsidRDefault="00000000">
      <w:pPr>
        <w:spacing w:after="160" w:line="360" w:lineRule="auto"/>
        <w:jc w:val="both"/>
      </w:pPr>
      <w:r>
        <w:t>The fundamental limitations of the IT Act regime from a consumer protection standpoint are threefold. First, the Act was designed for an era of web 1.0 commerce and did not anticipate the data harvesting practices of social media platforms, artificial intelligence systems, or the Internet of Things. Second, the 'body corporate' definition excluded government entities from data protection obligations—a lacuna with serious implications for Aadhaar-linked services and government-mandated data collection. Third, the compensatory framework under Section 43A was civil in nature and practically inaccessible to ordinary consumers due to procedural complexity and jurisdictional limitations.</w:t>
      </w:r>
    </w:p>
    <w:p w14:paraId="6085FAAE" w14:textId="77777777" w:rsidR="00FE75D7" w:rsidRDefault="00000000">
      <w:pPr>
        <w:pStyle w:val="Heading2"/>
      </w:pPr>
      <w:r>
        <w:t>B. The Srikrishna Committee and the Drafting Process</w:t>
      </w:r>
    </w:p>
    <w:p w14:paraId="0EEED35C" w14:textId="77777777" w:rsidR="00FE75D7" w:rsidRDefault="00000000">
      <w:pPr>
        <w:spacing w:after="160" w:line="360" w:lineRule="auto"/>
        <w:jc w:val="both"/>
      </w:pPr>
      <w:r>
        <w:t xml:space="preserve">The Ministry of Electronics and Information Technology constituted the Committee of Experts under the chairmanship of retired Justice B.N. Srikrishna in 2017, tasked with recommending a comprehensive data protection framework for India. The Committee's White Paper (2017) and final Report (2018) canvassed a wide range of perspectives and proposed a draft Personal Data Protection Bill grounded in the principles of purpose limitation, data minimisation, storage limitation, and the </w:t>
      </w:r>
      <w:proofErr w:type="spellStart"/>
      <w:r>
        <w:t>Puttaswamy</w:t>
      </w:r>
      <w:proofErr w:type="spellEnd"/>
      <w:r>
        <w:t>-mandated right to informational self-determination.</w:t>
      </w:r>
      <w:r>
        <w:rPr>
          <w:vertAlign w:val="superscript"/>
        </w:rPr>
        <w:footnoteReference w:id="14"/>
      </w:r>
    </w:p>
    <w:p w14:paraId="7B2F2458" w14:textId="77777777" w:rsidR="00FE75D7" w:rsidRDefault="00000000">
      <w:pPr>
        <w:spacing w:after="160" w:line="360" w:lineRule="auto"/>
        <w:jc w:val="both"/>
      </w:pPr>
      <w:r>
        <w:lastRenderedPageBreak/>
        <w:t>The Bill that followed the Srikrishna Report went through multiple revisions—a 2019 version was introduced in Parliament and referred to a Joint Parliamentary Committee, which submitted its report in 2021 with nearly 100 amendments. The 2019 Bill was ultimately withdrawn in August 2022. The DPDPA, 2023, passed within a year of the withdrawal, was a substantially simplified and structurally different instrument—leaner in its obligations, broader in its exemptions, and more heavily reliant on subsidiary rules.</w:t>
      </w:r>
    </w:p>
    <w:p w14:paraId="5A923F73" w14:textId="77777777" w:rsidR="00FE75D7" w:rsidRDefault="00000000">
      <w:pPr>
        <w:pStyle w:val="Heading2"/>
      </w:pPr>
      <w:r>
        <w:t>C. The Digital Personal Data Protection Act, 2023</w:t>
      </w:r>
    </w:p>
    <w:p w14:paraId="379905CE" w14:textId="77777777" w:rsidR="00FE75D7" w:rsidRDefault="00000000">
      <w:pPr>
        <w:spacing w:after="160" w:line="360" w:lineRule="auto"/>
        <w:jc w:val="both"/>
      </w:pPr>
      <w:r>
        <w:t>The Digital Personal Data Protection Act, 2023, received Presidential assent on 11 August 2023. The Act establishes a rights-and-duties framework governing the processing of digital personal data within India, as well as extraterritorial processing connected to the offering of goods or services in India. Its fundamental architecture rests on four pillars: (</w:t>
      </w:r>
      <w:proofErr w:type="spellStart"/>
      <w:r>
        <w:t>i</w:t>
      </w:r>
      <w:proofErr w:type="spellEnd"/>
      <w:r>
        <w:t>) lawful processing of data only for specified and legitimate purposes; (ii) verifiable consent of data principals; (iii) defined rights of data principals; and (iv) obligations of data fiduciaries and data processors.</w:t>
      </w:r>
      <w:r>
        <w:rPr>
          <w:vertAlign w:val="superscript"/>
        </w:rPr>
        <w:footnoteReference w:id="15"/>
      </w:r>
    </w:p>
    <w:p w14:paraId="04808050" w14:textId="77777777" w:rsidR="00FE75D7" w:rsidRDefault="00000000">
      <w:pPr>
        <w:spacing w:after="160" w:line="360" w:lineRule="auto"/>
        <w:jc w:val="both"/>
      </w:pPr>
      <w:r>
        <w:t>The Act grants data principals the right to access information about their data, to correct and erase data, to nominate a representative in case of death or incapacity, and to grievance redressal. Consent must be free, specific, informed, unconditional, and unambiguous, given through a clear affirmative action. The concept of 'Consent Manager'—an intermediary that helps individuals manage consent across multiple data fiduciaries—is an innovative institutional mechanism introduced by the Act.</w:t>
      </w:r>
      <w:r>
        <w:rPr>
          <w:vertAlign w:val="superscript"/>
        </w:rPr>
        <w:footnoteReference w:id="16"/>
      </w:r>
    </w:p>
    <w:p w14:paraId="50C733AF" w14:textId="77777777" w:rsidR="00FE75D7" w:rsidRDefault="00000000">
      <w:pPr>
        <w:spacing w:after="160" w:line="360" w:lineRule="auto"/>
        <w:jc w:val="both"/>
      </w:pPr>
      <w:r>
        <w:t>Data fiduciaries are subjected to notice obligations, purpose limitation, data minimisation, storage limitation, and security safeguards. Significant Data Fiduciaries—those designated by the government on the basis of volume and sensitivity of data processed—are subject to additional obligations including data protection impact assessments and the appointment of a Data Protection Officer.</w:t>
      </w:r>
      <w:r>
        <w:rPr>
          <w:vertAlign w:val="superscript"/>
        </w:rPr>
        <w:footnoteReference w:id="17"/>
      </w:r>
    </w:p>
    <w:p w14:paraId="0516AA60" w14:textId="77777777" w:rsidR="00FE75D7" w:rsidRDefault="00000000">
      <w:pPr>
        <w:spacing w:after="160" w:line="360" w:lineRule="auto"/>
        <w:jc w:val="both"/>
      </w:pPr>
      <w:r>
        <w:t xml:space="preserve">The Act establishes a Data Protection Board of India as the adjudicatory body, with powers to investigate breaches, impose penalties up to INR 250 crore per violation (and INR 200 crore for failure </w:t>
      </w:r>
      <w:r>
        <w:lastRenderedPageBreak/>
        <w:t>to implement reasonable security safeguards), and hear complaints from data principals. The Board is constituted by the Central Government, raising concerns about its independence.</w:t>
      </w:r>
      <w:r>
        <w:rPr>
          <w:vertAlign w:val="superscript"/>
        </w:rPr>
        <w:footnoteReference w:id="18"/>
      </w:r>
    </w:p>
    <w:p w14:paraId="5192EAA2" w14:textId="77777777" w:rsidR="00FE75D7" w:rsidRDefault="00000000">
      <w:pPr>
        <w:pStyle w:val="Heading1"/>
      </w:pPr>
      <w:r>
        <w:rPr>
          <w:smallCaps/>
        </w:rPr>
        <w:t>V.  CONSUMER PERSPECTIVES: AWARENESS, CONSENT, AND REDRESSAL</w:t>
      </w:r>
    </w:p>
    <w:p w14:paraId="0C4026D1" w14:textId="77777777" w:rsidR="00FE75D7" w:rsidRDefault="00000000">
      <w:pPr>
        <w:pStyle w:val="Heading2"/>
      </w:pPr>
      <w:r>
        <w:t>A. The Informed Consent Deficit</w:t>
      </w:r>
    </w:p>
    <w:p w14:paraId="141DCADD" w14:textId="77777777" w:rsidR="00FE75D7" w:rsidRDefault="00000000">
      <w:pPr>
        <w:spacing w:after="160" w:line="360" w:lineRule="auto"/>
        <w:jc w:val="both"/>
      </w:pPr>
      <w:r>
        <w:t>The legal architecture of data privacy rests upon the consent of the data subject. Yet empirical evidence consistently reveals a profound gap between the formal existence of consent mechanisms and their practical meaningfulness for Indian consumers. A 2022 report by NASSCOM and the Data Security Council of India found that fewer than 20% of surveyed users had read the privacy policies of apps they regularly used, and of those who had, a significant proportion reported being unable to fully comprehend the legal language employed.</w:t>
      </w:r>
      <w:r>
        <w:rPr>
          <w:vertAlign w:val="superscript"/>
        </w:rPr>
        <w:footnoteReference w:id="19"/>
      </w:r>
    </w:p>
    <w:p w14:paraId="55FC36D5" w14:textId="77777777" w:rsidR="00FE75D7" w:rsidRDefault="00000000">
      <w:pPr>
        <w:spacing w:after="160" w:line="360" w:lineRule="auto"/>
        <w:jc w:val="both"/>
      </w:pPr>
      <w:r>
        <w:t>The phenomenon of 'consent fatigue'—whereby users routinely click 'accept' on cookie banners and privacy notices without reading them—is well-documented globally, but is accentuated in India by lower average literacy levels, the dominance of mobile-first internet access (which compresses the screen real estate available for meaningful disclosure), and the predominantly English-language format of most privacy policies in a country with over 22 scheduled languages.</w:t>
      </w:r>
    </w:p>
    <w:p w14:paraId="47D06C36" w14:textId="77777777" w:rsidR="00FE75D7" w:rsidRDefault="00000000">
      <w:pPr>
        <w:spacing w:after="160" w:line="360" w:lineRule="auto"/>
        <w:jc w:val="both"/>
      </w:pPr>
      <w:r>
        <w:t>The DPDPA, 2023 addresses this by requiring privacy notices to be made available in English and in all scheduled languages specified in the Eighth Schedule of the Constitution, a provision that, if operationalised effectively, would represent a significant advance in consumer access. However, translation alone does not resolve comprehension barriers; what is required is a move toward standardised, iconographic, and layered privacy notices of the kind recommended by the European Data Protection Board.</w:t>
      </w:r>
      <w:r>
        <w:rPr>
          <w:vertAlign w:val="superscript"/>
        </w:rPr>
        <w:footnoteReference w:id="20"/>
      </w:r>
    </w:p>
    <w:p w14:paraId="21D41D80" w14:textId="77777777" w:rsidR="00FE75D7" w:rsidRDefault="00000000">
      <w:pPr>
        <w:pStyle w:val="Heading2"/>
      </w:pPr>
      <w:r>
        <w:t>B. Dark Patterns and Manipulative Design</w:t>
      </w:r>
    </w:p>
    <w:p w14:paraId="617C6EB8" w14:textId="77777777" w:rsidR="00FE75D7" w:rsidRDefault="00000000">
      <w:pPr>
        <w:spacing w:after="160" w:line="360" w:lineRule="auto"/>
        <w:jc w:val="both"/>
      </w:pPr>
      <w:r>
        <w:t xml:space="preserve">A pervasive but </w:t>
      </w:r>
      <w:proofErr w:type="spellStart"/>
      <w:r>
        <w:t>underanalysed</w:t>
      </w:r>
      <w:proofErr w:type="spellEnd"/>
      <w:r>
        <w:t xml:space="preserve"> dimension of consumer vulnerability in the digital space is the deployment of dark patterns—user interface design techniques that manipulate users into providing </w:t>
      </w:r>
      <w:r>
        <w:lastRenderedPageBreak/>
        <w:t xml:space="preserve">more data than they intended, or into consenting to uses they would not have endorsed had they been clearly informed. Dark patterns include roach motels (where signing up is easy but withdrawing consent is difficult), </w:t>
      </w:r>
      <w:proofErr w:type="spellStart"/>
      <w:r>
        <w:t>confirmshaming</w:t>
      </w:r>
      <w:proofErr w:type="spellEnd"/>
      <w:r>
        <w:t xml:space="preserve"> (language designed to shame users into accepting data collection), and disguised ads.</w:t>
      </w:r>
    </w:p>
    <w:p w14:paraId="7DB08406" w14:textId="77777777" w:rsidR="00FE75D7" w:rsidRDefault="00000000">
      <w:pPr>
        <w:spacing w:after="160" w:line="360" w:lineRule="auto"/>
        <w:jc w:val="both"/>
      </w:pPr>
      <w:r>
        <w:t>The Consumer Protection Act, 2019, and the e-commerce rules issued thereunder, provide a partial remedy by prohibiting unfair trade practices and misleading advertisements in digital commerce. However, dark patterns in privacy and consent contexts occupy a regulatory grey area—they may not constitute 'misleading advertisements' in the traditional sense but fundamentally undermine the voluntariness and informed character of consent that the DPDPA demands.</w:t>
      </w:r>
      <w:r>
        <w:rPr>
          <w:vertAlign w:val="superscript"/>
        </w:rPr>
        <w:footnoteReference w:id="21"/>
      </w:r>
    </w:p>
    <w:p w14:paraId="77C5CBB1" w14:textId="77777777" w:rsidR="00FE75D7" w:rsidRDefault="00000000">
      <w:pPr>
        <w:spacing w:after="160" w:line="360" w:lineRule="auto"/>
        <w:jc w:val="both"/>
      </w:pPr>
      <w:r>
        <w:t>The Advertising Standards Council of India (ASCI) issued guidelines on dark patterns in 2023, and the Department of Consumer Affairs published a framework for identifying and prohibiting dark patterns in e-commerce the same year. These developments, while welcome, remain administratively under-resourced and not yet integrated into the data protection enforcement framework of the DPDPA.</w:t>
      </w:r>
    </w:p>
    <w:p w14:paraId="7A244CB1" w14:textId="77777777" w:rsidR="00FE75D7" w:rsidRDefault="00000000">
      <w:pPr>
        <w:pStyle w:val="Heading2"/>
      </w:pPr>
      <w:r>
        <w:t>C. Consumer Redressal Mechanisms</w:t>
      </w:r>
    </w:p>
    <w:p w14:paraId="5D9F2B31" w14:textId="77777777" w:rsidR="00FE75D7" w:rsidRDefault="00000000">
      <w:pPr>
        <w:spacing w:after="160" w:line="360" w:lineRule="auto"/>
        <w:jc w:val="both"/>
      </w:pPr>
      <w:r>
        <w:t>The effectiveness of consumer protection in data privacy ultimately depends on accessible and effective redressal mechanisms. Under the DPDPA, 2023, the Data Protection Board is empowered to hear complaints from data principals and to impose substantial financial penalties. However, several design features of the Board raise concerns about its effectiveness as a consumer redressal forum.</w:t>
      </w:r>
      <w:r>
        <w:rPr>
          <w:vertAlign w:val="superscript"/>
        </w:rPr>
        <w:footnoteReference w:id="22"/>
      </w:r>
    </w:p>
    <w:p w14:paraId="3E48F19C" w14:textId="77777777" w:rsidR="00FE75D7" w:rsidRDefault="00000000">
      <w:pPr>
        <w:spacing w:after="160" w:line="360" w:lineRule="auto"/>
        <w:jc w:val="both"/>
      </w:pPr>
      <w:r>
        <w:t xml:space="preserve">First, the Board's constitution by the Central Government, rather than through an independent statutory process, may compromise its structural independence, particularly in disputes involving government data fiduciaries or entities of national strategic importance. Second, the Act's appeal mechanism routes </w:t>
      </w:r>
      <w:proofErr w:type="gramStart"/>
      <w:r>
        <w:t>appeals</w:t>
      </w:r>
      <w:proofErr w:type="gramEnd"/>
      <w:r>
        <w:t xml:space="preserve"> to the High Court, bypassing the Appellate Tribunal model of other regulatory statutes, potentially making appeals prohibitively expensive for ordinary consumers. Third, the Board is not designed as a class-action or collective redressal forum, meaning that mass data breaches affecting millions of consumers may require individual complaints, creating a systemic disproportion between harm and remedy.</w:t>
      </w:r>
    </w:p>
    <w:p w14:paraId="0F69BC5A" w14:textId="77777777" w:rsidR="00FE75D7" w:rsidRDefault="00000000">
      <w:pPr>
        <w:pStyle w:val="Heading1"/>
      </w:pPr>
      <w:r>
        <w:rPr>
          <w:smallCaps/>
        </w:rPr>
        <w:lastRenderedPageBreak/>
        <w:t>VI.  CYBERSECURITY REGULATIONS AND THEIR CONSUMER IMPLICATIONS</w:t>
      </w:r>
    </w:p>
    <w:p w14:paraId="666B7187" w14:textId="77777777" w:rsidR="00FE75D7" w:rsidRDefault="00000000">
      <w:pPr>
        <w:pStyle w:val="Heading2"/>
      </w:pPr>
      <w:r>
        <w:t>A. The CERT-In Directions, 2022</w:t>
      </w:r>
    </w:p>
    <w:p w14:paraId="42EF4805" w14:textId="77777777" w:rsidR="00FE75D7" w:rsidRDefault="00000000">
      <w:pPr>
        <w:spacing w:after="160" w:line="360" w:lineRule="auto"/>
        <w:jc w:val="both"/>
      </w:pPr>
      <w:r>
        <w:t>The Indian Computer Emergency Response Team (CERT-In), established under Section 70B of the IT Act, is the national nodal agency for cybersecurity incident response. In April 2022, CERT-In issued controversial Directions under Section 70</w:t>
      </w:r>
      <w:proofErr w:type="gramStart"/>
      <w:r>
        <w:t>B(</w:t>
      </w:r>
      <w:proofErr w:type="gramEnd"/>
      <w:r>
        <w:t>6) requiring service providers, intermediaries, data centres, and VPN service providers to: (</w:t>
      </w:r>
      <w:proofErr w:type="spellStart"/>
      <w:r>
        <w:t>i</w:t>
      </w:r>
      <w:proofErr w:type="spellEnd"/>
      <w:r>
        <w:t>) mandatorily report cybersecurity incidents within six hours of becoming aware; (ii) maintain logs of ICT systems for 180 days; and (iii) collect and retain verified customer data for five years.</w:t>
      </w:r>
      <w:r>
        <w:rPr>
          <w:vertAlign w:val="superscript"/>
        </w:rPr>
        <w:footnoteReference w:id="23"/>
      </w:r>
    </w:p>
    <w:p w14:paraId="70AACAF2" w14:textId="77777777" w:rsidR="00FE75D7" w:rsidRDefault="00000000">
      <w:pPr>
        <w:spacing w:after="160" w:line="360" w:lineRule="auto"/>
        <w:jc w:val="both"/>
      </w:pPr>
      <w:r>
        <w:t>From a consumer perspective, the CERT-In Directions present a double-edged regulatory proposition. On one hand, the mandatory incident reporting obligation enhances transparency and may accelerate remediation of breaches affecting consumers. On the other hand, the expanded data retention requirements—particularly the mandate that VPN providers retain identifying subscriber information—potentially compromise the privacy of consumers who use VPNs precisely to protect their communications from surveillance.</w:t>
      </w:r>
    </w:p>
    <w:p w14:paraId="63388BAA" w14:textId="77777777" w:rsidR="00FE75D7" w:rsidRDefault="00000000">
      <w:pPr>
        <w:spacing w:after="160" w:line="360" w:lineRule="auto"/>
        <w:jc w:val="both"/>
      </w:pPr>
      <w:r>
        <w:t>CERT-In reports indicate a dramatic increase in cybersecurity incidents in India, with over 1.3 million incidents recorded in 2022–23, including ransomware attacks on critical infrastructure, phishing campaigns targeting digital payment users, and data breaches affecting healthcare platforms. The frequency and scale of these incidents underscore the importance of robust consumer notification mechanisms—an area where Indian law remains significantly underdeveloped compared to EU and US standards.</w:t>
      </w:r>
      <w:r>
        <w:rPr>
          <w:vertAlign w:val="superscript"/>
        </w:rPr>
        <w:footnoteReference w:id="24"/>
      </w:r>
    </w:p>
    <w:p w14:paraId="0B52EC60" w14:textId="77777777" w:rsidR="00FE75D7" w:rsidRDefault="00000000">
      <w:pPr>
        <w:pStyle w:val="Heading2"/>
      </w:pPr>
      <w:r>
        <w:t>B. National Cyber Security Policy, 2013 and Its Successors</w:t>
      </w:r>
    </w:p>
    <w:p w14:paraId="0742DCC5" w14:textId="77777777" w:rsidR="00FE75D7" w:rsidRDefault="00000000">
      <w:pPr>
        <w:spacing w:after="160" w:line="360" w:lineRule="auto"/>
        <w:jc w:val="both"/>
      </w:pPr>
      <w:r>
        <w:t xml:space="preserve">India's National Cyber Security Policy, 2013 set out a vision for creating a secure and resilient cyberspace but lacked binding operational mandates. The Policy's consumer-oriented provisions were aspirational—calling for a 'cyber secure environment' and basic consumer education—without </w:t>
      </w:r>
      <w:r>
        <w:lastRenderedPageBreak/>
        <w:t>creating enforceable rights or institutionalised mechanisms. A revised National Cybersecurity Strategy has been in preparation since 2020 and, as of the time of writing, has not been formally published.</w:t>
      </w:r>
      <w:r>
        <w:rPr>
          <w:vertAlign w:val="superscript"/>
        </w:rPr>
        <w:footnoteReference w:id="25"/>
      </w:r>
    </w:p>
    <w:p w14:paraId="2B1C2664" w14:textId="77777777" w:rsidR="00FE75D7" w:rsidRDefault="00000000">
      <w:pPr>
        <w:spacing w:after="160" w:line="360" w:lineRule="auto"/>
        <w:jc w:val="both"/>
      </w:pPr>
      <w:r>
        <w:t>The absence of a current, comprehensive National Cybersecurity Strategy has created a governance vacuum that has been partially filled by sector-specific regulators. The Reserve Bank of India has emerged as one of the most proactive regulators in this space, issuing the Digital Payment Security Controls Directions in 2021 and mandating a framework for cybersecurity in regulated entities. The RBI's storage of payment system data circular (2018) mandated domestic storage of payment data, a form of data localisation with explicit consumer protection rationale.</w:t>
      </w:r>
      <w:r>
        <w:rPr>
          <w:vertAlign w:val="superscript"/>
        </w:rPr>
        <w:footnoteReference w:id="26"/>
      </w:r>
    </w:p>
    <w:p w14:paraId="71F9A656" w14:textId="77777777" w:rsidR="00FE75D7" w:rsidRDefault="00000000">
      <w:pPr>
        <w:pStyle w:val="Heading1"/>
      </w:pPr>
      <w:r>
        <w:rPr>
          <w:smallCaps/>
        </w:rPr>
        <w:t>VII.  SECTORAL REGULATIONS AND OVERLAPPING JURISDICTIONS</w:t>
      </w:r>
    </w:p>
    <w:p w14:paraId="116F338C" w14:textId="77777777" w:rsidR="00FE75D7" w:rsidRDefault="00000000">
      <w:pPr>
        <w:pStyle w:val="Heading2"/>
      </w:pPr>
      <w:r>
        <w:t>A. The Fragmentation Problem</w:t>
      </w:r>
    </w:p>
    <w:p w14:paraId="72193089" w14:textId="77777777" w:rsidR="00FE75D7" w:rsidRDefault="00000000">
      <w:pPr>
        <w:spacing w:after="160" w:line="360" w:lineRule="auto"/>
        <w:jc w:val="both"/>
      </w:pPr>
      <w:r>
        <w:t>One of the central structural challenges of India's data privacy and cybersecurity governance is the fragmentation of regulatory authority across multiple sector-specific regulators, each with distinct mandates, enforcement cultures, and technological capacities. The consumer of digital services does not operate in sector-specific silos; a single smartphone user may simultaneously be a customer of a bank (RBI-regulated), a telecom provider (TRAI-regulated), a health app (MOHFW-regulated), and an e-commerce platform (DPIIT and Consumer Affairs-regulated). Yet the regulatory protections available to this consumer vary enormously across these interactions.</w:t>
      </w:r>
    </w:p>
    <w:p w14:paraId="4B67FE31" w14:textId="77777777" w:rsidR="00FE75D7" w:rsidRDefault="00000000">
      <w:pPr>
        <w:spacing w:after="160" w:line="360" w:lineRule="auto"/>
        <w:jc w:val="both"/>
      </w:pPr>
      <w:r>
        <w:t>The Telecom Regulatory Authority of India (TRAI) issued Recommendations on Privacy, Security, and Ownership of Data in the Telecom Sector in 2018, proposing a comprehensive framework for telecom data privacy. However, these recommendations were never translated into binding regulations, leaving telecom subscribers—who generate vast quantities of personal data through call records, location data, and browsing histories—without specific statutory data privacy protection outside the general provisions of the IT Act.</w:t>
      </w:r>
      <w:r>
        <w:rPr>
          <w:vertAlign w:val="superscript"/>
        </w:rPr>
        <w:footnoteReference w:id="27"/>
      </w:r>
    </w:p>
    <w:p w14:paraId="6F8F728B" w14:textId="77777777" w:rsidR="00FE75D7" w:rsidRDefault="00000000">
      <w:pPr>
        <w:spacing w:after="160" w:line="360" w:lineRule="auto"/>
        <w:jc w:val="both"/>
      </w:pPr>
      <w:r>
        <w:t xml:space="preserve">The Consumer Protection Act, 2019, and the Consumer Protection (E-Commerce) Rules, 2020, provide additional consumer-facing protections in digital commerce, including requirements for </w:t>
      </w:r>
      <w:r>
        <w:lastRenderedPageBreak/>
        <w:t>disclosure of seller information, grievance redressal officers, and prohibitions on misleading reviews. The 2020 Rules were amended in 2021 to address flash sales and anti-competitive practices of e-commerce platforms. However, these rules address commercial unfairness rather than data privacy as such, creating a regulatory gap in the space where commercial exploitation and privacy violation converge—as in targeted advertising based on undisclosed data profiling.</w:t>
      </w:r>
      <w:r>
        <w:rPr>
          <w:vertAlign w:val="superscript"/>
        </w:rPr>
        <w:footnoteReference w:id="28"/>
      </w:r>
    </w:p>
    <w:p w14:paraId="6D2A290B" w14:textId="77777777" w:rsidR="00FE75D7" w:rsidRDefault="00000000">
      <w:pPr>
        <w:pStyle w:val="Heading2"/>
      </w:pPr>
      <w:r>
        <w:t>B. Financial Sector and Digital Payments</w:t>
      </w:r>
    </w:p>
    <w:p w14:paraId="0575703A" w14:textId="77777777" w:rsidR="00FE75D7" w:rsidRDefault="00000000">
      <w:pPr>
        <w:spacing w:after="160" w:line="360" w:lineRule="auto"/>
        <w:jc w:val="both"/>
      </w:pPr>
      <w:r>
        <w:t>India's digital payments ecosystem—built around the Unified Payments Interface (UPI), the Aadhaar-enabled Payment System, and the Bharat Bill Payment System—processes billions of transactions monthly and constitutes one of the largest flows of financial personal data in the world. The RBI has emerged as a de facto data privacy regulator in this domain, issuing guidelines on customer data privacy, fraud liability, and security standards for payment system operators and banks.</w:t>
      </w:r>
      <w:r>
        <w:rPr>
          <w:vertAlign w:val="superscript"/>
        </w:rPr>
        <w:footnoteReference w:id="29"/>
      </w:r>
    </w:p>
    <w:p w14:paraId="055F23D6" w14:textId="77777777" w:rsidR="00FE75D7" w:rsidRDefault="00000000">
      <w:pPr>
        <w:spacing w:after="160" w:line="360" w:lineRule="auto"/>
        <w:jc w:val="both"/>
      </w:pPr>
      <w:r>
        <w:t>The challenge of sectoral coordination becomes acute in the fintech space, where entities may fall under the jurisdiction of the RBI, SEBI, IRDAI, or PFRDA depending on their product mix, while simultaneously being subject to the general provisions of the DPDPA and the IT Act. The DPDPA, 2023 does not establish a formal mechanism for coordination between the Data Protection Board and sector-specific regulators, creating the potential for conflicting obligations and regulatory arbitrage.</w:t>
      </w:r>
    </w:p>
    <w:p w14:paraId="2DEE7626" w14:textId="77777777" w:rsidR="00FE75D7" w:rsidRDefault="00000000">
      <w:pPr>
        <w:pStyle w:val="Heading2"/>
      </w:pPr>
      <w:r>
        <w:t>C. Health Data and the Digital Health Mission</w:t>
      </w:r>
    </w:p>
    <w:p w14:paraId="30376C7E" w14:textId="77777777" w:rsidR="00FE75D7" w:rsidRDefault="00000000">
      <w:pPr>
        <w:spacing w:after="160" w:line="360" w:lineRule="auto"/>
        <w:jc w:val="both"/>
      </w:pPr>
      <w:r>
        <w:t>The Ayushman Bharat Digital Mission (ABDM) and the National Digital Health Blueprint propose a comprehensive digital health ecosystem in which individual health records are stored and shared electronically. Health data is among the most sensitive categories of personal information, and its misuse can have severe consequences for consumers ranging from insurance discrimination to social stigma. The DPDPA, 2023, does not enumerate health data as a special category warranting heightened protection, a departure from the GDPR model and from the Srikrishna Committee's recommendation.</w:t>
      </w:r>
    </w:p>
    <w:p w14:paraId="5949EBB3" w14:textId="77777777" w:rsidR="00FE75D7" w:rsidRDefault="00000000">
      <w:pPr>
        <w:spacing w:after="160" w:line="360" w:lineRule="auto"/>
        <w:jc w:val="both"/>
      </w:pPr>
      <w:r>
        <w:t xml:space="preserve">The Health Data Management Policy of 2020, which governs data processing under the ABDM, is an administrative document rather than a statutory instrument. Its enforceability and relationship with the </w:t>
      </w:r>
      <w:r>
        <w:lastRenderedPageBreak/>
        <w:t>DPDPA remain unclear, illustrating the broader challenge of integrating sectoral data governance frameworks with the overarching data protection statute.</w:t>
      </w:r>
      <w:r>
        <w:rPr>
          <w:vertAlign w:val="superscript"/>
        </w:rPr>
        <w:footnoteReference w:id="30"/>
      </w:r>
    </w:p>
    <w:p w14:paraId="03E40846" w14:textId="77777777" w:rsidR="00FE75D7" w:rsidRDefault="00000000">
      <w:pPr>
        <w:pStyle w:val="Heading1"/>
      </w:pPr>
      <w:r>
        <w:rPr>
          <w:smallCaps/>
        </w:rPr>
        <w:t>VIII.  COMPARATIVE ANALYSIS: INDIA IN GLOBAL CONTEXT</w:t>
      </w:r>
    </w:p>
    <w:p w14:paraId="5E1E1B87" w14:textId="77777777" w:rsidR="00FE75D7" w:rsidRDefault="00000000">
      <w:pPr>
        <w:pStyle w:val="Heading2"/>
      </w:pPr>
      <w:r>
        <w:t>A. The EU GDPR Model</w:t>
      </w:r>
    </w:p>
    <w:p w14:paraId="4412E96D" w14:textId="77777777" w:rsidR="00FE75D7" w:rsidRDefault="00000000">
      <w:pPr>
        <w:spacing w:after="160" w:line="360" w:lineRule="auto"/>
        <w:jc w:val="both"/>
      </w:pPr>
      <w:r>
        <w:t>The European Union's General Data Protection Regulation (GDPR), which came into force in May 2018, is the dominant paradigm in global data privacy governance. Its influence on the DPDPA is acknowledged by commentators and, to some extent, by the Act's drafters. The GDPR's core architecture—lawful bases for processing, data subject rights, the accountability principle, data protection by design and by default, and an independent supervisory authority—provided the conceptual template from which the Srikrishna Committee and subsequent drafters worked.</w:t>
      </w:r>
      <w:r>
        <w:rPr>
          <w:vertAlign w:val="superscript"/>
        </w:rPr>
        <w:footnoteReference w:id="31"/>
      </w:r>
    </w:p>
    <w:p w14:paraId="2491DD35" w14:textId="77777777" w:rsidR="00FE75D7" w:rsidRDefault="00000000">
      <w:pPr>
        <w:spacing w:after="160" w:line="360" w:lineRule="auto"/>
        <w:jc w:val="both"/>
      </w:pPr>
      <w:r>
        <w:t>The divergences between the GDPR and the DPDPA are as instructive as their similarities. The GDPR recognises six lawful bases for data processing (including legitimate interests), while the DPDPA relies primarily on consent and 'legitimate uses', a more restricted and less clearly defined framework. The GDPR mandates data protection impact assessments for high-risk processing, provides a right to object to automated decision-making, and requires data breach notification to supervisory authorities within 72 hours. The DPDPA's provisions on these points are either absent or deferred to subsidiary rules.</w:t>
      </w:r>
    </w:p>
    <w:p w14:paraId="0ADFEF3B" w14:textId="77777777" w:rsidR="00FE75D7" w:rsidRDefault="00000000">
      <w:pPr>
        <w:spacing w:after="160" w:line="360" w:lineRule="auto"/>
        <w:jc w:val="both"/>
      </w:pPr>
      <w:r>
        <w:t>Most significantly, the GDPR establishes national data protection authorities that are constitutionally and functionally independent of government, with guaranteed resources and tenured leadership. The DPDPA's Data Protection Board, constituted by the Central Government with members holding three-year renewable terms, falls considerably short of this standard of independence—a gap that is particularly concerning given the State's dual role as regulator and the largest data fiduciary in India through Aadhaar and other national databases.</w:t>
      </w:r>
      <w:r>
        <w:rPr>
          <w:vertAlign w:val="superscript"/>
        </w:rPr>
        <w:footnoteReference w:id="32"/>
      </w:r>
    </w:p>
    <w:p w14:paraId="4BE96E05" w14:textId="77777777" w:rsidR="00FE75D7" w:rsidRDefault="00000000">
      <w:pPr>
        <w:pStyle w:val="Heading2"/>
      </w:pPr>
      <w:r>
        <w:t>B. California Consumer Privacy Act</w:t>
      </w:r>
    </w:p>
    <w:p w14:paraId="552E8983" w14:textId="77777777" w:rsidR="00FE75D7" w:rsidRDefault="00000000">
      <w:pPr>
        <w:spacing w:after="160" w:line="360" w:lineRule="auto"/>
        <w:jc w:val="both"/>
      </w:pPr>
      <w:r>
        <w:lastRenderedPageBreak/>
        <w:t>The California Consumer Privacy Act (CCPA) and its successor, the California Privacy Rights Act (CPRA), offer an alternative model grounded in opt-out rights and sector-specific enforcement by a specialised agency. The CCPA's consumer-centric design—giving individuals the right to know, delete, and opt out of the sale of personal information, backed by a private right of action for data breaches—has influenced discussions in India about strengthening the redressal architecture of the DPDPA.</w:t>
      </w:r>
    </w:p>
    <w:p w14:paraId="755E3C4E" w14:textId="77777777" w:rsidR="00FE75D7" w:rsidRDefault="00000000">
      <w:pPr>
        <w:pStyle w:val="Heading2"/>
      </w:pPr>
      <w:r>
        <w:t>C. Lessons from Singapore and Brazil</w:t>
      </w:r>
    </w:p>
    <w:p w14:paraId="3B3C74BF" w14:textId="77777777" w:rsidR="00FE75D7" w:rsidRDefault="00000000">
      <w:pPr>
        <w:spacing w:after="160" w:line="360" w:lineRule="auto"/>
        <w:jc w:val="both"/>
      </w:pPr>
      <w:r>
        <w:t xml:space="preserve">Singapore's Personal Data Protection Act (PDPA), 2012, and its subsequent amendments, offer a model for balancing innovation with consumer protection in an Asian context. The PDPA's Do Not Call Registry, its provisions on deemed consent through contractual necessity, and its sector-specific guidance notes from the Personal Data Protection Commission (PDPC) have been cited in Indian policy discussions as examples of adaptive, guidance-led regulation. Brazil's Lei Geral de </w:t>
      </w:r>
      <w:proofErr w:type="spellStart"/>
      <w:r>
        <w:t>Proteção</w:t>
      </w:r>
      <w:proofErr w:type="spellEnd"/>
      <w:r>
        <w:t xml:space="preserve"> de Dados (LGPD), 2018, is particularly relevant given structural similarities with India—a large, diverse consumer population, a mixed formal-informal economy, and a history of sectoral regulatory fragmentation.</w:t>
      </w:r>
      <w:r>
        <w:rPr>
          <w:vertAlign w:val="superscript"/>
        </w:rPr>
        <w:footnoteReference w:id="33"/>
      </w:r>
    </w:p>
    <w:p w14:paraId="19579955" w14:textId="77777777" w:rsidR="00FE75D7" w:rsidRDefault="00000000">
      <w:pPr>
        <w:spacing w:after="160" w:line="360" w:lineRule="auto"/>
        <w:jc w:val="both"/>
      </w:pPr>
      <w:r>
        <w:t>The comparative survey suggests that the effectiveness of data privacy law depends not only on the strength of its statutory provisions but on the institutional ecosystem within which it operates: an independent regulator, a culture of compliance among data fiduciaries, an informed consumer base, and a litigation infrastructure accessible to ordinary citizens. India's current framework is strongest on statutory provisions and weakest on the institutional ecosystem dimensions.</w:t>
      </w:r>
    </w:p>
    <w:p w14:paraId="50A21277" w14:textId="77777777" w:rsidR="00FE75D7" w:rsidRDefault="00000000">
      <w:pPr>
        <w:pStyle w:val="Heading1"/>
      </w:pPr>
      <w:r>
        <w:rPr>
          <w:smallCaps/>
        </w:rPr>
        <w:t>IX.  CRITICAL GAPS AND RECOMMENDATIONS</w:t>
      </w:r>
    </w:p>
    <w:p w14:paraId="74AB4F18" w14:textId="77777777" w:rsidR="00FE75D7" w:rsidRDefault="00000000">
      <w:pPr>
        <w:pStyle w:val="Heading2"/>
      </w:pPr>
      <w:r>
        <w:t>A. The Delegated Legislation Challenge</w:t>
      </w:r>
    </w:p>
    <w:p w14:paraId="6B065330" w14:textId="77777777" w:rsidR="00FE75D7" w:rsidRDefault="00000000">
      <w:pPr>
        <w:spacing w:after="160" w:line="360" w:lineRule="auto"/>
        <w:jc w:val="both"/>
      </w:pPr>
      <w:r>
        <w:t xml:space="preserve">Perhaps the most significant structural challenge of the DPDPA, 2023, is its extensive reliance on delegated legislation. The Act contains over twenty-five references to rules, regulations, and notifications to be issued by the Central Government or the Data Protection Board. These subsidiary instruments will determine the operational reality of consumer rights—the form of privacy notices, the technical standards for consent managers, the categories of Significant Data Fiduciaries, and the </w:t>
      </w:r>
      <w:r>
        <w:lastRenderedPageBreak/>
        <w:t>procedures of the Board. Until these rules are notified, the consumer-protective potential of the Act remains largely unrealised.</w:t>
      </w:r>
      <w:r>
        <w:rPr>
          <w:vertAlign w:val="superscript"/>
        </w:rPr>
        <w:footnoteReference w:id="34"/>
      </w:r>
    </w:p>
    <w:p w14:paraId="6CB241DC" w14:textId="77777777" w:rsidR="00FE75D7" w:rsidRDefault="00000000">
      <w:pPr>
        <w:spacing w:after="160" w:line="360" w:lineRule="auto"/>
        <w:jc w:val="both"/>
      </w:pPr>
      <w:r>
        <w:t>The Vidhi Centre for Legal Policy has noted that the shift from the 2019 Bill's detailed statutory provisions to the 2023 Act's framework-plus-rules structure represents a significant transfer of regulatory authority from the legislature to the executive. This has implications both for parliamentary accountability and for the certainty and stability of the regulatory environment for businesses and consumers alike.</w:t>
      </w:r>
    </w:p>
    <w:p w14:paraId="0D9584A5" w14:textId="77777777" w:rsidR="00FE75D7" w:rsidRDefault="00000000">
      <w:pPr>
        <w:pStyle w:val="Heading2"/>
      </w:pPr>
      <w:r>
        <w:t>B. Exemptions and State Surveillance</w:t>
      </w:r>
    </w:p>
    <w:p w14:paraId="3C0E5AD3" w14:textId="77777777" w:rsidR="00FE75D7" w:rsidRDefault="00000000">
      <w:pPr>
        <w:spacing w:after="160" w:line="360" w:lineRule="auto"/>
        <w:jc w:val="both"/>
      </w:pPr>
      <w:r>
        <w:t xml:space="preserve">Section 17 of the DPDPA exempts processing of data by the State for purposes of national security, sovereignty, public order, and prevention of offences, subject only to procedural safeguards to be prescribed by rules. This broad exemption—considerably wider than the exemptions permitted under the GDPR or the Canadian PIPEDA—has been criticised as potentially enabling the very kind of pervasive State surveillance that </w:t>
      </w:r>
      <w:proofErr w:type="spellStart"/>
      <w:r>
        <w:t>Puttaswamy's</w:t>
      </w:r>
      <w:proofErr w:type="spellEnd"/>
      <w:r>
        <w:t xml:space="preserve"> proportionality standard was designed to constrain.</w:t>
      </w:r>
      <w:r>
        <w:rPr>
          <w:vertAlign w:val="superscript"/>
        </w:rPr>
        <w:footnoteReference w:id="35"/>
      </w:r>
    </w:p>
    <w:p w14:paraId="0DBF22ED" w14:textId="77777777" w:rsidR="00FE75D7" w:rsidRDefault="00000000">
      <w:pPr>
        <w:spacing w:after="160" w:line="360" w:lineRule="auto"/>
        <w:jc w:val="both"/>
      </w:pPr>
      <w:r>
        <w:t>Coupled with the absence of an independent regulator with jurisdiction over government data processing, and the lack of statutory incorporation of the surveillance reform recommendations that have followed Puttaswamy, this exemption creates a significant gap in consumer protection vis-à-vis the State—particularly relevant given India's expanding biometric surveillance infrastructure.</w:t>
      </w:r>
    </w:p>
    <w:p w14:paraId="78ABA281" w14:textId="77777777" w:rsidR="00FE75D7" w:rsidRDefault="00000000">
      <w:pPr>
        <w:pStyle w:val="Heading2"/>
      </w:pPr>
      <w:r>
        <w:t>C. Children's Data and Digital Education</w:t>
      </w:r>
    </w:p>
    <w:p w14:paraId="6B8628D8" w14:textId="77777777" w:rsidR="00FE75D7" w:rsidRDefault="00000000">
      <w:pPr>
        <w:spacing w:after="160" w:line="360" w:lineRule="auto"/>
        <w:jc w:val="both"/>
      </w:pPr>
      <w:r>
        <w:t>Section 9 of the DPDPA provides special protection for children's data, requiring verifiable parental consent for processing of data of minors below eighteen years of age. This provision is particularly important given the rapid expansion of ed-tech platforms, online gaming, and social media use among Indian adolescents following the COVID-19 pandemic. However, the mechanisms for age verification and parental consent in low-digital-literacy households remain technically underdeveloped and practically challenging to implement at scale.</w:t>
      </w:r>
      <w:r>
        <w:rPr>
          <w:vertAlign w:val="superscript"/>
        </w:rPr>
        <w:footnoteReference w:id="36"/>
      </w:r>
    </w:p>
    <w:p w14:paraId="14D9DB96" w14:textId="77777777" w:rsidR="00FE75D7" w:rsidRDefault="00000000">
      <w:pPr>
        <w:pStyle w:val="Heading2"/>
      </w:pPr>
      <w:r>
        <w:t>D. Recommendations</w:t>
      </w:r>
    </w:p>
    <w:p w14:paraId="04C9B960" w14:textId="77777777" w:rsidR="00FE75D7" w:rsidRDefault="00000000">
      <w:pPr>
        <w:spacing w:after="160" w:line="360" w:lineRule="auto"/>
        <w:jc w:val="both"/>
      </w:pPr>
      <w:r>
        <w:lastRenderedPageBreak/>
        <w:t>On the basis of the foregoing analysis, this paper proposes the following reforms to strengthen consumer protection in India's cybersecurity and data privacy framework:</w:t>
      </w:r>
    </w:p>
    <w:p w14:paraId="49D94DF9" w14:textId="77777777" w:rsidR="00FE75D7" w:rsidRDefault="00000000">
      <w:pPr>
        <w:spacing w:after="160" w:line="360" w:lineRule="auto"/>
        <w:jc w:val="both"/>
      </w:pPr>
      <w:r>
        <w:t>First, the Central Government should expedite the notification of subsidiary rules under the DPDPA, 2023, with priority given to rules governing (a) the form and content of privacy notices, (b) the functioning of Consent Managers, (c) the criteria for designation of Significant Data Fiduciaries, and (d) the procedures of the Data Protection Board. The rules should be subject to wide public consultation to ensure that they reflect consumer interests rather than exclusively industry preferences.</w:t>
      </w:r>
    </w:p>
    <w:p w14:paraId="309128D8" w14:textId="77777777" w:rsidR="00FE75D7" w:rsidRDefault="00000000">
      <w:pPr>
        <w:spacing w:after="160" w:line="360" w:lineRule="auto"/>
        <w:jc w:val="both"/>
      </w:pPr>
      <w:r>
        <w:t xml:space="preserve">Second, the Data Protection Board should be reconstituted as a genuinely independent regulatory body, with the Chairperson and Members selected through an independent collegium mechanism (rather than by the Central Government alone), with fixed non-renewable terms, and with budgetary independence from the Ministry. The Board should be empowered to initiate </w:t>
      </w:r>
      <w:proofErr w:type="spellStart"/>
      <w:r>
        <w:t>suo</w:t>
      </w:r>
      <w:proofErr w:type="spellEnd"/>
      <w:r>
        <w:t xml:space="preserve"> motu investigations and to impose penalties in collective proceedings for mass data breaches.</w:t>
      </w:r>
    </w:p>
    <w:p w14:paraId="4BD8A2B6" w14:textId="77777777" w:rsidR="00FE75D7" w:rsidRDefault="00000000">
      <w:pPr>
        <w:spacing w:after="160" w:line="360" w:lineRule="auto"/>
        <w:jc w:val="both"/>
      </w:pPr>
      <w:r>
        <w:t>Third, a statutory framework for inter-regulatory coordination should be established, modelled on the Joint Committee of Regulators concept, to harmonise data protection obligations across the RBI, TRAI, IRDAI, SEBI, and the Data Protection Board. This would reduce regulatory fragmentation and ensure consistent consumer protection standards across digital services.</w:t>
      </w:r>
      <w:r>
        <w:rPr>
          <w:vertAlign w:val="superscript"/>
        </w:rPr>
        <w:footnoteReference w:id="37"/>
      </w:r>
    </w:p>
    <w:p w14:paraId="50E6FB74" w14:textId="77777777" w:rsidR="00FE75D7" w:rsidRDefault="00000000">
      <w:pPr>
        <w:spacing w:after="160" w:line="360" w:lineRule="auto"/>
        <w:jc w:val="both"/>
      </w:pPr>
      <w:r>
        <w:t>Fourth, the government should establish a National Digital Literacy Mission specifically oriented towards data privacy and cybersecurity awareness, with targeted programmes for women, rural populations, senior citizens, and first-generation internet users. This Mission should be adequately funded and independently evaluated, with progress metrics published annually.</w:t>
      </w:r>
    </w:p>
    <w:p w14:paraId="48497B17" w14:textId="77777777" w:rsidR="00FE75D7" w:rsidRDefault="00000000">
      <w:pPr>
        <w:spacing w:after="160" w:line="360" w:lineRule="auto"/>
        <w:jc w:val="both"/>
      </w:pPr>
      <w:r>
        <w:t>Fifth, the DPDPA should be amended to recognise health data, financial data, and biometric data as special categories of sensitive personal data requiring heightened protection—including data protection impact assessments, purpose restrictions, and prohibition on commercial processing without explicit consent. The current approach of treating all personal data uniformly does not reflect the differentiated risk landscape.</w:t>
      </w:r>
    </w:p>
    <w:p w14:paraId="4603F50D" w14:textId="77777777" w:rsidR="00FE75D7" w:rsidRDefault="00000000">
      <w:pPr>
        <w:spacing w:after="160" w:line="360" w:lineRule="auto"/>
        <w:jc w:val="both"/>
      </w:pPr>
      <w:r>
        <w:lastRenderedPageBreak/>
        <w:t>Sixth, a comprehensive Data Breach Notification Regime should be established—aligned with CERT-In's incident reporting obligations—that requires data fiduciaries to notify affected consumers within 72 hours of becoming aware of a breach likely to result in significant harm. The notification must be in plain language, in the consumer's preferred language, and include actionable steps for self-protection.</w:t>
      </w:r>
    </w:p>
    <w:p w14:paraId="20DCC971" w14:textId="77777777" w:rsidR="00FE75D7" w:rsidRDefault="00000000">
      <w:pPr>
        <w:pStyle w:val="Heading1"/>
      </w:pPr>
      <w:r>
        <w:rPr>
          <w:smallCaps/>
        </w:rPr>
        <w:t>X.  CONCLUSION</w:t>
      </w:r>
    </w:p>
    <w:p w14:paraId="5128C619" w14:textId="77777777" w:rsidR="00FE75D7" w:rsidRDefault="00000000">
      <w:pPr>
        <w:spacing w:after="160" w:line="360" w:lineRule="auto"/>
        <w:jc w:val="both"/>
      </w:pPr>
      <w:r>
        <w:t xml:space="preserve">India's journey towards robust data privacy and cybersecurity protection for consumers has traversed a long and contested terrain—from the rudimentary safeguards of the IT Act, 2000, through the constitutional watershed of </w:t>
      </w:r>
      <w:proofErr w:type="spellStart"/>
      <w:r>
        <w:t>Puttaswamy</w:t>
      </w:r>
      <w:proofErr w:type="spellEnd"/>
      <w:r>
        <w:t>, to the enactment of the Digital Personal Data Protection Act, 2023. At each stage, the law has been shaped by the tension between three competing imperatives: the protection of consumer rights, the facilitation of digital commerce and economic growth, and the security and surveillance prerogatives of the State.</w:t>
      </w:r>
    </w:p>
    <w:p w14:paraId="244482F4" w14:textId="77777777" w:rsidR="00FE75D7" w:rsidRDefault="00000000">
      <w:pPr>
        <w:spacing w:after="160" w:line="360" w:lineRule="auto"/>
        <w:jc w:val="both"/>
      </w:pPr>
      <w:r>
        <w:t>The DPDPA, 2023 represents the most significant legislative advance in this field in India's history. It codifies rights that Indian consumers have lacked for two decades, establishes accountability mechanisms for data fiduciaries, and creates an adjudicatory body for redressal. These are achievements of genuine importance that should not be underestimated in light of the paper's critical observations.</w:t>
      </w:r>
    </w:p>
    <w:p w14:paraId="73608442" w14:textId="77777777" w:rsidR="00FE75D7" w:rsidRDefault="00000000">
      <w:pPr>
        <w:spacing w:after="160" w:line="360" w:lineRule="auto"/>
        <w:jc w:val="both"/>
      </w:pPr>
      <w:r>
        <w:t>Nevertheless, the Act's limitations—its extensive reliance on delegated legislation, broad State exemptions, the dependent constitution of the Data Protection Board, the absence of special category protections, and the underdeveloped framework for cross-sector coordination—mean that consumer protection in the digital space remains structurally incomplete. The law on paper and the law in practice may diverge significantly unless the subsidiary rules are crafted with rigour, the Board is endowed with the resources and independence necessary for effective enforcement, and sustained attention is given to the demand side of data protection through digital literacy and consumer education.</w:t>
      </w:r>
    </w:p>
    <w:p w14:paraId="58BECBF7" w14:textId="77777777" w:rsidR="00FE75D7" w:rsidRDefault="00000000">
      <w:pPr>
        <w:spacing w:after="160" w:line="360" w:lineRule="auto"/>
        <w:jc w:val="both"/>
      </w:pPr>
      <w:r>
        <w:t xml:space="preserve">The test of India's data privacy framework will ultimately be empirical: whether Indian consumers—across the full diversity of age, geography, language, gender, and economic status—come to experience meaningful control over their personal data; whether data breaches are promptly disclosed and remediated; and whether those who cause harm through negligent or unlawful data processing are </w:t>
      </w:r>
      <w:r>
        <w:lastRenderedPageBreak/>
        <w:t>held accountable in a manner proportionate to the scale of harm caused. By these standards, the work of building a truly consumer-protective digital governance framework in India has, with the DPDPA, just begun.</w:t>
      </w:r>
    </w:p>
    <w:p w14:paraId="2AA3A377" w14:textId="77777777" w:rsidR="00FE75D7" w:rsidRDefault="00FE75D7">
      <w:pPr>
        <w:spacing w:after="80"/>
      </w:pPr>
    </w:p>
    <w:p w14:paraId="62C2D2D0" w14:textId="77777777" w:rsidR="00FE75D7" w:rsidRDefault="00000000">
      <w:r>
        <w:br w:type="page"/>
      </w:r>
    </w:p>
    <w:p w14:paraId="671E5372" w14:textId="77777777" w:rsidR="00FE75D7" w:rsidRDefault="00000000">
      <w:pPr>
        <w:pStyle w:val="Heading1"/>
      </w:pPr>
      <w:r>
        <w:rPr>
          <w:smallCaps/>
        </w:rPr>
        <w:lastRenderedPageBreak/>
        <w:t>BIBLIOGRAPHY</w:t>
      </w:r>
    </w:p>
    <w:p w14:paraId="11742D1C" w14:textId="77777777" w:rsidR="00FE75D7" w:rsidRDefault="00000000">
      <w:pPr>
        <w:pStyle w:val="Heading2"/>
      </w:pPr>
      <w:r>
        <w:t>A. Primary Sources: Legislation</w:t>
      </w:r>
    </w:p>
    <w:p w14:paraId="30F345D8" w14:textId="77777777" w:rsidR="00FE75D7" w:rsidRDefault="00000000">
      <w:pPr>
        <w:spacing w:after="120" w:line="280" w:lineRule="auto"/>
        <w:ind w:left="720" w:hanging="720"/>
        <w:jc w:val="both"/>
      </w:pPr>
      <w:r>
        <w:rPr>
          <w:sz w:val="22"/>
          <w:szCs w:val="22"/>
        </w:rPr>
        <w:t>Constitution of India, 1950.</w:t>
      </w:r>
    </w:p>
    <w:p w14:paraId="7FCB2B8F" w14:textId="77777777" w:rsidR="00FE75D7" w:rsidRDefault="00000000">
      <w:pPr>
        <w:spacing w:after="120" w:line="280" w:lineRule="auto"/>
        <w:ind w:left="720" w:hanging="720"/>
        <w:jc w:val="both"/>
      </w:pPr>
      <w:r>
        <w:rPr>
          <w:sz w:val="22"/>
          <w:szCs w:val="22"/>
        </w:rPr>
        <w:t>Information Technology Act, 2000, No. 21, Acts of Parliament, 2000 (India).</w:t>
      </w:r>
    </w:p>
    <w:p w14:paraId="305300B7" w14:textId="77777777" w:rsidR="00FE75D7" w:rsidRDefault="00000000">
      <w:pPr>
        <w:spacing w:after="120" w:line="280" w:lineRule="auto"/>
        <w:ind w:left="720" w:hanging="720"/>
        <w:jc w:val="both"/>
      </w:pPr>
      <w:r>
        <w:rPr>
          <w:sz w:val="22"/>
          <w:szCs w:val="22"/>
        </w:rPr>
        <w:t>Information Technology (Amendment) Act, 2008, No. 10, Acts of Parliament, 2009 (India).</w:t>
      </w:r>
    </w:p>
    <w:p w14:paraId="7B4F3861" w14:textId="77777777" w:rsidR="00FE75D7" w:rsidRDefault="00000000">
      <w:pPr>
        <w:spacing w:after="120" w:line="280" w:lineRule="auto"/>
        <w:ind w:left="720" w:hanging="720"/>
        <w:jc w:val="both"/>
      </w:pPr>
      <w:r>
        <w:rPr>
          <w:sz w:val="22"/>
          <w:szCs w:val="22"/>
        </w:rPr>
        <w:t>Information Technology (Reasonable Security Practices and Procedures and Sensitive Personal Data or Information) Rules, 2011.</w:t>
      </w:r>
    </w:p>
    <w:p w14:paraId="2932E184" w14:textId="77777777" w:rsidR="00FE75D7" w:rsidRDefault="00000000">
      <w:pPr>
        <w:spacing w:after="120" w:line="280" w:lineRule="auto"/>
        <w:ind w:left="720" w:hanging="720"/>
        <w:jc w:val="both"/>
      </w:pPr>
      <w:r>
        <w:rPr>
          <w:sz w:val="22"/>
          <w:szCs w:val="22"/>
        </w:rPr>
        <w:t>Personal Data Protection Bill, 2019, Bill No. 373 of 2019 (India) [withdrawn 2022].</w:t>
      </w:r>
    </w:p>
    <w:p w14:paraId="20025D98" w14:textId="77777777" w:rsidR="00FE75D7" w:rsidRDefault="00000000">
      <w:pPr>
        <w:spacing w:after="120" w:line="280" w:lineRule="auto"/>
        <w:ind w:left="720" w:hanging="720"/>
        <w:jc w:val="both"/>
      </w:pPr>
      <w:r>
        <w:rPr>
          <w:sz w:val="22"/>
          <w:szCs w:val="22"/>
        </w:rPr>
        <w:t>Digital Personal Data Protection Act, 2023, No. 22, Acts of Parliament, 2023 (India).</w:t>
      </w:r>
    </w:p>
    <w:p w14:paraId="15CD657D" w14:textId="77777777" w:rsidR="00FE75D7" w:rsidRDefault="00000000">
      <w:pPr>
        <w:spacing w:after="120" w:line="280" w:lineRule="auto"/>
        <w:ind w:left="720" w:hanging="720"/>
        <w:jc w:val="both"/>
      </w:pPr>
      <w:r>
        <w:rPr>
          <w:sz w:val="22"/>
          <w:szCs w:val="22"/>
        </w:rPr>
        <w:t>Consumer Protection Act, 2019, No. 35, Acts of Parliament, 2019 (India).</w:t>
      </w:r>
    </w:p>
    <w:p w14:paraId="03BB3B04" w14:textId="77777777" w:rsidR="00FE75D7" w:rsidRDefault="00000000">
      <w:pPr>
        <w:spacing w:after="120" w:line="280" w:lineRule="auto"/>
        <w:ind w:left="720" w:hanging="720"/>
        <w:jc w:val="both"/>
      </w:pPr>
      <w:r>
        <w:rPr>
          <w:sz w:val="22"/>
          <w:szCs w:val="22"/>
        </w:rPr>
        <w:t>Consumer Protection (E-Commerce) Rules, 2020.</w:t>
      </w:r>
    </w:p>
    <w:p w14:paraId="40D3AA52" w14:textId="77777777" w:rsidR="00FE75D7" w:rsidRDefault="00000000">
      <w:pPr>
        <w:pStyle w:val="Heading2"/>
      </w:pPr>
      <w:r>
        <w:t>B. Primary Sources: Judicial Decisions</w:t>
      </w:r>
    </w:p>
    <w:p w14:paraId="1339E987" w14:textId="77777777" w:rsidR="00FE75D7" w:rsidRDefault="00000000">
      <w:pPr>
        <w:spacing w:after="120" w:line="280" w:lineRule="auto"/>
        <w:ind w:left="720" w:hanging="720"/>
        <w:jc w:val="both"/>
      </w:pPr>
      <w:r>
        <w:rPr>
          <w:sz w:val="22"/>
          <w:szCs w:val="22"/>
        </w:rPr>
        <w:t xml:space="preserve">Justice K.S. </w:t>
      </w:r>
      <w:proofErr w:type="spellStart"/>
      <w:r>
        <w:rPr>
          <w:sz w:val="22"/>
          <w:szCs w:val="22"/>
        </w:rPr>
        <w:t>Puttaswamy</w:t>
      </w:r>
      <w:proofErr w:type="spellEnd"/>
      <w:r>
        <w:rPr>
          <w:sz w:val="22"/>
          <w:szCs w:val="22"/>
        </w:rPr>
        <w:t xml:space="preserve"> (Retd.) v. Union of India, (2017) 10 SCC 1 (India).</w:t>
      </w:r>
    </w:p>
    <w:p w14:paraId="2FC09C70" w14:textId="77777777" w:rsidR="00FE75D7" w:rsidRDefault="00000000">
      <w:pPr>
        <w:spacing w:after="120" w:line="280" w:lineRule="auto"/>
        <w:ind w:left="720" w:hanging="720"/>
        <w:jc w:val="both"/>
      </w:pPr>
      <w:r>
        <w:rPr>
          <w:sz w:val="22"/>
          <w:szCs w:val="22"/>
        </w:rPr>
        <w:t>M.P. Sharma v. Satish Chandra, AIR 1954 SC 300 (India).</w:t>
      </w:r>
    </w:p>
    <w:p w14:paraId="0B3E379A" w14:textId="77777777" w:rsidR="00FE75D7" w:rsidRDefault="00000000">
      <w:pPr>
        <w:spacing w:after="120" w:line="280" w:lineRule="auto"/>
        <w:ind w:left="720" w:hanging="720"/>
        <w:jc w:val="both"/>
      </w:pPr>
      <w:r>
        <w:rPr>
          <w:sz w:val="22"/>
          <w:szCs w:val="22"/>
        </w:rPr>
        <w:t>Kharak Singh v. State of Uttar Pradesh, AIR 1963 SC 1295 (India).</w:t>
      </w:r>
    </w:p>
    <w:p w14:paraId="6CE7CA49" w14:textId="77777777" w:rsidR="00FE75D7" w:rsidRDefault="00000000">
      <w:pPr>
        <w:spacing w:after="120" w:line="280" w:lineRule="auto"/>
        <w:ind w:left="720" w:hanging="720"/>
        <w:jc w:val="both"/>
      </w:pPr>
      <w:r>
        <w:rPr>
          <w:sz w:val="22"/>
          <w:szCs w:val="22"/>
        </w:rPr>
        <w:t xml:space="preserve">Prabha Tyagi v. Kamlesh Devi Tyagi, 2022 SCC </w:t>
      </w:r>
      <w:proofErr w:type="spellStart"/>
      <w:r>
        <w:rPr>
          <w:sz w:val="22"/>
          <w:szCs w:val="22"/>
        </w:rPr>
        <w:t>OnLine</w:t>
      </w:r>
      <w:proofErr w:type="spellEnd"/>
      <w:r>
        <w:rPr>
          <w:sz w:val="22"/>
          <w:szCs w:val="22"/>
        </w:rPr>
        <w:t xml:space="preserve"> Bom 511.</w:t>
      </w:r>
    </w:p>
    <w:p w14:paraId="13484D54" w14:textId="77777777" w:rsidR="00FE75D7" w:rsidRDefault="00000000">
      <w:pPr>
        <w:spacing w:after="120" w:line="280" w:lineRule="auto"/>
        <w:ind w:left="720" w:hanging="720"/>
        <w:jc w:val="both"/>
      </w:pPr>
      <w:r>
        <w:rPr>
          <w:sz w:val="22"/>
          <w:szCs w:val="22"/>
        </w:rPr>
        <w:t xml:space="preserve">Faheema Shirin v. State of Kerala, 2019 SCC </w:t>
      </w:r>
      <w:proofErr w:type="spellStart"/>
      <w:r>
        <w:rPr>
          <w:sz w:val="22"/>
          <w:szCs w:val="22"/>
        </w:rPr>
        <w:t>OnLine</w:t>
      </w:r>
      <w:proofErr w:type="spellEnd"/>
      <w:r>
        <w:rPr>
          <w:sz w:val="22"/>
          <w:szCs w:val="22"/>
        </w:rPr>
        <w:t xml:space="preserve"> Ker 4859.</w:t>
      </w:r>
    </w:p>
    <w:p w14:paraId="57CB5E44" w14:textId="77777777" w:rsidR="00FE75D7" w:rsidRDefault="00000000">
      <w:pPr>
        <w:spacing w:after="120" w:line="280" w:lineRule="auto"/>
        <w:ind w:left="720" w:hanging="720"/>
        <w:jc w:val="both"/>
      </w:pPr>
      <w:r>
        <w:rPr>
          <w:sz w:val="22"/>
          <w:szCs w:val="22"/>
        </w:rPr>
        <w:t xml:space="preserve">Virendra Khanna v. State of Karnataka, 2021 SCC </w:t>
      </w:r>
      <w:proofErr w:type="spellStart"/>
      <w:r>
        <w:rPr>
          <w:sz w:val="22"/>
          <w:szCs w:val="22"/>
        </w:rPr>
        <w:t>OnLine</w:t>
      </w:r>
      <w:proofErr w:type="spellEnd"/>
      <w:r>
        <w:rPr>
          <w:sz w:val="22"/>
          <w:szCs w:val="22"/>
        </w:rPr>
        <w:t xml:space="preserve"> Kar 13225.</w:t>
      </w:r>
    </w:p>
    <w:p w14:paraId="2FEC2CDF" w14:textId="77777777" w:rsidR="00FE75D7" w:rsidRDefault="00000000">
      <w:pPr>
        <w:pStyle w:val="Heading2"/>
      </w:pPr>
      <w:r>
        <w:t>C. Primary Sources: Official Reports and Policy Documents</w:t>
      </w:r>
    </w:p>
    <w:p w14:paraId="12823C82" w14:textId="77777777" w:rsidR="00FE75D7" w:rsidRDefault="00000000">
      <w:pPr>
        <w:spacing w:after="120" w:line="280" w:lineRule="auto"/>
        <w:ind w:left="720" w:hanging="720"/>
        <w:jc w:val="both"/>
      </w:pPr>
      <w:r>
        <w:rPr>
          <w:sz w:val="22"/>
          <w:szCs w:val="22"/>
        </w:rPr>
        <w:t>Ministry of Electronics and Information Technology, Government of India, 'Report of the Committee of Experts under the Chairmanship of Justice B.N. Srikrishna' (2018) ('Srikrishna Committee Report').</w:t>
      </w:r>
    </w:p>
    <w:p w14:paraId="2958045F" w14:textId="77777777" w:rsidR="00FE75D7" w:rsidRDefault="00000000">
      <w:pPr>
        <w:spacing w:after="120" w:line="280" w:lineRule="auto"/>
        <w:ind w:left="720" w:hanging="720"/>
        <w:jc w:val="both"/>
      </w:pPr>
      <w:r>
        <w:rPr>
          <w:sz w:val="22"/>
          <w:szCs w:val="22"/>
        </w:rPr>
        <w:t>Joint Parliamentary Committee on the Personal Data Protection Bill, 2019, 'Report of the Joint Committee' (2021).</w:t>
      </w:r>
    </w:p>
    <w:p w14:paraId="30AC6C61" w14:textId="77777777" w:rsidR="00FE75D7" w:rsidRDefault="00000000">
      <w:pPr>
        <w:spacing w:after="120" w:line="280" w:lineRule="auto"/>
        <w:ind w:left="720" w:hanging="720"/>
        <w:jc w:val="both"/>
      </w:pPr>
      <w:r>
        <w:rPr>
          <w:sz w:val="22"/>
          <w:szCs w:val="22"/>
        </w:rPr>
        <w:t>CERT-In, 'Directions Under Section 70</w:t>
      </w:r>
      <w:proofErr w:type="gramStart"/>
      <w:r>
        <w:rPr>
          <w:sz w:val="22"/>
          <w:szCs w:val="22"/>
        </w:rPr>
        <w:t>B(</w:t>
      </w:r>
      <w:proofErr w:type="gramEnd"/>
      <w:r>
        <w:rPr>
          <w:sz w:val="22"/>
          <w:szCs w:val="22"/>
        </w:rPr>
        <w:t>6) of the Information Technology Act, 2000' (Ministry of Electronics and Information Technology, April 28, 2022).</w:t>
      </w:r>
    </w:p>
    <w:p w14:paraId="61C6A419" w14:textId="77777777" w:rsidR="00FE75D7" w:rsidRDefault="00000000">
      <w:pPr>
        <w:spacing w:after="120" w:line="280" w:lineRule="auto"/>
        <w:ind w:left="720" w:hanging="720"/>
        <w:jc w:val="both"/>
      </w:pPr>
      <w:r>
        <w:rPr>
          <w:sz w:val="22"/>
          <w:szCs w:val="22"/>
        </w:rPr>
        <w:t>CERT-In, 'Annual Report 2022–23' (2023).</w:t>
      </w:r>
    </w:p>
    <w:p w14:paraId="1C922B46" w14:textId="77777777" w:rsidR="00FE75D7" w:rsidRDefault="00000000">
      <w:pPr>
        <w:spacing w:after="120" w:line="280" w:lineRule="auto"/>
        <w:ind w:left="720" w:hanging="720"/>
        <w:jc w:val="both"/>
      </w:pPr>
      <w:r>
        <w:rPr>
          <w:sz w:val="22"/>
          <w:szCs w:val="22"/>
        </w:rPr>
        <w:t>National Cyber Security Policy, 2013, Ministry of Electronics and Information Technology, Government of India.</w:t>
      </w:r>
    </w:p>
    <w:p w14:paraId="2E92EE41" w14:textId="77777777" w:rsidR="00FE75D7" w:rsidRDefault="00000000">
      <w:pPr>
        <w:spacing w:after="120" w:line="280" w:lineRule="auto"/>
        <w:ind w:left="720" w:hanging="720"/>
        <w:jc w:val="both"/>
      </w:pPr>
      <w:r>
        <w:rPr>
          <w:sz w:val="22"/>
          <w:szCs w:val="22"/>
        </w:rPr>
        <w:t>Reserve Bank of India, 'Storage of Payment System Data' (Circular No. RBI/2017-18/153, 6 April 2018).</w:t>
      </w:r>
    </w:p>
    <w:p w14:paraId="55CAF493" w14:textId="77777777" w:rsidR="00FE75D7" w:rsidRDefault="00000000">
      <w:pPr>
        <w:spacing w:after="120" w:line="280" w:lineRule="auto"/>
        <w:ind w:left="720" w:hanging="720"/>
        <w:jc w:val="both"/>
      </w:pPr>
      <w:r>
        <w:rPr>
          <w:sz w:val="22"/>
          <w:szCs w:val="22"/>
        </w:rPr>
        <w:t>Reserve Bank of India, 'Report of the Committee on Digital Payments' (2019).</w:t>
      </w:r>
    </w:p>
    <w:p w14:paraId="661597BF" w14:textId="77777777" w:rsidR="00FE75D7" w:rsidRDefault="00000000">
      <w:pPr>
        <w:spacing w:after="120" w:line="280" w:lineRule="auto"/>
        <w:ind w:left="720" w:hanging="720"/>
        <w:jc w:val="both"/>
      </w:pPr>
      <w:r>
        <w:rPr>
          <w:sz w:val="22"/>
          <w:szCs w:val="22"/>
        </w:rPr>
        <w:t>Telecom Regulatory Authority of India, 'Recommendations on Privacy, Security and Ownership of the Data in the Telecom Sector' (16 July 2018).</w:t>
      </w:r>
    </w:p>
    <w:p w14:paraId="656B6D40" w14:textId="77777777" w:rsidR="00FE75D7" w:rsidRDefault="00000000">
      <w:pPr>
        <w:spacing w:after="120" w:line="280" w:lineRule="auto"/>
        <w:ind w:left="720" w:hanging="720"/>
        <w:jc w:val="both"/>
      </w:pPr>
      <w:r>
        <w:rPr>
          <w:sz w:val="22"/>
          <w:szCs w:val="22"/>
        </w:rPr>
        <w:lastRenderedPageBreak/>
        <w:t>Competition Commission of India, 'Market Study on E-Commerce in India' (2020).</w:t>
      </w:r>
    </w:p>
    <w:p w14:paraId="654B1B8C" w14:textId="77777777" w:rsidR="00FE75D7" w:rsidRDefault="00000000">
      <w:pPr>
        <w:spacing w:after="120" w:line="280" w:lineRule="auto"/>
        <w:ind w:left="720" w:hanging="720"/>
        <w:jc w:val="both"/>
      </w:pPr>
      <w:r>
        <w:rPr>
          <w:sz w:val="22"/>
          <w:szCs w:val="22"/>
        </w:rPr>
        <w:t>National Payment Corporation of India (NPCI), 'Annual Report 2022–23' (2023).</w:t>
      </w:r>
    </w:p>
    <w:p w14:paraId="0D6CA7E6" w14:textId="77777777" w:rsidR="00FE75D7" w:rsidRDefault="00000000">
      <w:pPr>
        <w:pStyle w:val="Heading2"/>
      </w:pPr>
      <w:r>
        <w:t>D. Books and Monographs</w:t>
      </w:r>
    </w:p>
    <w:p w14:paraId="1C71D476" w14:textId="77777777" w:rsidR="00FE75D7" w:rsidRDefault="00000000">
      <w:pPr>
        <w:spacing w:after="120" w:line="280" w:lineRule="auto"/>
        <w:ind w:left="720" w:hanging="720"/>
        <w:jc w:val="both"/>
      </w:pPr>
      <w:r>
        <w:rPr>
          <w:sz w:val="22"/>
          <w:szCs w:val="22"/>
        </w:rPr>
        <w:t>Duggal P, Cyberlaw: The Indian Perspective (</w:t>
      </w:r>
      <w:proofErr w:type="spellStart"/>
      <w:r>
        <w:rPr>
          <w:sz w:val="22"/>
          <w:szCs w:val="22"/>
        </w:rPr>
        <w:t>Saakshar</w:t>
      </w:r>
      <w:proofErr w:type="spellEnd"/>
      <w:r>
        <w:rPr>
          <w:sz w:val="22"/>
          <w:szCs w:val="22"/>
        </w:rPr>
        <w:t xml:space="preserve"> Law Publications 2020).</w:t>
      </w:r>
    </w:p>
    <w:p w14:paraId="55F0654B" w14:textId="77777777" w:rsidR="00FE75D7" w:rsidRDefault="00000000">
      <w:pPr>
        <w:spacing w:after="120" w:line="280" w:lineRule="auto"/>
        <w:ind w:left="720" w:hanging="720"/>
        <w:jc w:val="both"/>
      </w:pPr>
      <w:r>
        <w:rPr>
          <w:sz w:val="22"/>
          <w:szCs w:val="22"/>
        </w:rPr>
        <w:t>Kamath N, 'Legal Issues in E-Commerce and Internet Law' in Vishwanathan ST (ed), The Indian Cyberlaw (Bharat Law House 2001).</w:t>
      </w:r>
    </w:p>
    <w:p w14:paraId="026AD175" w14:textId="77777777" w:rsidR="00FE75D7" w:rsidRDefault="00000000">
      <w:pPr>
        <w:spacing w:after="120" w:line="280" w:lineRule="auto"/>
        <w:ind w:left="720" w:hanging="720"/>
        <w:jc w:val="both"/>
      </w:pPr>
      <w:r>
        <w:rPr>
          <w:sz w:val="22"/>
          <w:szCs w:val="22"/>
        </w:rPr>
        <w:t>Matthan R, Privacy 3.0: Unlocking Our Data Driven Future (HarperCollins India 2018).</w:t>
      </w:r>
    </w:p>
    <w:p w14:paraId="56F2157F" w14:textId="77777777" w:rsidR="00FE75D7" w:rsidRDefault="00000000">
      <w:pPr>
        <w:pStyle w:val="Heading2"/>
      </w:pPr>
      <w:r>
        <w:t>E. Journal Articles and Working Papers</w:t>
      </w:r>
    </w:p>
    <w:p w14:paraId="202F987C" w14:textId="77777777" w:rsidR="00FE75D7" w:rsidRDefault="00000000">
      <w:pPr>
        <w:spacing w:after="120" w:line="280" w:lineRule="auto"/>
        <w:ind w:left="720" w:hanging="720"/>
        <w:jc w:val="both"/>
      </w:pPr>
      <w:r>
        <w:rPr>
          <w:sz w:val="22"/>
          <w:szCs w:val="22"/>
        </w:rPr>
        <w:t>Arun C, 'On WhatsApp, Rumours, and Lynchings' (2019) 54 Economic &amp; Political Weekly 7.</w:t>
      </w:r>
    </w:p>
    <w:p w14:paraId="5CF99461" w14:textId="77777777" w:rsidR="00FE75D7" w:rsidRDefault="00000000">
      <w:pPr>
        <w:spacing w:after="120" w:line="280" w:lineRule="auto"/>
        <w:ind w:left="720" w:hanging="720"/>
        <w:jc w:val="both"/>
      </w:pPr>
      <w:r>
        <w:rPr>
          <w:sz w:val="22"/>
          <w:szCs w:val="22"/>
        </w:rPr>
        <w:t>Bailey R, 'Regulating Big Tech in India: Competition Law and Data' (2021) 16 Indian Journal of Law and Technology 55.</w:t>
      </w:r>
    </w:p>
    <w:p w14:paraId="6DBE2414" w14:textId="77777777" w:rsidR="00FE75D7" w:rsidRDefault="00000000">
      <w:pPr>
        <w:spacing w:after="120" w:line="280" w:lineRule="auto"/>
        <w:ind w:left="720" w:hanging="720"/>
        <w:jc w:val="both"/>
      </w:pPr>
      <w:r>
        <w:rPr>
          <w:sz w:val="22"/>
          <w:szCs w:val="22"/>
        </w:rPr>
        <w:t xml:space="preserve">Bailey R and </w:t>
      </w:r>
      <w:proofErr w:type="spellStart"/>
      <w:r>
        <w:rPr>
          <w:sz w:val="22"/>
          <w:szCs w:val="22"/>
        </w:rPr>
        <w:t>Parsheera</w:t>
      </w:r>
      <w:proofErr w:type="spellEnd"/>
      <w:r>
        <w:rPr>
          <w:sz w:val="22"/>
          <w:szCs w:val="22"/>
        </w:rPr>
        <w:t xml:space="preserve"> S, 'Data Localisation in India: Questioning the Means and Ends' (2018) NIPFP Working Paper No. 243.</w:t>
      </w:r>
    </w:p>
    <w:p w14:paraId="327B011D" w14:textId="77777777" w:rsidR="00FE75D7" w:rsidRDefault="00000000">
      <w:pPr>
        <w:spacing w:after="120" w:line="280" w:lineRule="auto"/>
        <w:ind w:left="720" w:hanging="720"/>
        <w:jc w:val="both"/>
      </w:pPr>
      <w:r>
        <w:rPr>
          <w:sz w:val="22"/>
          <w:szCs w:val="22"/>
        </w:rPr>
        <w:t xml:space="preserve">Bhandari V and </w:t>
      </w:r>
      <w:proofErr w:type="spellStart"/>
      <w:r>
        <w:rPr>
          <w:sz w:val="22"/>
          <w:szCs w:val="22"/>
        </w:rPr>
        <w:t>Parsheera</w:t>
      </w:r>
      <w:proofErr w:type="spellEnd"/>
      <w:r>
        <w:rPr>
          <w:sz w:val="22"/>
          <w:szCs w:val="22"/>
        </w:rPr>
        <w:t xml:space="preserve"> S, 'An Analysis of the Draft Personal Data Protection Bill, 2018' (2018) NIPFP Working Paper.</w:t>
      </w:r>
    </w:p>
    <w:p w14:paraId="33E6741A" w14:textId="77777777" w:rsidR="00FE75D7" w:rsidRDefault="00000000">
      <w:pPr>
        <w:spacing w:after="120" w:line="280" w:lineRule="auto"/>
        <w:ind w:left="720" w:hanging="720"/>
        <w:jc w:val="both"/>
      </w:pPr>
      <w:r>
        <w:rPr>
          <w:sz w:val="22"/>
          <w:szCs w:val="22"/>
        </w:rPr>
        <w:t>Divan S and Sengupta A, 'The Right to Privacy in India: A Citizen's Perspective' (2013) 5 NUJS Law Review 183.</w:t>
      </w:r>
    </w:p>
    <w:p w14:paraId="2B00D6A0" w14:textId="77777777" w:rsidR="00FE75D7" w:rsidRDefault="00000000">
      <w:pPr>
        <w:spacing w:after="120" w:line="280" w:lineRule="auto"/>
        <w:ind w:left="720" w:hanging="720"/>
        <w:jc w:val="both"/>
      </w:pPr>
      <w:r>
        <w:rPr>
          <w:sz w:val="22"/>
          <w:szCs w:val="22"/>
        </w:rPr>
        <w:t>Kumar S, 'Consumer Rights in the Digital Economy: Perspectives from India' (2022) 14 Journal of Consumer Policy and Law 102.</w:t>
      </w:r>
    </w:p>
    <w:p w14:paraId="5A366F0C" w14:textId="77777777" w:rsidR="00FE75D7" w:rsidRDefault="00000000">
      <w:pPr>
        <w:spacing w:after="120" w:line="280" w:lineRule="auto"/>
        <w:ind w:left="720" w:hanging="720"/>
        <w:jc w:val="both"/>
      </w:pPr>
      <w:r>
        <w:rPr>
          <w:sz w:val="22"/>
          <w:szCs w:val="22"/>
        </w:rPr>
        <w:t>Mohanty B, 'India's Data Protection Framework: An Analysis of the Digital Personal Data Protection Act 2023' (2023) Observer Research Foundation Occasional Paper.</w:t>
      </w:r>
    </w:p>
    <w:p w14:paraId="754EFEAA" w14:textId="77777777" w:rsidR="00FE75D7" w:rsidRDefault="00000000">
      <w:pPr>
        <w:spacing w:after="120" w:line="280" w:lineRule="auto"/>
        <w:ind w:left="720" w:hanging="720"/>
        <w:jc w:val="both"/>
      </w:pPr>
      <w:r>
        <w:rPr>
          <w:sz w:val="22"/>
          <w:szCs w:val="22"/>
        </w:rPr>
        <w:t>Ramanathan U, 'Privacy, Personal Data and Information Asymmetry' (2008) 43 Economic &amp; Political Weekly 25.</w:t>
      </w:r>
    </w:p>
    <w:p w14:paraId="728CC1C1" w14:textId="77777777" w:rsidR="00FE75D7" w:rsidRDefault="00000000">
      <w:pPr>
        <w:spacing w:after="120" w:line="280" w:lineRule="auto"/>
        <w:ind w:left="720" w:hanging="720"/>
        <w:jc w:val="both"/>
      </w:pPr>
      <w:r>
        <w:rPr>
          <w:sz w:val="22"/>
          <w:szCs w:val="22"/>
        </w:rPr>
        <w:t>Stallings KS, 'Data Privacy Law in Comparative Perspective: EU GDPR and Emerging Economies' (2021) 15 Journal of Cybersecurity 1.</w:t>
      </w:r>
    </w:p>
    <w:p w14:paraId="1CF20F03" w14:textId="77777777" w:rsidR="00FE75D7" w:rsidRDefault="00000000">
      <w:pPr>
        <w:pStyle w:val="Heading2"/>
      </w:pPr>
      <w:r>
        <w:t>F. Reports by Industry and Civil Society</w:t>
      </w:r>
    </w:p>
    <w:p w14:paraId="0D36B059" w14:textId="77777777" w:rsidR="00FE75D7" w:rsidRDefault="00000000">
      <w:pPr>
        <w:spacing w:after="120" w:line="280" w:lineRule="auto"/>
        <w:ind w:left="720" w:hanging="720"/>
        <w:jc w:val="both"/>
      </w:pPr>
      <w:r>
        <w:rPr>
          <w:sz w:val="22"/>
          <w:szCs w:val="22"/>
        </w:rPr>
        <w:t>IAMAI, 'India Internet Report 2023' (Internet and Mobile Association of India, 2023).</w:t>
      </w:r>
    </w:p>
    <w:p w14:paraId="0617FA09" w14:textId="77777777" w:rsidR="00FE75D7" w:rsidRDefault="00000000">
      <w:pPr>
        <w:spacing w:after="120" w:line="280" w:lineRule="auto"/>
        <w:ind w:left="720" w:hanging="720"/>
        <w:jc w:val="both"/>
      </w:pPr>
      <w:r>
        <w:rPr>
          <w:sz w:val="22"/>
          <w:szCs w:val="22"/>
        </w:rPr>
        <w:t>NASSCOM and DSCI, 'India Cybersecurity Report 2022' (Data Security Council of India, 2022).</w:t>
      </w:r>
    </w:p>
    <w:p w14:paraId="60DFEB7B" w14:textId="77777777" w:rsidR="00FE75D7" w:rsidRDefault="00000000">
      <w:pPr>
        <w:spacing w:after="120" w:line="280" w:lineRule="auto"/>
        <w:ind w:left="720" w:hanging="720"/>
        <w:jc w:val="both"/>
      </w:pPr>
      <w:r>
        <w:rPr>
          <w:sz w:val="22"/>
          <w:szCs w:val="22"/>
        </w:rPr>
        <w:t>NASSCOM, 'Cybersecurity Market in India 2023–2024' (2023).</w:t>
      </w:r>
    </w:p>
    <w:p w14:paraId="0959C114" w14:textId="77777777" w:rsidR="00FE75D7" w:rsidRDefault="00000000">
      <w:pPr>
        <w:spacing w:after="120" w:line="280" w:lineRule="auto"/>
        <w:ind w:left="720" w:hanging="720"/>
        <w:jc w:val="both"/>
      </w:pPr>
      <w:r>
        <w:rPr>
          <w:sz w:val="22"/>
          <w:szCs w:val="22"/>
        </w:rPr>
        <w:t>PwC India and ASSOCHAM, 'Cyber Security in India: Key Trends and Recommendations' (2022).</w:t>
      </w:r>
    </w:p>
    <w:p w14:paraId="5350C540" w14:textId="77777777" w:rsidR="00FE75D7" w:rsidRDefault="00000000">
      <w:pPr>
        <w:spacing w:after="120" w:line="280" w:lineRule="auto"/>
        <w:ind w:left="720" w:hanging="720"/>
        <w:jc w:val="both"/>
      </w:pPr>
      <w:r>
        <w:rPr>
          <w:sz w:val="22"/>
          <w:szCs w:val="22"/>
        </w:rPr>
        <w:t>Vidhi Centre for Legal Policy, 'Examining the Digital Personal Data Protection Act, 2023' (2023).</w:t>
      </w:r>
    </w:p>
    <w:p w14:paraId="5CAC0FCD" w14:textId="77777777" w:rsidR="00FE75D7" w:rsidRDefault="00000000">
      <w:pPr>
        <w:pStyle w:val="Heading2"/>
      </w:pPr>
      <w:r>
        <w:t>G. International Instruments and Comparative Legislation</w:t>
      </w:r>
    </w:p>
    <w:p w14:paraId="4FE7065C" w14:textId="77777777" w:rsidR="00FE75D7" w:rsidRDefault="00000000">
      <w:pPr>
        <w:spacing w:after="120" w:line="280" w:lineRule="auto"/>
        <w:ind w:left="720" w:hanging="720"/>
        <w:jc w:val="both"/>
      </w:pPr>
      <w:r>
        <w:rPr>
          <w:sz w:val="22"/>
          <w:szCs w:val="22"/>
        </w:rPr>
        <w:t>General Data Protection Regulation (EU) 2016/679, O.J. (L 119) 1 (May 4, 2016).</w:t>
      </w:r>
    </w:p>
    <w:p w14:paraId="6CEBDDEC" w14:textId="77777777" w:rsidR="00FE75D7" w:rsidRDefault="00000000">
      <w:pPr>
        <w:spacing w:after="120" w:line="280" w:lineRule="auto"/>
        <w:ind w:left="720" w:hanging="720"/>
        <w:jc w:val="both"/>
      </w:pPr>
      <w:r>
        <w:rPr>
          <w:sz w:val="22"/>
          <w:szCs w:val="22"/>
        </w:rPr>
        <w:lastRenderedPageBreak/>
        <w:t>California Consumer Privacy Act, Cal. Civ. Code § 1798.100 et seq. (2018).</w:t>
      </w:r>
    </w:p>
    <w:p w14:paraId="2FAD9328" w14:textId="77777777" w:rsidR="00FE75D7" w:rsidRDefault="00000000">
      <w:pPr>
        <w:spacing w:after="120" w:line="280" w:lineRule="auto"/>
        <w:ind w:left="720" w:hanging="720"/>
        <w:jc w:val="both"/>
      </w:pPr>
      <w:r>
        <w:rPr>
          <w:sz w:val="22"/>
          <w:szCs w:val="22"/>
        </w:rPr>
        <w:t>Personal Data Protection Act (Singapore) 2012, Cap. 26 of 2012.</w:t>
      </w:r>
    </w:p>
    <w:p w14:paraId="30F33914" w14:textId="77777777" w:rsidR="00FE75D7" w:rsidRDefault="00000000">
      <w:pPr>
        <w:spacing w:after="120" w:line="280" w:lineRule="auto"/>
        <w:ind w:left="720" w:hanging="720"/>
        <w:jc w:val="both"/>
      </w:pPr>
      <w:r>
        <w:rPr>
          <w:sz w:val="22"/>
          <w:szCs w:val="22"/>
        </w:rPr>
        <w:t xml:space="preserve">Lei Geral de </w:t>
      </w:r>
      <w:proofErr w:type="spellStart"/>
      <w:r>
        <w:rPr>
          <w:sz w:val="22"/>
          <w:szCs w:val="22"/>
        </w:rPr>
        <w:t>Proteção</w:t>
      </w:r>
      <w:proofErr w:type="spellEnd"/>
      <w:r>
        <w:rPr>
          <w:sz w:val="22"/>
          <w:szCs w:val="22"/>
        </w:rPr>
        <w:t xml:space="preserve"> de Dados </w:t>
      </w:r>
      <w:proofErr w:type="spellStart"/>
      <w:r>
        <w:rPr>
          <w:sz w:val="22"/>
          <w:szCs w:val="22"/>
        </w:rPr>
        <w:t>Pessoais</w:t>
      </w:r>
      <w:proofErr w:type="spellEnd"/>
      <w:r>
        <w:rPr>
          <w:sz w:val="22"/>
          <w:szCs w:val="22"/>
        </w:rPr>
        <w:t xml:space="preserve"> (Brazil), Law No. 13,709 of 14 August 2018.</w:t>
      </w:r>
    </w:p>
    <w:p w14:paraId="7DE17C0B" w14:textId="77777777" w:rsidR="00FE75D7" w:rsidRDefault="00000000">
      <w:pPr>
        <w:spacing w:after="120" w:line="280" w:lineRule="auto"/>
        <w:ind w:left="720" w:hanging="720"/>
        <w:jc w:val="both"/>
      </w:pPr>
      <w:r>
        <w:rPr>
          <w:sz w:val="22"/>
          <w:szCs w:val="22"/>
        </w:rPr>
        <w:t>European Data Protection Board, 'Guidelines 05/2020 on Consent under Regulation 2016/679' (4 May 2020).</w:t>
      </w:r>
    </w:p>
    <w:p w14:paraId="4E60B2A6" w14:textId="77777777" w:rsidR="00FE75D7" w:rsidRDefault="00FE75D7">
      <w:pPr>
        <w:spacing w:after="80"/>
      </w:pPr>
    </w:p>
    <w:p w14:paraId="6EB25F7F" w14:textId="77777777" w:rsidR="00FE75D7" w:rsidRDefault="00FE75D7">
      <w:pPr>
        <w:spacing w:before="300" w:after="200"/>
        <w:jc w:val="center"/>
        <w:rPr>
          <w:b/>
          <w:bCs/>
          <w:color w:val="555555"/>
          <w:sz w:val="22"/>
          <w:szCs w:val="22"/>
        </w:rPr>
      </w:pPr>
    </w:p>
    <w:p w14:paraId="4C067922" w14:textId="77777777" w:rsidR="00FE75D7" w:rsidRDefault="00FE75D7">
      <w:pPr>
        <w:spacing w:before="300" w:after="200"/>
        <w:jc w:val="center"/>
        <w:rPr>
          <w:b/>
          <w:bCs/>
          <w:color w:val="555555"/>
          <w:sz w:val="22"/>
          <w:szCs w:val="22"/>
        </w:rPr>
      </w:pPr>
    </w:p>
    <w:p w14:paraId="2F61D9B4" w14:textId="77777777" w:rsidR="00FE75D7" w:rsidRDefault="00FE75D7">
      <w:pPr>
        <w:spacing w:before="300" w:after="200"/>
        <w:jc w:val="center"/>
        <w:rPr>
          <w:b/>
          <w:bCs/>
          <w:color w:val="555555"/>
          <w:sz w:val="22"/>
          <w:szCs w:val="22"/>
        </w:rPr>
      </w:pPr>
    </w:p>
    <w:p w14:paraId="57E9ABC0" w14:textId="77777777" w:rsidR="00FE75D7" w:rsidRDefault="00FE75D7">
      <w:pPr>
        <w:spacing w:before="300" w:after="200"/>
        <w:jc w:val="center"/>
        <w:rPr>
          <w:b/>
          <w:bCs/>
          <w:color w:val="555555"/>
          <w:sz w:val="22"/>
          <w:szCs w:val="22"/>
        </w:rPr>
      </w:pPr>
    </w:p>
    <w:p w14:paraId="3A6ECB07" w14:textId="77777777" w:rsidR="00FE75D7" w:rsidRDefault="00FE75D7">
      <w:pPr>
        <w:spacing w:before="300" w:after="200"/>
        <w:jc w:val="center"/>
        <w:rPr>
          <w:b/>
          <w:bCs/>
          <w:color w:val="555555"/>
          <w:sz w:val="22"/>
          <w:szCs w:val="22"/>
        </w:rPr>
      </w:pPr>
    </w:p>
    <w:p w14:paraId="476FA30F" w14:textId="77777777" w:rsidR="00FE75D7" w:rsidRDefault="00FE75D7">
      <w:pPr>
        <w:spacing w:before="300" w:after="200"/>
        <w:jc w:val="center"/>
        <w:rPr>
          <w:b/>
          <w:bCs/>
          <w:color w:val="555555"/>
          <w:sz w:val="22"/>
          <w:szCs w:val="22"/>
        </w:rPr>
      </w:pPr>
    </w:p>
    <w:p w14:paraId="20CF5649" w14:textId="77777777" w:rsidR="00FE75D7" w:rsidRDefault="00FE75D7">
      <w:pPr>
        <w:spacing w:before="300" w:after="200"/>
        <w:jc w:val="center"/>
        <w:rPr>
          <w:b/>
          <w:bCs/>
          <w:color w:val="555555"/>
          <w:sz w:val="22"/>
          <w:szCs w:val="22"/>
        </w:rPr>
      </w:pPr>
    </w:p>
    <w:p w14:paraId="4D2DEE35" w14:textId="77777777" w:rsidR="00FE75D7" w:rsidRDefault="00FE75D7">
      <w:pPr>
        <w:spacing w:before="300" w:after="200"/>
        <w:jc w:val="center"/>
        <w:rPr>
          <w:b/>
          <w:bCs/>
          <w:color w:val="555555"/>
          <w:sz w:val="22"/>
          <w:szCs w:val="22"/>
        </w:rPr>
      </w:pPr>
    </w:p>
    <w:p w14:paraId="7618503A" w14:textId="77777777" w:rsidR="00FE75D7" w:rsidRDefault="00FE75D7">
      <w:pPr>
        <w:spacing w:before="300" w:after="200"/>
        <w:jc w:val="center"/>
        <w:rPr>
          <w:b/>
          <w:bCs/>
          <w:color w:val="555555"/>
          <w:sz w:val="22"/>
          <w:szCs w:val="22"/>
        </w:rPr>
      </w:pPr>
    </w:p>
    <w:p w14:paraId="1DCAAD45" w14:textId="77777777" w:rsidR="00FE75D7" w:rsidRDefault="00FE75D7">
      <w:pPr>
        <w:spacing w:before="300" w:after="200"/>
        <w:jc w:val="center"/>
        <w:rPr>
          <w:b/>
          <w:bCs/>
          <w:color w:val="555555"/>
          <w:sz w:val="22"/>
          <w:szCs w:val="22"/>
        </w:rPr>
      </w:pPr>
    </w:p>
    <w:p w14:paraId="0365EEA3" w14:textId="77777777" w:rsidR="00FE75D7" w:rsidRDefault="00FE75D7">
      <w:pPr>
        <w:spacing w:before="300" w:after="200"/>
        <w:jc w:val="center"/>
        <w:rPr>
          <w:b/>
          <w:bCs/>
          <w:color w:val="555555"/>
          <w:sz w:val="22"/>
          <w:szCs w:val="22"/>
        </w:rPr>
      </w:pPr>
    </w:p>
    <w:p w14:paraId="78808A06" w14:textId="77777777" w:rsidR="00FE75D7" w:rsidRDefault="00FE75D7">
      <w:pPr>
        <w:spacing w:before="300" w:after="200"/>
        <w:jc w:val="center"/>
        <w:rPr>
          <w:b/>
          <w:bCs/>
          <w:color w:val="555555"/>
          <w:sz w:val="22"/>
          <w:szCs w:val="22"/>
        </w:rPr>
      </w:pPr>
    </w:p>
    <w:p w14:paraId="763C0BD3" w14:textId="77777777" w:rsidR="00FE75D7" w:rsidRDefault="00FE75D7">
      <w:pPr>
        <w:spacing w:before="300" w:after="200"/>
        <w:jc w:val="center"/>
        <w:rPr>
          <w:b/>
          <w:bCs/>
          <w:color w:val="555555"/>
          <w:sz w:val="22"/>
          <w:szCs w:val="22"/>
        </w:rPr>
      </w:pPr>
    </w:p>
    <w:p w14:paraId="789EA365" w14:textId="77777777" w:rsidR="00FE75D7" w:rsidRDefault="00FE75D7">
      <w:pPr>
        <w:spacing w:before="300" w:after="200"/>
        <w:jc w:val="center"/>
        <w:rPr>
          <w:b/>
          <w:bCs/>
          <w:color w:val="555555"/>
          <w:sz w:val="22"/>
          <w:szCs w:val="22"/>
        </w:rPr>
      </w:pPr>
    </w:p>
    <w:p w14:paraId="78EF62BB" w14:textId="77777777" w:rsidR="00FE75D7" w:rsidRDefault="00FE75D7">
      <w:pPr>
        <w:spacing w:before="300" w:after="200"/>
        <w:jc w:val="center"/>
        <w:rPr>
          <w:b/>
          <w:bCs/>
          <w:color w:val="555555"/>
          <w:sz w:val="22"/>
          <w:szCs w:val="22"/>
        </w:rPr>
      </w:pPr>
    </w:p>
    <w:p w14:paraId="12ABA8AE" w14:textId="77777777" w:rsidR="00FE75D7" w:rsidRDefault="00FE75D7">
      <w:pPr>
        <w:spacing w:before="300" w:after="200"/>
        <w:jc w:val="center"/>
        <w:rPr>
          <w:b/>
          <w:bCs/>
          <w:color w:val="555555"/>
          <w:sz w:val="22"/>
          <w:szCs w:val="22"/>
        </w:rPr>
      </w:pPr>
    </w:p>
    <w:p w14:paraId="5E72E1B8" w14:textId="77777777" w:rsidR="00FE75D7" w:rsidRDefault="00FE75D7">
      <w:pPr>
        <w:spacing w:before="300" w:after="200"/>
        <w:jc w:val="center"/>
        <w:rPr>
          <w:b/>
          <w:bCs/>
          <w:color w:val="555555"/>
          <w:sz w:val="22"/>
          <w:szCs w:val="22"/>
        </w:rPr>
      </w:pPr>
    </w:p>
    <w:p w14:paraId="784A26C2" w14:textId="77777777" w:rsidR="00FE75D7" w:rsidRDefault="00FE75D7">
      <w:pPr>
        <w:spacing w:before="300" w:after="200"/>
        <w:jc w:val="center"/>
        <w:rPr>
          <w:b/>
          <w:bCs/>
          <w:color w:val="555555"/>
          <w:sz w:val="22"/>
          <w:szCs w:val="22"/>
        </w:rPr>
      </w:pPr>
    </w:p>
    <w:p w14:paraId="4FBDD54A" w14:textId="77777777" w:rsidR="00FE75D7" w:rsidRDefault="00FE75D7">
      <w:pPr>
        <w:spacing w:before="300" w:after="200"/>
        <w:jc w:val="center"/>
        <w:rPr>
          <w:b/>
          <w:bCs/>
          <w:color w:val="555555"/>
          <w:sz w:val="22"/>
          <w:szCs w:val="22"/>
        </w:rPr>
      </w:pPr>
    </w:p>
    <w:p w14:paraId="40AC589E" w14:textId="77777777" w:rsidR="00FE75D7" w:rsidRDefault="00000000">
      <w:pPr>
        <w:spacing w:before="300" w:after="200"/>
        <w:jc w:val="center"/>
        <w:rPr>
          <w:b/>
          <w:bCs/>
          <w:color w:val="555555"/>
          <w:sz w:val="22"/>
          <w:szCs w:val="22"/>
        </w:rPr>
      </w:pPr>
      <w:r>
        <w:rPr>
          <w:b/>
          <w:bCs/>
          <w:noProof/>
          <w:color w:val="555555"/>
          <w:sz w:val="22"/>
          <w:szCs w:val="22"/>
        </w:rPr>
        <w:lastRenderedPageBreak/>
        <w:drawing>
          <wp:inline distT="114300" distB="114300" distL="114300" distR="114300" wp14:anchorId="2ED06BFB" wp14:editId="0CCB5A12">
            <wp:extent cx="6172200" cy="2806700"/>
            <wp:effectExtent l="0" t="0" r="0" b="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7"/>
                    <a:srcRect/>
                    <a:stretch>
                      <a:fillRect/>
                    </a:stretch>
                  </pic:blipFill>
                  <pic:spPr>
                    <a:xfrm>
                      <a:off x="0" y="0"/>
                      <a:ext cx="6172200" cy="2806700"/>
                    </a:xfrm>
                    <a:prstGeom prst="rect">
                      <a:avLst/>
                    </a:prstGeom>
                    <a:ln/>
                  </pic:spPr>
                </pic:pic>
              </a:graphicData>
            </a:graphic>
          </wp:inline>
        </w:drawing>
      </w:r>
    </w:p>
    <w:sectPr w:rsidR="00FE75D7">
      <w:headerReference w:type="default" r:id="rId8"/>
      <w:footerReference w:type="default" r:id="rId9"/>
      <w:pgSz w:w="12240" w:h="15840"/>
      <w:pgMar w:top="1440" w:right="1260" w:bottom="1440" w:left="1260"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35C87D0" w14:textId="77777777" w:rsidR="005C10F8" w:rsidRDefault="005C10F8">
      <w:r>
        <w:separator/>
      </w:r>
    </w:p>
  </w:endnote>
  <w:endnote w:type="continuationSeparator" w:id="0">
    <w:p w14:paraId="3D57660B" w14:textId="77777777" w:rsidR="005C10F8" w:rsidRDefault="005C10F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auto"/>
    <w:pitch w:val="default"/>
    <w:embedItalic r:id="rId1" w:fontKey="{C4B997BC-6502-47E7-8379-39986ED56027}"/>
  </w:font>
  <w:font w:name="Calibri">
    <w:panose1 w:val="020F0502020204030204"/>
    <w:charset w:val="00"/>
    <w:family w:val="swiss"/>
    <w:pitch w:val="variable"/>
    <w:sig w:usb0="E4002EFF" w:usb1="C200247B" w:usb2="00000009" w:usb3="00000000" w:csb0="000001FF" w:csb1="00000000"/>
    <w:embedRegular r:id="rId2" w:fontKey="{A6111C81-DD93-4077-80D1-58D133CE555E}"/>
  </w:font>
  <w:font w:name="Mangal">
    <w:panose1 w:val="02040503050203030202"/>
    <w:charset w:val="00"/>
    <w:family w:val="roman"/>
    <w:pitch w:val="variable"/>
    <w:sig w:usb0="00008003" w:usb1="00000000" w:usb2="00000000" w:usb3="00000000" w:csb0="00000001" w:csb1="00000000"/>
    <w:embedRegular r:id="rId3" w:fontKey="{1409F845-6C21-413D-BC04-8EC732E40D2F}"/>
  </w:font>
  <w:font w:name="Cambria">
    <w:panose1 w:val="02040503050406030204"/>
    <w:charset w:val="00"/>
    <w:family w:val="roman"/>
    <w:pitch w:val="variable"/>
    <w:sig w:usb0="E00006FF" w:usb1="420024FF" w:usb2="02000000" w:usb3="00000000" w:csb0="0000019F" w:csb1="00000000"/>
    <w:embedRegular r:id="rId4" w:fontKey="{AD35FEA5-C2A3-46E4-835F-93DA062A227B}"/>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D3E694" w14:textId="77777777" w:rsidR="00FE75D7" w:rsidRDefault="00000000">
    <w:pPr>
      <w:pBdr>
        <w:top w:val="single" w:sz="6" w:space="1" w:color="2E4999"/>
      </w:pBdr>
      <w:spacing w:before="120"/>
      <w:jc w:val="center"/>
    </w:pPr>
    <w:r>
      <w:rPr>
        <w:sz w:val="18"/>
        <w:szCs w:val="18"/>
      </w:rPr>
      <w:t xml:space="preserve">Page </w:t>
    </w:r>
    <w:r>
      <w:rPr>
        <w:sz w:val="18"/>
        <w:szCs w:val="18"/>
      </w:rPr>
      <w:fldChar w:fldCharType="begin"/>
    </w:r>
    <w:r>
      <w:rPr>
        <w:sz w:val="18"/>
        <w:szCs w:val="18"/>
      </w:rPr>
      <w:instrText>PAGE</w:instrText>
    </w:r>
    <w:r>
      <w:rPr>
        <w:sz w:val="18"/>
        <w:szCs w:val="18"/>
      </w:rPr>
      <w:fldChar w:fldCharType="separate"/>
    </w:r>
    <w:r w:rsidR="001D4D81">
      <w:rPr>
        <w:noProof/>
        <w:sz w:val="18"/>
        <w:szCs w:val="18"/>
      </w:rPr>
      <w:t>1</w:t>
    </w:r>
    <w:r>
      <w:rPr>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1F65232" w14:textId="77777777" w:rsidR="005C10F8" w:rsidRDefault="005C10F8">
      <w:r>
        <w:separator/>
      </w:r>
    </w:p>
  </w:footnote>
  <w:footnote w:type="continuationSeparator" w:id="0">
    <w:p w14:paraId="26F60E9E" w14:textId="77777777" w:rsidR="005C10F8" w:rsidRDefault="005C10F8">
      <w:r>
        <w:continuationSeparator/>
      </w:r>
    </w:p>
  </w:footnote>
  <w:footnote w:id="1">
    <w:p w14:paraId="3368B871" w14:textId="77777777" w:rsidR="00FE75D7" w:rsidRDefault="00000000">
      <w:pPr>
        <w:spacing w:after="80"/>
      </w:pPr>
      <w:r>
        <w:rPr>
          <w:rStyle w:val="FootnoteReference"/>
        </w:rPr>
        <w:footnoteRef/>
      </w:r>
      <w:r>
        <w:rPr>
          <w:sz w:val="18"/>
          <w:szCs w:val="18"/>
        </w:rPr>
        <w:t>Information Technology Act, 2000, No. 21, Acts of Parliament, 2000 (India).</w:t>
      </w:r>
    </w:p>
  </w:footnote>
  <w:footnote w:id="2">
    <w:p w14:paraId="53789713" w14:textId="77777777" w:rsidR="00FE75D7" w:rsidRDefault="00000000">
      <w:pPr>
        <w:spacing w:after="80"/>
      </w:pPr>
      <w:r>
        <w:rPr>
          <w:rStyle w:val="FootnoteReference"/>
        </w:rPr>
        <w:footnoteRef/>
      </w:r>
      <w:r>
        <w:rPr>
          <w:sz w:val="18"/>
          <w:szCs w:val="18"/>
        </w:rPr>
        <w:t>Personal Data Protection Bill, 2019, Bill No. 373 of 2019 (India) [lapsed]; Digital Personal Data Protection Act, 2023, No. 22, Acts of Parliament, 2023 (India).</w:t>
      </w:r>
    </w:p>
  </w:footnote>
  <w:footnote w:id="3">
    <w:p w14:paraId="54488D71" w14:textId="77777777" w:rsidR="00FE75D7" w:rsidRDefault="00000000">
      <w:pPr>
        <w:spacing w:after="80"/>
      </w:pPr>
      <w:r>
        <w:rPr>
          <w:rStyle w:val="FootnoteReference"/>
        </w:rPr>
        <w:footnoteRef/>
      </w:r>
      <w:r>
        <w:rPr>
          <w:sz w:val="18"/>
          <w:szCs w:val="18"/>
        </w:rPr>
        <w:t>NASSCOM &amp; Data Security Council of India, 'India Cybersecurity Report 2022' (2022) &lt;https://www.dsci.in&gt; accessed 12 January 2025.</w:t>
      </w:r>
    </w:p>
  </w:footnote>
  <w:footnote w:id="4">
    <w:p w14:paraId="7E670436" w14:textId="77777777" w:rsidR="00FE75D7" w:rsidRDefault="00000000">
      <w:pPr>
        <w:spacing w:after="80"/>
      </w:pPr>
      <w:r>
        <w:rPr>
          <w:rStyle w:val="FootnoteReference"/>
        </w:rPr>
        <w:footnoteRef/>
      </w:r>
      <w:r>
        <w:rPr>
          <w:sz w:val="18"/>
          <w:szCs w:val="18"/>
        </w:rPr>
        <w:t>Rahul Matthan, Privacy 3.0: Unlocking Our Data Driven Future (HarperCollins India 2018) 34–67.</w:t>
      </w:r>
    </w:p>
  </w:footnote>
  <w:footnote w:id="5">
    <w:p w14:paraId="5119757D" w14:textId="77777777" w:rsidR="00FE75D7" w:rsidRDefault="00000000">
      <w:pPr>
        <w:spacing w:after="80"/>
      </w:pPr>
      <w:r>
        <w:rPr>
          <w:rStyle w:val="FootnoteReference"/>
        </w:rPr>
        <w:footnoteRef/>
      </w:r>
      <w:r>
        <w:rPr>
          <w:sz w:val="18"/>
          <w:szCs w:val="18"/>
        </w:rPr>
        <w:t>Ministry of Electronics and Information Technology, Government of India, 'Report of the Committee of Experts under the Chairmanship of Justice B.N. Srikrishna' (2018) ('Srikrishna Committee Report').</w:t>
      </w:r>
    </w:p>
  </w:footnote>
  <w:footnote w:id="6">
    <w:p w14:paraId="58BD2F93" w14:textId="77777777" w:rsidR="00FE75D7" w:rsidRDefault="00000000">
      <w:pPr>
        <w:spacing w:after="80"/>
      </w:pPr>
      <w:r>
        <w:rPr>
          <w:rStyle w:val="FootnoteReference"/>
        </w:rPr>
        <w:footnoteRef/>
      </w:r>
      <w:r>
        <w:rPr>
          <w:sz w:val="18"/>
          <w:szCs w:val="18"/>
        </w:rPr>
        <w:t>Vrinda Bhandari and Smriti Parsheera, 'Data Localisation in India: Questioning the Means and Ends' (2018) NIPFP Working Paper No. 243.</w:t>
      </w:r>
    </w:p>
  </w:footnote>
  <w:footnote w:id="7">
    <w:p w14:paraId="6CD6FB35" w14:textId="77777777" w:rsidR="00FE75D7" w:rsidRDefault="00000000">
      <w:pPr>
        <w:spacing w:after="80"/>
      </w:pPr>
      <w:r>
        <w:rPr>
          <w:rStyle w:val="FootnoteReference"/>
        </w:rPr>
        <w:footnoteRef/>
      </w:r>
      <w:r>
        <w:rPr>
          <w:sz w:val="18"/>
          <w:szCs w:val="18"/>
        </w:rPr>
        <w:t>Pavan Duggal, Cyberlaw: The Indian Perspective (Saakshar Law Publications 2020).</w:t>
      </w:r>
    </w:p>
  </w:footnote>
  <w:footnote w:id="8">
    <w:p w14:paraId="0E70142C" w14:textId="77777777" w:rsidR="00FE75D7" w:rsidRDefault="00000000">
      <w:pPr>
        <w:spacing w:after="80"/>
      </w:pPr>
      <w:r>
        <w:rPr>
          <w:rStyle w:val="FootnoteReference"/>
        </w:rPr>
        <w:footnoteRef/>
      </w:r>
      <w:r>
        <w:rPr>
          <w:sz w:val="18"/>
          <w:szCs w:val="18"/>
        </w:rPr>
        <w:t>Bedavyasa Mohanty, 'India's Data Protection Framework: An Analysis of the Digital Personal Data Protection Act 2023' (2023) Observer Research Foundation Occasional Paper.</w:t>
      </w:r>
    </w:p>
  </w:footnote>
  <w:footnote w:id="9">
    <w:p w14:paraId="7CC28F75" w14:textId="77777777" w:rsidR="00FE75D7" w:rsidRDefault="00000000">
      <w:pPr>
        <w:spacing w:after="80"/>
      </w:pPr>
      <w:r>
        <w:rPr>
          <w:rStyle w:val="FootnoteReference"/>
        </w:rPr>
        <w:footnoteRef/>
      </w:r>
      <w:r>
        <w:rPr>
          <w:sz w:val="18"/>
          <w:szCs w:val="18"/>
        </w:rPr>
        <w:t>K.S. Stallings, 'Data Privacy Law in Comparative Perspective: EU GDPR and Emerging Economies' (2021) 15 Journal of Cybersecurity 1–18.</w:t>
      </w:r>
    </w:p>
  </w:footnote>
  <w:footnote w:id="10">
    <w:p w14:paraId="4F06738A" w14:textId="77777777" w:rsidR="00FE75D7" w:rsidRDefault="00000000">
      <w:pPr>
        <w:spacing w:after="80"/>
      </w:pPr>
      <w:r>
        <w:rPr>
          <w:rStyle w:val="FootnoteReference"/>
        </w:rPr>
        <w:footnoteRef/>
      </w:r>
      <w:r>
        <w:rPr>
          <w:sz w:val="18"/>
          <w:szCs w:val="18"/>
        </w:rPr>
        <w:t>Justice K.S. Puttaswamy (Retd.) v. Union of India, (2017) 10 SCC 1 (India).</w:t>
      </w:r>
    </w:p>
  </w:footnote>
  <w:footnote w:id="11">
    <w:p w14:paraId="458B4EAC" w14:textId="77777777" w:rsidR="00FE75D7" w:rsidRDefault="00000000">
      <w:pPr>
        <w:spacing w:after="80"/>
      </w:pPr>
      <w:r>
        <w:rPr>
          <w:rStyle w:val="FootnoteReference"/>
        </w:rPr>
        <w:footnoteRef/>
      </w:r>
      <w:r>
        <w:rPr>
          <w:sz w:val="18"/>
          <w:szCs w:val="18"/>
        </w:rPr>
        <w:t>Puttaswamy (n 5) [309]–[312] (Chandrachud J).</w:t>
      </w:r>
    </w:p>
  </w:footnote>
  <w:footnote w:id="12">
    <w:p w14:paraId="0C55F8A6" w14:textId="77777777" w:rsidR="001D4D81" w:rsidRDefault="001D4D81"/>
    <w:p w14:paraId="5930BBD0" w14:textId="77777777" w:rsidR="00000000" w:rsidRDefault="00000000"/>
  </w:footnote>
  <w:footnote w:id="13">
    <w:p w14:paraId="3DA20DA7" w14:textId="77777777" w:rsidR="00FE75D7" w:rsidRDefault="00000000">
      <w:pPr>
        <w:spacing w:after="80"/>
      </w:pPr>
      <w:r>
        <w:rPr>
          <w:rStyle w:val="FootnoteReference"/>
        </w:rPr>
        <w:footnoteRef/>
      </w:r>
      <w:r>
        <w:rPr>
          <w:sz w:val="18"/>
          <w:szCs w:val="18"/>
        </w:rPr>
        <w:t>Information Technology (Amendment) Act, 2008, No. 10, Acts of Parliament, 2009 (India); Information Technology (Reasonable Security Practices and Procedures and Sensitive Personal Data or Information) Rules, 2011.</w:t>
      </w:r>
    </w:p>
  </w:footnote>
  <w:footnote w:id="14">
    <w:p w14:paraId="0CF29983" w14:textId="77777777" w:rsidR="001D4D81" w:rsidRDefault="001D4D81"/>
    <w:p w14:paraId="51F7E1E6" w14:textId="77777777" w:rsidR="00000000" w:rsidRDefault="00000000"/>
  </w:footnote>
  <w:footnote w:id="15">
    <w:p w14:paraId="2DA20DF2" w14:textId="77777777" w:rsidR="00FE75D7" w:rsidRDefault="00000000">
      <w:pPr>
        <w:spacing w:after="80"/>
      </w:pPr>
      <w:r>
        <w:rPr>
          <w:rStyle w:val="FootnoteReference"/>
        </w:rPr>
        <w:footnoteRef/>
      </w:r>
      <w:r>
        <w:rPr>
          <w:sz w:val="18"/>
          <w:szCs w:val="18"/>
        </w:rPr>
        <w:t>Digital Personal Data Protection Act, 2023, s 4(1).</w:t>
      </w:r>
    </w:p>
  </w:footnote>
  <w:footnote w:id="16">
    <w:p w14:paraId="3CFDCB24" w14:textId="77777777" w:rsidR="00FE75D7" w:rsidRDefault="00000000">
      <w:pPr>
        <w:spacing w:after="80"/>
      </w:pPr>
      <w:r>
        <w:rPr>
          <w:rStyle w:val="FootnoteReference"/>
        </w:rPr>
        <w:footnoteRef/>
      </w:r>
      <w:r>
        <w:rPr>
          <w:sz w:val="18"/>
          <w:szCs w:val="18"/>
        </w:rPr>
        <w:t>ibid, s 6.</w:t>
      </w:r>
    </w:p>
  </w:footnote>
  <w:footnote w:id="17">
    <w:p w14:paraId="6F66EFD4" w14:textId="77777777" w:rsidR="00FE75D7" w:rsidRDefault="00000000">
      <w:pPr>
        <w:spacing w:after="80"/>
      </w:pPr>
      <w:r>
        <w:rPr>
          <w:rStyle w:val="FootnoteReference"/>
        </w:rPr>
        <w:footnoteRef/>
      </w:r>
      <w:r>
        <w:rPr>
          <w:sz w:val="18"/>
          <w:szCs w:val="18"/>
        </w:rPr>
        <w:t>ibid, s 8(1)–(4).</w:t>
      </w:r>
    </w:p>
  </w:footnote>
  <w:footnote w:id="18">
    <w:p w14:paraId="5B0B8A5B" w14:textId="77777777" w:rsidR="00FE75D7" w:rsidRDefault="00000000">
      <w:pPr>
        <w:spacing w:after="80"/>
      </w:pPr>
      <w:r>
        <w:rPr>
          <w:rStyle w:val="FootnoteReference"/>
        </w:rPr>
        <w:footnoteRef/>
      </w:r>
      <w:r>
        <w:rPr>
          <w:sz w:val="18"/>
          <w:szCs w:val="18"/>
        </w:rPr>
        <w:t>ibid, s 33–34; Data Protection Board of India.</w:t>
      </w:r>
    </w:p>
  </w:footnote>
  <w:footnote w:id="19">
    <w:p w14:paraId="64C7A617" w14:textId="77777777" w:rsidR="001D4D81" w:rsidRDefault="001D4D81"/>
    <w:p w14:paraId="5A3BA2CF" w14:textId="77777777" w:rsidR="00000000" w:rsidRDefault="00000000"/>
  </w:footnote>
  <w:footnote w:id="20">
    <w:p w14:paraId="3CE1D2F7" w14:textId="77777777" w:rsidR="00FE75D7" w:rsidRDefault="00000000">
      <w:pPr>
        <w:spacing w:after="80"/>
      </w:pPr>
      <w:r>
        <w:rPr>
          <w:rStyle w:val="FootnoteReference"/>
        </w:rPr>
        <w:footnoteRef/>
      </w:r>
      <w:r>
        <w:rPr>
          <w:sz w:val="18"/>
          <w:szCs w:val="18"/>
        </w:rPr>
        <w:t>European Data Protection Board, 'Guidelines 05/2020 on Consent under Regulation 2016/679' (4 May 2020).</w:t>
      </w:r>
    </w:p>
  </w:footnote>
  <w:footnote w:id="21">
    <w:p w14:paraId="3E67198F" w14:textId="77777777" w:rsidR="00FE75D7" w:rsidRDefault="00000000">
      <w:pPr>
        <w:spacing w:after="80"/>
      </w:pPr>
      <w:r>
        <w:rPr>
          <w:rStyle w:val="FootnoteReference"/>
        </w:rPr>
        <w:footnoteRef/>
      </w:r>
      <w:r>
        <w:rPr>
          <w:sz w:val="18"/>
          <w:szCs w:val="18"/>
        </w:rPr>
        <w:t>Consumer Protection Act, 2019, No. 35, Acts of Parliament, 2019 (India), s 2(9).</w:t>
      </w:r>
    </w:p>
  </w:footnote>
  <w:footnote w:id="22">
    <w:p w14:paraId="144C55E6" w14:textId="77777777" w:rsidR="001D4D81" w:rsidRDefault="001D4D81"/>
    <w:p w14:paraId="4F880EF4" w14:textId="77777777" w:rsidR="00000000" w:rsidRDefault="00000000"/>
  </w:footnote>
  <w:footnote w:id="23">
    <w:p w14:paraId="31B27B89" w14:textId="77777777" w:rsidR="00FE75D7" w:rsidRDefault="00000000">
      <w:pPr>
        <w:spacing w:after="80"/>
      </w:pPr>
      <w:r>
        <w:rPr>
          <w:rStyle w:val="FootnoteReference"/>
        </w:rPr>
        <w:footnoteRef/>
      </w:r>
      <w:r>
        <w:rPr>
          <w:sz w:val="18"/>
          <w:szCs w:val="18"/>
        </w:rPr>
        <w:t>CERT-In, 'Directions Under Section 70B(6) of the Information Technology Act, 2000' (April 28, 2022), Ministry of Electronics and Information Technology.</w:t>
      </w:r>
    </w:p>
  </w:footnote>
  <w:footnote w:id="24">
    <w:p w14:paraId="273A08E5" w14:textId="77777777" w:rsidR="00FE75D7" w:rsidRDefault="00000000">
      <w:pPr>
        <w:spacing w:after="80"/>
      </w:pPr>
      <w:r>
        <w:rPr>
          <w:rStyle w:val="FootnoteReference"/>
        </w:rPr>
        <w:footnoteRef/>
      </w:r>
      <w:r>
        <w:rPr>
          <w:sz w:val="18"/>
          <w:szCs w:val="18"/>
        </w:rPr>
        <w:t>Indian Computer Emergency Response Team (CERT-In), 'Annual Report 2022–23' (2023).</w:t>
      </w:r>
    </w:p>
  </w:footnote>
  <w:footnote w:id="25">
    <w:p w14:paraId="7873EFA9" w14:textId="77777777" w:rsidR="00FE75D7" w:rsidRDefault="00000000">
      <w:pPr>
        <w:spacing w:after="80"/>
      </w:pPr>
      <w:r>
        <w:rPr>
          <w:rStyle w:val="FootnoteReference"/>
        </w:rPr>
        <w:footnoteRef/>
      </w:r>
      <w:r>
        <w:rPr>
          <w:sz w:val="18"/>
          <w:szCs w:val="18"/>
        </w:rPr>
        <w:t>National Cyber Security Policy, 2013, Ministry of Electronics and Information Technology, Government of India.</w:t>
      </w:r>
    </w:p>
  </w:footnote>
  <w:footnote w:id="26">
    <w:p w14:paraId="12BE289F" w14:textId="77777777" w:rsidR="00FE75D7" w:rsidRDefault="00000000">
      <w:pPr>
        <w:spacing w:after="80"/>
      </w:pPr>
      <w:r>
        <w:rPr>
          <w:rStyle w:val="FootnoteReference"/>
        </w:rPr>
        <w:footnoteRef/>
      </w:r>
      <w:r>
        <w:rPr>
          <w:sz w:val="18"/>
          <w:szCs w:val="18"/>
        </w:rPr>
        <w:t>Reserve Bank of India, 'Storage of Payment System Data' (Circular No. RBI/2017-18/153, 6 April 2018).</w:t>
      </w:r>
    </w:p>
  </w:footnote>
  <w:footnote w:id="27">
    <w:p w14:paraId="242929EA" w14:textId="77777777" w:rsidR="00FE75D7" w:rsidRDefault="00000000">
      <w:pPr>
        <w:spacing w:after="80"/>
      </w:pPr>
      <w:r>
        <w:rPr>
          <w:rStyle w:val="FootnoteReference"/>
        </w:rPr>
        <w:footnoteRef/>
      </w:r>
      <w:r>
        <w:rPr>
          <w:sz w:val="18"/>
          <w:szCs w:val="18"/>
        </w:rPr>
        <w:t>TRAI, Recommendations on Privacy, Security and Ownership of the Data in the Telecom Sector (16 July 2018).</w:t>
      </w:r>
    </w:p>
  </w:footnote>
  <w:footnote w:id="28">
    <w:p w14:paraId="5A39BACA" w14:textId="77777777" w:rsidR="00FE75D7" w:rsidRDefault="00000000">
      <w:pPr>
        <w:spacing w:after="80"/>
      </w:pPr>
      <w:r>
        <w:rPr>
          <w:rStyle w:val="FootnoteReference"/>
        </w:rPr>
        <w:footnoteRef/>
      </w:r>
      <w:r>
        <w:rPr>
          <w:sz w:val="18"/>
          <w:szCs w:val="18"/>
        </w:rPr>
        <w:t>ibid, s 2(47); Consumer Protection (E-Commerce) Rules, 2020.</w:t>
      </w:r>
    </w:p>
  </w:footnote>
  <w:footnote w:id="29">
    <w:p w14:paraId="73BFCDD7" w14:textId="77777777" w:rsidR="00FE75D7" w:rsidRDefault="00000000">
      <w:pPr>
        <w:spacing w:after="80"/>
      </w:pPr>
      <w:r>
        <w:rPr>
          <w:rStyle w:val="FootnoteReference"/>
        </w:rPr>
        <w:footnoteRef/>
      </w:r>
      <w:r>
        <w:rPr>
          <w:sz w:val="18"/>
          <w:szCs w:val="18"/>
        </w:rPr>
        <w:t>National Payment Corporation of India (NPCI), 'Annual Report 2022–23' (2023); RBI Report on Currency and Finance 2022–23.</w:t>
      </w:r>
    </w:p>
  </w:footnote>
  <w:footnote w:id="30">
    <w:p w14:paraId="2048B7FB" w14:textId="77777777" w:rsidR="00FE75D7" w:rsidRDefault="00000000">
      <w:pPr>
        <w:spacing w:after="80"/>
      </w:pPr>
      <w:r>
        <w:rPr>
          <w:rStyle w:val="FootnoteReference"/>
        </w:rPr>
        <w:footnoteRef/>
      </w:r>
      <w:r>
        <w:rPr>
          <w:sz w:val="18"/>
          <w:szCs w:val="18"/>
        </w:rPr>
        <w:t>Digital Personal Data Protection Act, 2023, s 9 (processing of children's data); s 10 (significant data fiduciaries).</w:t>
      </w:r>
    </w:p>
  </w:footnote>
  <w:footnote w:id="31">
    <w:p w14:paraId="20C6C9DD" w14:textId="77777777" w:rsidR="00FE75D7" w:rsidRDefault="00000000">
      <w:pPr>
        <w:spacing w:after="80"/>
      </w:pPr>
      <w:r>
        <w:rPr>
          <w:rStyle w:val="FootnoteReference"/>
        </w:rPr>
        <w:footnoteRef/>
      </w:r>
      <w:r>
        <w:rPr>
          <w:sz w:val="18"/>
          <w:szCs w:val="18"/>
        </w:rPr>
        <w:t>General Data Protection Regulation (EU) 2016/679, O.J. (L 119) 1 (May 4, 2016).</w:t>
      </w:r>
    </w:p>
  </w:footnote>
  <w:footnote w:id="32">
    <w:p w14:paraId="053AE72D" w14:textId="77777777" w:rsidR="001D4D81" w:rsidRDefault="001D4D81"/>
    <w:p w14:paraId="3FC34C31" w14:textId="77777777" w:rsidR="00000000" w:rsidRDefault="00000000"/>
  </w:footnote>
  <w:footnote w:id="33">
    <w:p w14:paraId="424EB909" w14:textId="77777777" w:rsidR="001D4D81" w:rsidRDefault="001D4D81"/>
    <w:p w14:paraId="611D61D0" w14:textId="77777777" w:rsidR="00000000" w:rsidRDefault="00000000"/>
  </w:footnote>
  <w:footnote w:id="34">
    <w:p w14:paraId="3F3E56B5" w14:textId="77777777" w:rsidR="00FE75D7" w:rsidRDefault="00000000">
      <w:pPr>
        <w:spacing w:after="80"/>
      </w:pPr>
      <w:r>
        <w:rPr>
          <w:rStyle w:val="FootnoteReference"/>
        </w:rPr>
        <w:footnoteRef/>
      </w:r>
      <w:r>
        <w:rPr>
          <w:sz w:val="18"/>
          <w:szCs w:val="18"/>
        </w:rPr>
        <w:t>DPDPA 2023, s 5 (notice), s 6 (consent), s 12–13 (exemptions for State and research).</w:t>
      </w:r>
    </w:p>
  </w:footnote>
  <w:footnote w:id="35">
    <w:p w14:paraId="5591380B" w14:textId="77777777" w:rsidR="00FE75D7" w:rsidRDefault="00000000">
      <w:pPr>
        <w:spacing w:after="80"/>
      </w:pPr>
      <w:r>
        <w:rPr>
          <w:rStyle w:val="FootnoteReference"/>
        </w:rPr>
        <w:footnoteRef/>
      </w:r>
      <w:r>
        <w:rPr>
          <w:sz w:val="18"/>
          <w:szCs w:val="18"/>
        </w:rPr>
        <w:t>ibid, s 17.</w:t>
      </w:r>
    </w:p>
  </w:footnote>
  <w:footnote w:id="36">
    <w:p w14:paraId="3F1FD31D" w14:textId="77777777" w:rsidR="001D4D81" w:rsidRDefault="001D4D81"/>
    <w:p w14:paraId="42F2E690" w14:textId="77777777" w:rsidR="00000000" w:rsidRDefault="00000000"/>
  </w:footnote>
  <w:footnote w:id="37">
    <w:p w14:paraId="7B83F2C8" w14:textId="77777777" w:rsidR="00FE75D7" w:rsidRDefault="00000000">
      <w:pPr>
        <w:spacing w:after="80"/>
      </w:pPr>
      <w:r>
        <w:rPr>
          <w:rStyle w:val="FootnoteReference"/>
        </w:rPr>
        <w:footnoteRef/>
      </w:r>
      <w:r>
        <w:rPr>
          <w:sz w:val="18"/>
          <w:szCs w:val="18"/>
        </w:rPr>
        <w:t>Telecom Commercial Communications Customer Preference Regulations, 2018, TRAI; Digital Personal Data Protection Act, 2023, s 14–15.</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2B784C" w14:textId="77777777" w:rsidR="00FE75D7" w:rsidRDefault="00000000">
    <w:pPr>
      <w:pBdr>
        <w:bottom w:val="single" w:sz="6" w:space="1" w:color="2E4999"/>
      </w:pBdr>
      <w:spacing w:after="120"/>
    </w:pPr>
    <w:r>
      <w:rPr>
        <w:color w:val="555555"/>
        <w:sz w:val="18"/>
        <w:szCs w:val="18"/>
      </w:rPr>
      <w:t>Consumer Perspectives on Cybersecurity and Data Privacy: Policy and Regulations in India</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E75D7"/>
    <w:rsid w:val="001D4D81"/>
    <w:rsid w:val="005C10F8"/>
    <w:rsid w:val="00C44183"/>
    <w:rsid w:val="00FE75D7"/>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A456E2"/>
  <w15:docId w15:val="{4824F2C6-3F20-4FD9-B1A5-E4D1AF2F54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n-IN" w:eastAsia="en-IN" w:bidi="hi-IN"/>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pBdr>
        <w:top w:val="nil"/>
        <w:left w:val="nil"/>
        <w:bottom w:val="nil"/>
        <w:right w:val="nil"/>
        <w:between w:val="nil"/>
      </w:pBdr>
      <w:spacing w:before="320" w:after="160"/>
      <w:outlineLvl w:val="0"/>
    </w:pPr>
    <w:rPr>
      <w:b/>
      <w:bCs/>
      <w:color w:val="000000"/>
      <w:sz w:val="28"/>
      <w:szCs w:val="28"/>
    </w:rPr>
  </w:style>
  <w:style w:type="paragraph" w:styleId="Heading2">
    <w:name w:val="heading 2"/>
    <w:basedOn w:val="Normal"/>
    <w:next w:val="Normal"/>
    <w:uiPriority w:val="9"/>
    <w:unhideWhenUsed/>
    <w:qFormat/>
    <w:pPr>
      <w:pBdr>
        <w:top w:val="nil"/>
        <w:left w:val="nil"/>
        <w:bottom w:val="nil"/>
        <w:right w:val="nil"/>
        <w:between w:val="nil"/>
      </w:pBdr>
      <w:spacing w:before="240" w:after="120"/>
      <w:outlineLvl w:val="1"/>
    </w:pPr>
    <w:rPr>
      <w:b/>
      <w:bCs/>
      <w:color w:val="000000"/>
      <w:sz w:val="26"/>
      <w:szCs w:val="26"/>
    </w:rPr>
  </w:style>
  <w:style w:type="paragraph" w:styleId="Heading3">
    <w:name w:val="heading 3"/>
    <w:basedOn w:val="Normal"/>
    <w:next w:val="Normal"/>
    <w:uiPriority w:val="9"/>
    <w:semiHidden/>
    <w:unhideWhenUsed/>
    <w:qFormat/>
    <w:pPr>
      <w:pBdr>
        <w:top w:val="nil"/>
        <w:left w:val="nil"/>
        <w:bottom w:val="nil"/>
        <w:right w:val="nil"/>
        <w:between w:val="nil"/>
      </w:pBdr>
      <w:outlineLvl w:val="2"/>
    </w:pPr>
    <w:rPr>
      <w:color w:val="1F4D78"/>
    </w:rPr>
  </w:style>
  <w:style w:type="paragraph" w:styleId="Heading4">
    <w:name w:val="heading 4"/>
    <w:basedOn w:val="Normal"/>
    <w:next w:val="Normal"/>
    <w:uiPriority w:val="9"/>
    <w:semiHidden/>
    <w:unhideWhenUsed/>
    <w:qFormat/>
    <w:pPr>
      <w:pBdr>
        <w:top w:val="nil"/>
        <w:left w:val="nil"/>
        <w:bottom w:val="nil"/>
        <w:right w:val="nil"/>
        <w:between w:val="nil"/>
      </w:pBdr>
      <w:outlineLvl w:val="3"/>
    </w:pPr>
    <w:rPr>
      <w:i/>
      <w:iCs/>
      <w:color w:val="2E74B5"/>
    </w:rPr>
  </w:style>
  <w:style w:type="paragraph" w:styleId="Heading5">
    <w:name w:val="heading 5"/>
    <w:basedOn w:val="Normal"/>
    <w:next w:val="Normal"/>
    <w:uiPriority w:val="9"/>
    <w:semiHidden/>
    <w:unhideWhenUsed/>
    <w:qFormat/>
    <w:pPr>
      <w:pBdr>
        <w:top w:val="nil"/>
        <w:left w:val="nil"/>
        <w:bottom w:val="nil"/>
        <w:right w:val="nil"/>
        <w:between w:val="nil"/>
      </w:pBdr>
      <w:outlineLvl w:val="4"/>
    </w:pPr>
    <w:rPr>
      <w:color w:val="2E74B5"/>
    </w:rPr>
  </w:style>
  <w:style w:type="paragraph" w:styleId="Heading6">
    <w:name w:val="heading 6"/>
    <w:basedOn w:val="Normal"/>
    <w:next w:val="Normal"/>
    <w:uiPriority w:val="9"/>
    <w:semiHidden/>
    <w:unhideWhenUsed/>
    <w:qFormat/>
    <w:pPr>
      <w:pBdr>
        <w:top w:val="nil"/>
        <w:left w:val="nil"/>
        <w:bottom w:val="nil"/>
        <w:right w:val="nil"/>
        <w:between w:val="nil"/>
      </w:pBd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pBdr>
        <w:top w:val="nil"/>
        <w:left w:val="nil"/>
        <w:bottom w:val="nil"/>
        <w:right w:val="nil"/>
        <w:between w:val="nil"/>
      </w:pBdr>
    </w:pPr>
    <w:rPr>
      <w:color w:val="000000"/>
      <w:sz w:val="56"/>
      <w:szCs w:val="56"/>
    </w:rPr>
  </w:style>
  <w:style w:type="paragraph" w:customStyle="1" w:styleId="Strong1">
    <w:name w:val="Strong1"/>
    <w:basedOn w:val="Normal"/>
    <w:next w:val="Normal"/>
    <w:qFormat/>
    <w:rPr>
      <w:b/>
      <w:bCs/>
    </w:rPr>
  </w:style>
  <w:style w:type="paragraph" w:styleId="ListParagraph">
    <w:name w:val="List Paragraph"/>
    <w:basedOn w:val="Normal"/>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basedOn w:val="Normal"/>
    <w:link w:val="FootnoteTextChar"/>
    <w:uiPriority w:val="99"/>
    <w:semiHidden/>
    <w:unhideWhenUsed/>
    <w:rPr>
      <w:sz w:val="20"/>
      <w:szCs w:val="20"/>
    </w:rPr>
  </w:style>
  <w:style w:type="character" w:customStyle="1" w:styleId="FootnoteTextChar">
    <w:name w:val="Footnote Text Char"/>
    <w:link w:val="FootnoteText"/>
    <w:uiPriority w:val="99"/>
    <w:semiHidden/>
    <w:unhideWhenUsed/>
    <w:rPr>
      <w:sz w:val="20"/>
      <w:szCs w:val="20"/>
    </w:rPr>
  </w:style>
  <w:style w:type="paragraph" w:styleId="Subtitle">
    <w:name w:val="Subtitle"/>
    <w:basedOn w:val="Normal"/>
    <w:next w:val="Normal"/>
    <w:uiPriority w:val="11"/>
    <w:qFormat/>
    <w:pPr>
      <w:keepNext/>
      <w:keepLines/>
      <w:spacing w:before="360" w:after="80"/>
    </w:pPr>
    <w:rPr>
      <w:rFonts w:ascii="Georgia" w:eastAsia="Georgia" w:hAnsi="Georgia" w:cs="Georgia"/>
      <w:i/>
      <w:iCs/>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Wm0ilHr5WTWsoALlhjcn15Qcpuw==">CgMxLjA4AHIhMTVnUGRuYWV5TFZQY0I1NHJDbzRhUElrVlpwLW9LMWE3</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23</Pages>
  <Words>6372</Words>
  <Characters>36326</Characters>
  <Application>Microsoft Office Word</Application>
  <DocSecurity>0</DocSecurity>
  <Lines>302</Lines>
  <Paragraphs>85</Paragraphs>
  <ScaleCrop>false</ScaleCrop>
  <Company/>
  <LinksUpToDate>false</LinksUpToDate>
  <CharactersWithSpaces>42613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Shubhi Shukla</cp:lastModifiedBy>
  <cp:revision>1</cp:revision>
  <dcterms:created xsi:type="dcterms:W3CDTF">2026-03-26T04:16:00Z</dcterms:created>
  <dcterms:modified xsi:type="dcterms:W3CDTF">2026-03-26T05:44:00Z</dcterms:modified>
</cp:coreProperties>
</file>