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698DC" w14:textId="77777777" w:rsidR="00D22973" w:rsidRPr="001441B3" w:rsidRDefault="00D22973" w:rsidP="001441B3">
      <w:pPr>
        <w:pStyle w:val="p1"/>
        <w:spacing w:line="360" w:lineRule="auto"/>
        <w:jc w:val="center"/>
        <w:rPr>
          <w:sz w:val="24"/>
          <w:szCs w:val="24"/>
        </w:rPr>
      </w:pPr>
      <w:r w:rsidRPr="001441B3">
        <w:rPr>
          <w:b/>
          <w:bCs/>
          <w:sz w:val="24"/>
          <w:szCs w:val="24"/>
        </w:rPr>
        <w:t>Equal Laws and Unequal Earth: Application of Deborah Stone’s Policy Paradox to</w:t>
      </w:r>
    </w:p>
    <w:p w14:paraId="3382F036" w14:textId="77777777" w:rsidR="00D22973" w:rsidRPr="001441B3" w:rsidRDefault="00D22973" w:rsidP="001441B3">
      <w:pPr>
        <w:pStyle w:val="p1"/>
        <w:spacing w:line="360" w:lineRule="auto"/>
        <w:jc w:val="center"/>
        <w:rPr>
          <w:b/>
          <w:bCs/>
          <w:sz w:val="24"/>
          <w:szCs w:val="24"/>
        </w:rPr>
      </w:pPr>
      <w:r w:rsidRPr="001441B3">
        <w:rPr>
          <w:b/>
          <w:bCs/>
          <w:sz w:val="24"/>
          <w:szCs w:val="24"/>
        </w:rPr>
        <w:t>Environmental Law Enforcement in India”</w:t>
      </w:r>
    </w:p>
    <w:p w14:paraId="597ABC71" w14:textId="77777777" w:rsidR="00D22973" w:rsidRPr="001441B3" w:rsidRDefault="00D22973" w:rsidP="001441B3">
      <w:pPr>
        <w:pStyle w:val="p1"/>
        <w:spacing w:line="360" w:lineRule="auto"/>
        <w:jc w:val="center"/>
        <w:rPr>
          <w:b/>
          <w:bCs/>
          <w:sz w:val="24"/>
          <w:szCs w:val="24"/>
        </w:rPr>
      </w:pPr>
    </w:p>
    <w:p w14:paraId="177FB507" w14:textId="4014BEB7" w:rsidR="00D22973" w:rsidRPr="001441B3" w:rsidRDefault="00D22973" w:rsidP="001441B3">
      <w:pPr>
        <w:pStyle w:val="p1"/>
        <w:spacing w:line="360" w:lineRule="auto"/>
        <w:jc w:val="center"/>
        <w:rPr>
          <w:sz w:val="24"/>
          <w:szCs w:val="24"/>
        </w:rPr>
      </w:pPr>
      <w:r w:rsidRPr="001441B3">
        <w:rPr>
          <w:b/>
          <w:bCs/>
          <w:sz w:val="24"/>
          <w:szCs w:val="24"/>
        </w:rPr>
        <w:t xml:space="preserve">Shrishti Adhyam </w:t>
      </w:r>
    </w:p>
    <w:p w14:paraId="299999F7" w14:textId="77777777" w:rsidR="00D22973" w:rsidRPr="001441B3" w:rsidRDefault="00D22973" w:rsidP="001441B3">
      <w:pPr>
        <w:spacing w:line="360" w:lineRule="auto"/>
        <w:jc w:val="both"/>
        <w:rPr>
          <w:rFonts w:ascii="Times New Roman" w:hAnsi="Times New Roman" w:cs="Times New Roman"/>
        </w:rPr>
      </w:pPr>
    </w:p>
    <w:p w14:paraId="45BFF04C" w14:textId="2267DACC" w:rsidR="002C27C0" w:rsidRPr="001441B3" w:rsidRDefault="004853FD" w:rsidP="001441B3">
      <w:pPr>
        <w:spacing w:line="360" w:lineRule="auto"/>
        <w:jc w:val="both"/>
        <w:rPr>
          <w:rFonts w:ascii="Times New Roman" w:hAnsi="Times New Roman" w:cs="Times New Roman"/>
          <w:b/>
          <w:bCs/>
        </w:rPr>
      </w:pPr>
      <w:r w:rsidRPr="001441B3">
        <w:rPr>
          <w:rFonts w:ascii="Times New Roman" w:hAnsi="Times New Roman" w:cs="Times New Roman"/>
          <w:b/>
          <w:bCs/>
        </w:rPr>
        <w:t xml:space="preserve">      </w:t>
      </w:r>
      <w:r w:rsidR="00CB5244" w:rsidRPr="001441B3">
        <w:rPr>
          <w:rFonts w:ascii="Times New Roman" w:hAnsi="Times New Roman" w:cs="Times New Roman"/>
          <w:b/>
          <w:bCs/>
        </w:rPr>
        <w:t xml:space="preserve">Abstract </w:t>
      </w:r>
    </w:p>
    <w:p w14:paraId="755BB09D" w14:textId="5290392D" w:rsidR="00CB5244" w:rsidRPr="001441B3" w:rsidRDefault="004853FD"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This </w:t>
      </w:r>
      <w:r w:rsidR="00BC0795">
        <w:rPr>
          <w:rFonts w:ascii="Times New Roman" w:hAnsi="Times New Roman" w:cs="Times New Roman"/>
        </w:rPr>
        <w:t>article</w:t>
      </w:r>
      <w:r w:rsidRPr="001441B3">
        <w:rPr>
          <w:rFonts w:ascii="Times New Roman" w:hAnsi="Times New Roman" w:cs="Times New Roman"/>
        </w:rPr>
        <w:t xml:space="preserve"> examines the persistent gap </w:t>
      </w:r>
      <w:r w:rsidR="00D22973" w:rsidRPr="001441B3">
        <w:rPr>
          <w:rFonts w:ascii="Times New Roman" w:hAnsi="Times New Roman" w:cs="Times New Roman"/>
        </w:rPr>
        <w:t>between</w:t>
      </w:r>
      <w:r w:rsidRPr="001441B3">
        <w:rPr>
          <w:rFonts w:ascii="Times New Roman" w:hAnsi="Times New Roman" w:cs="Times New Roman"/>
        </w:rPr>
        <w:t xml:space="preserve"> environmental law and environmental outcomes in India through Deborah Stone’s Policy Paradox framework. While India possesses a strong </w:t>
      </w:r>
      <w:r w:rsidR="00D22973" w:rsidRPr="001441B3">
        <w:rPr>
          <w:rFonts w:ascii="Times New Roman" w:hAnsi="Times New Roman" w:cs="Times New Roman"/>
        </w:rPr>
        <w:t>constitutional</w:t>
      </w:r>
      <w:r w:rsidRPr="001441B3">
        <w:rPr>
          <w:rFonts w:ascii="Times New Roman" w:hAnsi="Times New Roman" w:cs="Times New Roman"/>
        </w:rPr>
        <w:t xml:space="preserve"> and judicial foundation for environmental </w:t>
      </w:r>
      <w:r w:rsidR="00D22973" w:rsidRPr="001441B3">
        <w:rPr>
          <w:rFonts w:ascii="Times New Roman" w:hAnsi="Times New Roman" w:cs="Times New Roman"/>
        </w:rPr>
        <w:t>protection,</w:t>
      </w:r>
      <w:r w:rsidRPr="001441B3">
        <w:rPr>
          <w:rFonts w:ascii="Times New Roman" w:hAnsi="Times New Roman" w:cs="Times New Roman"/>
        </w:rPr>
        <w:t xml:space="preserve"> implementation </w:t>
      </w:r>
      <w:r w:rsidR="00D22973" w:rsidRPr="001441B3">
        <w:rPr>
          <w:rFonts w:ascii="Times New Roman" w:hAnsi="Times New Roman" w:cs="Times New Roman"/>
        </w:rPr>
        <w:t>remains</w:t>
      </w:r>
      <w:r w:rsidRPr="001441B3">
        <w:rPr>
          <w:rFonts w:ascii="Times New Roman" w:hAnsi="Times New Roman" w:cs="Times New Roman"/>
        </w:rPr>
        <w:t xml:space="preserve"> inconsistent and ineffective. </w:t>
      </w:r>
      <w:r w:rsidR="00D22973" w:rsidRPr="001441B3">
        <w:rPr>
          <w:rFonts w:ascii="Times New Roman" w:hAnsi="Times New Roman" w:cs="Times New Roman"/>
        </w:rPr>
        <w:t xml:space="preserve">Moving beyond the conventional explanation of “weak enforcement”, this </w:t>
      </w:r>
      <w:r w:rsidR="008F19DA">
        <w:rPr>
          <w:rFonts w:ascii="Times New Roman" w:hAnsi="Times New Roman" w:cs="Times New Roman"/>
        </w:rPr>
        <w:t xml:space="preserve">article </w:t>
      </w:r>
      <w:r w:rsidR="00D22973" w:rsidRPr="001441B3">
        <w:rPr>
          <w:rFonts w:ascii="Times New Roman" w:hAnsi="Times New Roman" w:cs="Times New Roman"/>
        </w:rPr>
        <w:t xml:space="preserve">argues that this </w:t>
      </w:r>
      <w:r w:rsidR="00BC0795">
        <w:rPr>
          <w:rFonts w:ascii="Times New Roman" w:hAnsi="Times New Roman" w:cs="Times New Roman"/>
        </w:rPr>
        <w:t>g</w:t>
      </w:r>
      <w:r w:rsidR="00D22973" w:rsidRPr="001441B3">
        <w:rPr>
          <w:rFonts w:ascii="Times New Roman" w:hAnsi="Times New Roman" w:cs="Times New Roman"/>
        </w:rPr>
        <w:t xml:space="preserve">ap is rooted in distributive conflicts and embedded within policy design itself. By applying Stone’s dimensions of membership, merit, the item being distributed and process the analysis demonstrates how formal environmental laws produce substantively unequal outcomes. It establishes that environmental degradation in India is not merely an administrative failure but a structural consequence of policy reasoning and it calls for a shift from formal equality toward substantive environmental justice. </w:t>
      </w:r>
      <w:r w:rsidR="00CB5244" w:rsidRPr="001441B3">
        <w:rPr>
          <w:rFonts w:ascii="Times New Roman" w:hAnsi="Times New Roman" w:cs="Times New Roman"/>
        </w:rPr>
        <w:t xml:space="preserve"> </w:t>
      </w:r>
    </w:p>
    <w:p w14:paraId="63D3827F" w14:textId="37BB9285" w:rsidR="004853FD" w:rsidRPr="001441B3" w:rsidRDefault="004853FD" w:rsidP="001441B3">
      <w:pPr>
        <w:spacing w:line="360" w:lineRule="auto"/>
        <w:ind w:left="360"/>
        <w:jc w:val="both"/>
        <w:rPr>
          <w:rFonts w:ascii="Times New Roman" w:hAnsi="Times New Roman" w:cs="Times New Roman"/>
        </w:rPr>
      </w:pPr>
      <w:r w:rsidRPr="001441B3">
        <w:rPr>
          <w:rFonts w:ascii="Times New Roman" w:hAnsi="Times New Roman" w:cs="Times New Roman"/>
          <w:b/>
          <w:bCs/>
        </w:rPr>
        <w:t>Keywords:</w:t>
      </w:r>
      <w:r w:rsidRPr="001441B3">
        <w:rPr>
          <w:rFonts w:ascii="Times New Roman" w:hAnsi="Times New Roman" w:cs="Times New Roman"/>
        </w:rPr>
        <w:t xml:space="preserve">  Policy paradox, environmental law in India, Implementation </w:t>
      </w:r>
      <w:r w:rsidR="00D22973" w:rsidRPr="001441B3">
        <w:rPr>
          <w:rFonts w:ascii="Times New Roman" w:hAnsi="Times New Roman" w:cs="Times New Roman"/>
        </w:rPr>
        <w:t>Gap,</w:t>
      </w:r>
      <w:r w:rsidRPr="001441B3">
        <w:rPr>
          <w:rFonts w:ascii="Times New Roman" w:hAnsi="Times New Roman" w:cs="Times New Roman"/>
        </w:rPr>
        <w:t xml:space="preserve"> Distributive Justice, Equality and Equity, Ecological Justice. </w:t>
      </w:r>
    </w:p>
    <w:p w14:paraId="5E9862C1" w14:textId="77777777" w:rsidR="00675195" w:rsidRPr="001441B3" w:rsidRDefault="00675195" w:rsidP="001441B3">
      <w:pPr>
        <w:spacing w:line="360" w:lineRule="auto"/>
        <w:jc w:val="both"/>
        <w:rPr>
          <w:rFonts w:ascii="Times New Roman" w:hAnsi="Times New Roman" w:cs="Times New Roman"/>
        </w:rPr>
      </w:pPr>
    </w:p>
    <w:p w14:paraId="7BC7EE3C" w14:textId="3F2C6046" w:rsidR="004853FD" w:rsidRPr="001441B3" w:rsidRDefault="004853FD" w:rsidP="001441B3">
      <w:pPr>
        <w:spacing w:line="360" w:lineRule="auto"/>
        <w:ind w:left="360"/>
        <w:jc w:val="both"/>
        <w:rPr>
          <w:rFonts w:ascii="Times New Roman" w:hAnsi="Times New Roman" w:cs="Times New Roman"/>
          <w:b/>
          <w:bCs/>
        </w:rPr>
      </w:pPr>
      <w:r w:rsidRPr="001441B3">
        <w:rPr>
          <w:rFonts w:ascii="Times New Roman" w:hAnsi="Times New Roman" w:cs="Times New Roman"/>
          <w:b/>
          <w:bCs/>
        </w:rPr>
        <w:t xml:space="preserve">Introduction </w:t>
      </w:r>
    </w:p>
    <w:p w14:paraId="1529F0CF" w14:textId="48F82A23" w:rsidR="00675195" w:rsidRPr="001441B3" w:rsidRDefault="007246CA" w:rsidP="001441B3">
      <w:pPr>
        <w:spacing w:line="360" w:lineRule="auto"/>
        <w:ind w:left="360"/>
        <w:jc w:val="both"/>
        <w:rPr>
          <w:rFonts w:ascii="Times New Roman" w:hAnsi="Times New Roman" w:cs="Times New Roman"/>
        </w:rPr>
      </w:pPr>
      <w:r w:rsidRPr="001441B3">
        <w:rPr>
          <w:rFonts w:ascii="Times New Roman" w:hAnsi="Times New Roman" w:cs="Times New Roman"/>
        </w:rPr>
        <w:t>Public policy i</w:t>
      </w:r>
      <w:r w:rsidR="004F0185">
        <w:rPr>
          <w:rFonts w:ascii="Times New Roman" w:hAnsi="Times New Roman" w:cs="Times New Roman"/>
        </w:rPr>
        <w:t xml:space="preserve">s </w:t>
      </w:r>
      <w:r w:rsidRPr="001441B3">
        <w:rPr>
          <w:rFonts w:ascii="Times New Roman" w:hAnsi="Times New Roman" w:cs="Times New Roman"/>
        </w:rPr>
        <w:t xml:space="preserve">often presented as a neutral exercise in regulation and governance. </w:t>
      </w:r>
      <w:r w:rsidR="00251C73" w:rsidRPr="001441B3">
        <w:rPr>
          <w:rFonts w:ascii="Times New Roman" w:hAnsi="Times New Roman" w:cs="Times New Roman"/>
        </w:rPr>
        <w:t>However,</w:t>
      </w:r>
      <w:r w:rsidRPr="001441B3">
        <w:rPr>
          <w:rFonts w:ascii="Times New Roman" w:hAnsi="Times New Roman" w:cs="Times New Roman"/>
        </w:rPr>
        <w:t xml:space="preserve"> as Deborah Stone argues in Policy </w:t>
      </w:r>
      <w:r w:rsidR="00251C73" w:rsidRPr="001441B3">
        <w:rPr>
          <w:rFonts w:ascii="Times New Roman" w:hAnsi="Times New Roman" w:cs="Times New Roman"/>
        </w:rPr>
        <w:t>Paradox,</w:t>
      </w:r>
      <w:r w:rsidRPr="001441B3">
        <w:rPr>
          <w:rFonts w:ascii="Times New Roman" w:hAnsi="Times New Roman" w:cs="Times New Roman"/>
        </w:rPr>
        <w:t xml:space="preserve"> policy is fundamentally about distribution about “who gets </w:t>
      </w:r>
      <w:r w:rsidR="00FF4FED" w:rsidRPr="001441B3">
        <w:rPr>
          <w:rFonts w:ascii="Times New Roman" w:hAnsi="Times New Roman" w:cs="Times New Roman"/>
        </w:rPr>
        <w:t>what,</w:t>
      </w:r>
      <w:r w:rsidRPr="001441B3">
        <w:rPr>
          <w:rFonts w:ascii="Times New Roman" w:hAnsi="Times New Roman" w:cs="Times New Roman"/>
        </w:rPr>
        <w:t xml:space="preserve"> when, and how”. Stone challenges the conventional rational model of policymaking and introduces what she calls the paradox of equality. Equality often </w:t>
      </w:r>
      <w:r w:rsidR="00251C73" w:rsidRPr="001441B3">
        <w:rPr>
          <w:rFonts w:ascii="Times New Roman" w:hAnsi="Times New Roman" w:cs="Times New Roman"/>
        </w:rPr>
        <w:t xml:space="preserve">produces inequality and equal treatment frequently requires unequal measures to achieve fairness. In her framework, policy conflicts revolve around three core questions who counts as a member, what is being distributed, and how the distribution is decided. These dimensions reveal that policy outcomes are shaped by competing political values such as equity, welfare, liberty and interests. </w:t>
      </w:r>
    </w:p>
    <w:p w14:paraId="33ABAC28" w14:textId="6CDA808B" w:rsidR="004853FD" w:rsidRDefault="004853FD" w:rsidP="001441B3">
      <w:pPr>
        <w:spacing w:line="360" w:lineRule="auto"/>
        <w:ind w:left="360"/>
        <w:jc w:val="both"/>
        <w:rPr>
          <w:rFonts w:ascii="Times New Roman" w:hAnsi="Times New Roman" w:cs="Times New Roman"/>
        </w:rPr>
      </w:pPr>
      <w:r w:rsidRPr="001441B3">
        <w:rPr>
          <w:rFonts w:ascii="Times New Roman" w:hAnsi="Times New Roman" w:cs="Times New Roman"/>
        </w:rPr>
        <w:t>Inequality is not merely an implementation failure but is produced by the structure of policy reasoning itself. India is big on diversity, the geography of India makes it home to many species of faun</w:t>
      </w:r>
      <w:r w:rsidR="00551D50">
        <w:rPr>
          <w:rFonts w:ascii="Times New Roman" w:hAnsi="Times New Roman" w:cs="Times New Roman"/>
        </w:rPr>
        <w:t>a and</w:t>
      </w:r>
      <w:r w:rsidRPr="001441B3">
        <w:rPr>
          <w:rFonts w:ascii="Times New Roman" w:hAnsi="Times New Roman" w:cs="Times New Roman"/>
        </w:rPr>
        <w:t xml:space="preserve"> flora Environmental laws are crucial in our country because we </w:t>
      </w:r>
      <w:r w:rsidR="00707995">
        <w:rPr>
          <w:rFonts w:ascii="Times New Roman" w:hAnsi="Times New Roman" w:cs="Times New Roman"/>
        </w:rPr>
        <w:t xml:space="preserve">have </w:t>
      </w:r>
      <w:r w:rsidRPr="001441B3">
        <w:rPr>
          <w:rFonts w:ascii="Times New Roman" w:hAnsi="Times New Roman" w:cs="Times New Roman"/>
        </w:rPr>
        <w:t xml:space="preserve">so much to conserve and this conservation is important for our survival let alone even our economy. One of our earliest codifications of environmental law was enacted by Emperor Ashoka during third century B.C. Some prominent legislations to begin with were The Cattle Trespass Act 1871, the Elephants Preservation Act 1879, the Indian Forest Act 1927 and this list go on after the Stockholm conference in 1972 by the United Nation on Environment Protection, there began a series of environment laws, initiatives even in India. </w:t>
      </w:r>
    </w:p>
    <w:p w14:paraId="5E335ED2" w14:textId="5B50AE4F" w:rsidR="003A41CE" w:rsidRPr="001441B3" w:rsidRDefault="003A41CE" w:rsidP="003A41CE">
      <w:pPr>
        <w:spacing w:line="360" w:lineRule="auto"/>
        <w:ind w:left="360"/>
        <w:jc w:val="both"/>
        <w:rPr>
          <w:rFonts w:ascii="Times New Roman" w:hAnsi="Times New Roman" w:cs="Times New Roman"/>
        </w:rPr>
      </w:pPr>
      <w:r w:rsidRPr="001441B3">
        <w:rPr>
          <w:rFonts w:ascii="Times New Roman" w:hAnsi="Times New Roman" w:cs="Times New Roman"/>
        </w:rPr>
        <w:t xml:space="preserve">Yet despite this robust normative and institutional architecture, India continues to face severe environmental crises chronic air pollution in metropolitan cities, groundwater depletion, forest diversion for infrastructure, and increasing climatic vulnerability. Implementation gaps persist across sectors. Budgetary allocations remain underutilized, enforcement mechanisms are inconsistently applied, and regulatory processes are frequently diluted in the name of economic growth. The persistence of environmental degradation despite strong legal provisions suggests that the problem is not merely legislative insufficiency but structural and distributive in nature. </w:t>
      </w:r>
    </w:p>
    <w:p w14:paraId="18E1101C" w14:textId="557DB75C" w:rsidR="00251C73" w:rsidRPr="001441B3" w:rsidRDefault="00251C73" w:rsidP="001441B3">
      <w:pPr>
        <w:spacing w:line="360" w:lineRule="auto"/>
        <w:ind w:left="360"/>
        <w:jc w:val="both"/>
        <w:rPr>
          <w:rFonts w:ascii="Times New Roman" w:hAnsi="Times New Roman" w:cs="Times New Roman"/>
        </w:rPr>
      </w:pPr>
      <w:r w:rsidRPr="001441B3">
        <w:rPr>
          <w:rFonts w:ascii="Times New Roman" w:hAnsi="Times New Roman" w:cs="Times New Roman"/>
        </w:rPr>
        <w:t>This paradox provides a powerful analytical lens for examining environmental law implementation in India. On paper, India possesses one of the most progressive environmental constitutional frameworks in the world. Article 48A</w:t>
      </w:r>
      <w:r w:rsidR="001D5A54" w:rsidRPr="001441B3">
        <w:rPr>
          <w:rStyle w:val="FootnoteReference"/>
          <w:rFonts w:ascii="Times New Roman" w:hAnsi="Times New Roman" w:cs="Times New Roman"/>
        </w:rPr>
        <w:footnoteReference w:id="1"/>
      </w:r>
      <w:r w:rsidRPr="001441B3">
        <w:rPr>
          <w:rFonts w:ascii="Times New Roman" w:hAnsi="Times New Roman" w:cs="Times New Roman"/>
        </w:rPr>
        <w:t xml:space="preserve"> directs the State to protect and improve the environment and landmark doctrines such as the Polluter Pays Principle and the precautionary principle have been firmly embedded in jurisprudence. Institutions such as the National Green Tribunal were established to ensure specialized environmental adjudication. </w:t>
      </w:r>
    </w:p>
    <w:p w14:paraId="56031E3A" w14:textId="43FADCDF" w:rsidR="00251C73" w:rsidRPr="001441B3" w:rsidRDefault="00251C73"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Applying Stone’s framework allows this </w:t>
      </w:r>
      <w:r w:rsidR="008F19DA">
        <w:rPr>
          <w:rFonts w:ascii="Times New Roman" w:hAnsi="Times New Roman" w:cs="Times New Roman"/>
        </w:rPr>
        <w:t>article</w:t>
      </w:r>
      <w:r w:rsidRPr="001441B3">
        <w:rPr>
          <w:rFonts w:ascii="Times New Roman" w:hAnsi="Times New Roman" w:cs="Times New Roman"/>
        </w:rPr>
        <w:t xml:space="preserve"> to move beyond the surface explanation of “weak enforcement”. Instead, it interrogates how environmental governance defines membership (who is recognized as an equal stakeholder</w:t>
      </w:r>
      <w:proofErr w:type="gramStart"/>
      <w:r w:rsidRPr="001441B3">
        <w:rPr>
          <w:rFonts w:ascii="Times New Roman" w:hAnsi="Times New Roman" w:cs="Times New Roman"/>
        </w:rPr>
        <w:t>) ,</w:t>
      </w:r>
      <w:proofErr w:type="gramEnd"/>
      <w:r w:rsidRPr="001441B3">
        <w:rPr>
          <w:rFonts w:ascii="Times New Roman" w:hAnsi="Times New Roman" w:cs="Times New Roman"/>
        </w:rPr>
        <w:t xml:space="preserve"> the item (whether environmental protection is treated narrowly as regulatory compliance or broadly as ecological justice</w:t>
      </w:r>
      <w:proofErr w:type="gramStart"/>
      <w:r w:rsidRPr="001441B3">
        <w:rPr>
          <w:rFonts w:ascii="Times New Roman" w:hAnsi="Times New Roman" w:cs="Times New Roman"/>
        </w:rPr>
        <w:t>) ,</w:t>
      </w:r>
      <w:proofErr w:type="gramEnd"/>
      <w:r w:rsidRPr="001441B3">
        <w:rPr>
          <w:rFonts w:ascii="Times New Roman" w:hAnsi="Times New Roman" w:cs="Times New Roman"/>
        </w:rPr>
        <w:t xml:space="preserve"> and process (whether decision-making genuinely incorporates vulnerable choices). These three focal points were chosen to attribute the environmental jurisprudence in India</w:t>
      </w:r>
      <w:r w:rsidR="00FB2F44">
        <w:rPr>
          <w:rFonts w:ascii="Times New Roman" w:hAnsi="Times New Roman" w:cs="Times New Roman"/>
        </w:rPr>
        <w:t xml:space="preserve">. </w:t>
      </w:r>
      <w:r w:rsidRPr="001441B3">
        <w:rPr>
          <w:rFonts w:ascii="Times New Roman" w:hAnsi="Times New Roman" w:cs="Times New Roman"/>
        </w:rPr>
        <w:t xml:space="preserve"> </w:t>
      </w:r>
    </w:p>
    <w:p w14:paraId="32379FDA" w14:textId="166B7962" w:rsidR="00251C73" w:rsidRPr="001441B3" w:rsidRDefault="00251C73" w:rsidP="001441B3">
      <w:pPr>
        <w:spacing w:line="360" w:lineRule="auto"/>
        <w:ind w:left="360"/>
        <w:jc w:val="both"/>
        <w:rPr>
          <w:rFonts w:ascii="Times New Roman" w:hAnsi="Times New Roman" w:cs="Times New Roman"/>
          <w:b/>
          <w:bCs/>
        </w:rPr>
      </w:pPr>
      <w:r w:rsidRPr="001441B3">
        <w:rPr>
          <w:rFonts w:ascii="Times New Roman" w:hAnsi="Times New Roman" w:cs="Times New Roman"/>
          <w:b/>
          <w:bCs/>
        </w:rPr>
        <w:t xml:space="preserve">Analysis: Applying Deborah Stone’s Policy Paradox to Environmental Law Implementation in India </w:t>
      </w:r>
    </w:p>
    <w:p w14:paraId="5A927C62" w14:textId="3C9BF3F7" w:rsidR="00251C73" w:rsidRPr="001441B3" w:rsidRDefault="00251C73"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Harold Lasswell famously defined political science as the study of “who gets </w:t>
      </w:r>
      <w:r w:rsidR="00063C2D" w:rsidRPr="001441B3">
        <w:rPr>
          <w:rFonts w:ascii="Times New Roman" w:hAnsi="Times New Roman" w:cs="Times New Roman"/>
        </w:rPr>
        <w:t>what,</w:t>
      </w:r>
      <w:r w:rsidRPr="001441B3">
        <w:rPr>
          <w:rFonts w:ascii="Times New Roman" w:hAnsi="Times New Roman" w:cs="Times New Roman"/>
        </w:rPr>
        <w:t xml:space="preserve"> when and how”. Deborah Stone builds on this insight in Policy Paradox by arguing tha</w:t>
      </w:r>
      <w:r w:rsidR="00CA5A2C">
        <w:rPr>
          <w:rFonts w:ascii="Times New Roman" w:hAnsi="Times New Roman" w:cs="Times New Roman"/>
        </w:rPr>
        <w:t>t</w:t>
      </w:r>
      <w:r w:rsidRPr="001441B3">
        <w:rPr>
          <w:rFonts w:ascii="Times New Roman" w:hAnsi="Times New Roman" w:cs="Times New Roman"/>
        </w:rPr>
        <w:t xml:space="preserve"> distributive conflicts are never simply about resources; they are at competing visions of equality. Her central paradox is that equality often requires inequality and equal treatment may in fact produce unequal outcomes.</w:t>
      </w:r>
      <w:r w:rsidR="001D5A54" w:rsidRPr="001441B3">
        <w:rPr>
          <w:rStyle w:val="FootnoteReference"/>
          <w:rFonts w:ascii="Times New Roman" w:hAnsi="Times New Roman" w:cs="Times New Roman"/>
        </w:rPr>
        <w:footnoteReference w:id="2"/>
      </w:r>
      <w:r w:rsidRPr="001441B3">
        <w:rPr>
          <w:rFonts w:ascii="Times New Roman" w:hAnsi="Times New Roman" w:cs="Times New Roman"/>
        </w:rPr>
        <w:t xml:space="preserve"> When applied to environmental law in India, Stone’s </w:t>
      </w:r>
      <w:r w:rsidR="00063C2D" w:rsidRPr="001441B3">
        <w:rPr>
          <w:rFonts w:ascii="Times New Roman" w:hAnsi="Times New Roman" w:cs="Times New Roman"/>
        </w:rPr>
        <w:t>framework</w:t>
      </w:r>
      <w:r w:rsidRPr="001441B3">
        <w:rPr>
          <w:rFonts w:ascii="Times New Roman" w:hAnsi="Times New Roman" w:cs="Times New Roman"/>
        </w:rPr>
        <w:t xml:space="preserve"> reveals that the problem is not </w:t>
      </w:r>
      <w:r w:rsidR="00063C2D" w:rsidRPr="001441B3">
        <w:rPr>
          <w:rFonts w:ascii="Times New Roman" w:hAnsi="Times New Roman" w:cs="Times New Roman"/>
        </w:rPr>
        <w:t>merely</w:t>
      </w:r>
      <w:r w:rsidRPr="001441B3">
        <w:rPr>
          <w:rFonts w:ascii="Times New Roman" w:hAnsi="Times New Roman" w:cs="Times New Roman"/>
        </w:rPr>
        <w:t xml:space="preserve"> weak </w:t>
      </w:r>
      <w:r w:rsidR="00063C2D" w:rsidRPr="001441B3">
        <w:rPr>
          <w:rFonts w:ascii="Times New Roman" w:hAnsi="Times New Roman" w:cs="Times New Roman"/>
        </w:rPr>
        <w:t>enforcement,</w:t>
      </w:r>
      <w:r w:rsidRPr="001441B3">
        <w:rPr>
          <w:rFonts w:ascii="Times New Roman" w:hAnsi="Times New Roman" w:cs="Times New Roman"/>
        </w:rPr>
        <w:t xml:space="preserve"> it’s a </w:t>
      </w:r>
      <w:r w:rsidR="00063C2D" w:rsidRPr="001441B3">
        <w:rPr>
          <w:rFonts w:ascii="Times New Roman" w:hAnsi="Times New Roman" w:cs="Times New Roman"/>
        </w:rPr>
        <w:t>deeper</w:t>
      </w:r>
      <w:r w:rsidRPr="001441B3">
        <w:rPr>
          <w:rFonts w:ascii="Times New Roman" w:hAnsi="Times New Roman" w:cs="Times New Roman"/>
        </w:rPr>
        <w:t xml:space="preserve"> </w:t>
      </w:r>
      <w:r w:rsidR="00063C2D" w:rsidRPr="001441B3">
        <w:rPr>
          <w:rFonts w:ascii="Times New Roman" w:hAnsi="Times New Roman" w:cs="Times New Roman"/>
        </w:rPr>
        <w:t>distributive</w:t>
      </w:r>
      <w:r w:rsidRPr="001441B3">
        <w:rPr>
          <w:rFonts w:ascii="Times New Roman" w:hAnsi="Times New Roman" w:cs="Times New Roman"/>
        </w:rPr>
        <w:t xml:space="preserve"> conflict </w:t>
      </w:r>
      <w:r w:rsidR="00063C2D" w:rsidRPr="001441B3">
        <w:rPr>
          <w:rFonts w:ascii="Times New Roman" w:hAnsi="Times New Roman" w:cs="Times New Roman"/>
        </w:rPr>
        <w:t>about</w:t>
      </w:r>
      <w:r w:rsidRPr="001441B3">
        <w:rPr>
          <w:rFonts w:ascii="Times New Roman" w:hAnsi="Times New Roman" w:cs="Times New Roman"/>
        </w:rPr>
        <w:t xml:space="preserve"> </w:t>
      </w:r>
      <w:r w:rsidR="00063C2D" w:rsidRPr="001441B3">
        <w:rPr>
          <w:rFonts w:ascii="Times New Roman" w:hAnsi="Times New Roman" w:cs="Times New Roman"/>
        </w:rPr>
        <w:t>membership,</w:t>
      </w:r>
      <w:r w:rsidRPr="001441B3">
        <w:rPr>
          <w:rFonts w:ascii="Times New Roman" w:hAnsi="Times New Roman" w:cs="Times New Roman"/>
        </w:rPr>
        <w:t xml:space="preserve"> </w:t>
      </w:r>
      <w:r w:rsidR="00063C2D" w:rsidRPr="001441B3">
        <w:rPr>
          <w:rFonts w:ascii="Times New Roman" w:hAnsi="Times New Roman" w:cs="Times New Roman"/>
        </w:rPr>
        <w:t>merit,</w:t>
      </w:r>
      <w:r w:rsidRPr="001441B3">
        <w:rPr>
          <w:rFonts w:ascii="Times New Roman" w:hAnsi="Times New Roman" w:cs="Times New Roman"/>
        </w:rPr>
        <w:t xml:space="preserve"> value and process. </w:t>
      </w:r>
    </w:p>
    <w:p w14:paraId="0EC54A9C" w14:textId="0ABBB8AC" w:rsidR="00063C2D" w:rsidRPr="001441B3" w:rsidRDefault="00063C2D" w:rsidP="001441B3">
      <w:pPr>
        <w:spacing w:line="360" w:lineRule="auto"/>
        <w:ind w:left="360"/>
        <w:jc w:val="both"/>
        <w:rPr>
          <w:rFonts w:ascii="Times New Roman" w:hAnsi="Times New Roman" w:cs="Times New Roman"/>
        </w:rPr>
      </w:pPr>
      <w:r w:rsidRPr="001441B3">
        <w:rPr>
          <w:rFonts w:ascii="Times New Roman" w:hAnsi="Times New Roman" w:cs="Times New Roman"/>
        </w:rPr>
        <w:t>India’s constitutional framework formally recognizes environmental protection, Article 48A and 51A(g)</w:t>
      </w:r>
      <w:r w:rsidR="001D5A54" w:rsidRPr="001441B3">
        <w:rPr>
          <w:rStyle w:val="FootnoteReference"/>
          <w:rFonts w:ascii="Times New Roman" w:hAnsi="Times New Roman" w:cs="Times New Roman"/>
        </w:rPr>
        <w:footnoteReference w:id="3"/>
      </w:r>
      <w:r w:rsidRPr="001441B3">
        <w:rPr>
          <w:rFonts w:ascii="Times New Roman" w:hAnsi="Times New Roman" w:cs="Times New Roman"/>
        </w:rPr>
        <w:t xml:space="preserve"> establish environmental protection as both a state obligation and a citizen duty. Judicial interpretation under Article 21</w:t>
      </w:r>
      <w:r w:rsidR="001D5A54" w:rsidRPr="001441B3">
        <w:rPr>
          <w:rStyle w:val="FootnoteReference"/>
          <w:rFonts w:ascii="Times New Roman" w:hAnsi="Times New Roman" w:cs="Times New Roman"/>
        </w:rPr>
        <w:footnoteReference w:id="4"/>
      </w:r>
      <w:r w:rsidRPr="001441B3">
        <w:rPr>
          <w:rFonts w:ascii="Times New Roman" w:hAnsi="Times New Roman" w:cs="Times New Roman"/>
        </w:rPr>
        <w:t xml:space="preserve"> has further expanded the right to life to include right to a healthy environment. On paper, the environmental protection appears equal, yet implementation is a different story. It’s difficult in a country like India due to its vast diversity and over growing population. The needs and wants of the population seem to be amalgamated rather than having a priority basis for optimizing outcome and minimizing risk. </w:t>
      </w:r>
    </w:p>
    <w:p w14:paraId="06A618BD" w14:textId="43710EC7" w:rsidR="00063C2D" w:rsidRPr="001441B3" w:rsidRDefault="0091327F" w:rsidP="001441B3">
      <w:pPr>
        <w:spacing w:line="360" w:lineRule="auto"/>
        <w:ind w:left="360"/>
        <w:jc w:val="both"/>
        <w:rPr>
          <w:rFonts w:ascii="Times New Roman" w:hAnsi="Times New Roman" w:cs="Times New Roman"/>
          <w:b/>
          <w:bCs/>
        </w:rPr>
      </w:pPr>
      <w:r w:rsidRPr="001441B3">
        <w:rPr>
          <w:rFonts w:ascii="Times New Roman" w:hAnsi="Times New Roman" w:cs="Times New Roman"/>
          <w:b/>
          <w:bCs/>
        </w:rPr>
        <w:t xml:space="preserve">Membership: </w:t>
      </w:r>
      <w:r w:rsidR="00707995">
        <w:rPr>
          <w:rFonts w:ascii="Times New Roman" w:hAnsi="Times New Roman" w:cs="Times New Roman"/>
          <w:b/>
          <w:bCs/>
        </w:rPr>
        <w:t>W</w:t>
      </w:r>
      <w:r w:rsidRPr="001441B3">
        <w:rPr>
          <w:rFonts w:ascii="Times New Roman" w:hAnsi="Times New Roman" w:cs="Times New Roman"/>
          <w:b/>
          <w:bCs/>
        </w:rPr>
        <w:t xml:space="preserve">ho counts in Environmental Decision Making? </w:t>
      </w:r>
    </w:p>
    <w:p w14:paraId="6DA2ECF4" w14:textId="72436D94" w:rsidR="0091327F" w:rsidRPr="001441B3" w:rsidRDefault="0091327F" w:rsidP="001441B3">
      <w:pPr>
        <w:spacing w:line="360" w:lineRule="auto"/>
        <w:ind w:left="360"/>
        <w:jc w:val="both"/>
        <w:rPr>
          <w:rFonts w:ascii="Times New Roman" w:hAnsi="Times New Roman" w:cs="Times New Roman"/>
        </w:rPr>
      </w:pPr>
      <w:r w:rsidRPr="001441B3">
        <w:rPr>
          <w:rFonts w:ascii="Times New Roman" w:hAnsi="Times New Roman" w:cs="Times New Roman"/>
        </w:rPr>
        <w:t>Stone argues the first dimension of distributive conflict concerns membership and raises a question of who is entitles to equal treatment. In India’s Environmental governance, membership is formally universal but substantively unequal. Environmental ha</w:t>
      </w:r>
      <w:r w:rsidR="00063668">
        <w:rPr>
          <w:rFonts w:ascii="Times New Roman" w:hAnsi="Times New Roman" w:cs="Times New Roman"/>
        </w:rPr>
        <w:t>r</w:t>
      </w:r>
      <w:r w:rsidRPr="001441B3">
        <w:rPr>
          <w:rFonts w:ascii="Times New Roman" w:hAnsi="Times New Roman" w:cs="Times New Roman"/>
        </w:rPr>
        <w:t xml:space="preserve">m disproportionality affects slum dwellers, tribal communities m informal workers, rural farmers and future generations. Yet policy implementation often privileges industrial investors, urban elites and infrastructure developers. Public hearings under the EIA regime are meant to democratize decision making but affected communities frequently lack access to technical documents, translation or legal literacy. This produces what </w:t>
      </w:r>
      <w:r w:rsidR="00063668">
        <w:rPr>
          <w:rFonts w:ascii="Times New Roman" w:hAnsi="Times New Roman" w:cs="Times New Roman"/>
        </w:rPr>
        <w:t>S</w:t>
      </w:r>
      <w:r w:rsidRPr="001441B3">
        <w:rPr>
          <w:rFonts w:ascii="Times New Roman" w:hAnsi="Times New Roman" w:cs="Times New Roman"/>
        </w:rPr>
        <w:t xml:space="preserve">tone would call “equal slices but unequal invitations”. </w:t>
      </w:r>
    </w:p>
    <w:p w14:paraId="7B57F456" w14:textId="66725C0E" w:rsidR="0091327F" w:rsidRPr="001441B3" w:rsidRDefault="0091327F"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The exclusion of vulnerable groups is not always </w:t>
      </w:r>
      <w:r w:rsidR="00282DB1" w:rsidRPr="001441B3">
        <w:rPr>
          <w:rFonts w:ascii="Times New Roman" w:hAnsi="Times New Roman" w:cs="Times New Roman"/>
        </w:rPr>
        <w:t>explicit,</w:t>
      </w:r>
      <w:r w:rsidRPr="001441B3">
        <w:rPr>
          <w:rFonts w:ascii="Times New Roman" w:hAnsi="Times New Roman" w:cs="Times New Roman"/>
        </w:rPr>
        <w:t xml:space="preserve"> it operates structurally. Environmental clearance processes often assume that economic development is a collective good. However, while making such policies the government does not think </w:t>
      </w:r>
      <w:r w:rsidR="00282DB1" w:rsidRPr="001441B3">
        <w:rPr>
          <w:rFonts w:ascii="Times New Roman" w:hAnsi="Times New Roman" w:cs="Times New Roman"/>
        </w:rPr>
        <w:t>about</w:t>
      </w:r>
      <w:r w:rsidRPr="001441B3">
        <w:rPr>
          <w:rFonts w:ascii="Times New Roman" w:hAnsi="Times New Roman" w:cs="Times New Roman"/>
        </w:rPr>
        <w:t xml:space="preserve"> </w:t>
      </w:r>
      <w:r w:rsidR="00282DB1" w:rsidRPr="001441B3">
        <w:rPr>
          <w:rFonts w:ascii="Times New Roman" w:hAnsi="Times New Roman" w:cs="Times New Roman"/>
        </w:rPr>
        <w:t>t</w:t>
      </w:r>
      <w:r w:rsidRPr="001441B3">
        <w:rPr>
          <w:rFonts w:ascii="Times New Roman" w:hAnsi="Times New Roman" w:cs="Times New Roman"/>
        </w:rPr>
        <w:t>he bigger picture , environment jurisprudence always involves the bigger picture because the goal is conservation , economic incentives are temporary a fair example of such a</w:t>
      </w:r>
      <w:r w:rsidR="00CC44C6">
        <w:rPr>
          <w:rFonts w:ascii="Times New Roman" w:hAnsi="Times New Roman" w:cs="Times New Roman"/>
        </w:rPr>
        <w:t>n</w:t>
      </w:r>
      <w:r w:rsidRPr="001441B3">
        <w:rPr>
          <w:rFonts w:ascii="Times New Roman" w:hAnsi="Times New Roman" w:cs="Times New Roman"/>
        </w:rPr>
        <w:t xml:space="preserve"> analysis would be the “Jungle Bachao Andolan” (1982) , where the tribal leaders of the </w:t>
      </w:r>
      <w:proofErr w:type="spellStart"/>
      <w:r w:rsidRPr="001441B3">
        <w:rPr>
          <w:rFonts w:ascii="Times New Roman" w:hAnsi="Times New Roman" w:cs="Times New Roman"/>
        </w:rPr>
        <w:t>Singhbhum</w:t>
      </w:r>
      <w:proofErr w:type="spellEnd"/>
      <w:r w:rsidRPr="001441B3">
        <w:rPr>
          <w:rFonts w:ascii="Times New Roman" w:hAnsi="Times New Roman" w:cs="Times New Roman"/>
        </w:rPr>
        <w:t xml:space="preserve"> district of Bihar started the protest where the government decided to replace the natural </w:t>
      </w:r>
      <w:r w:rsidR="00282DB1" w:rsidRPr="001441B3">
        <w:rPr>
          <w:rFonts w:ascii="Times New Roman" w:hAnsi="Times New Roman" w:cs="Times New Roman"/>
        </w:rPr>
        <w:t>Sal</w:t>
      </w:r>
      <w:r w:rsidRPr="001441B3">
        <w:rPr>
          <w:rFonts w:ascii="Times New Roman" w:hAnsi="Times New Roman" w:cs="Times New Roman"/>
        </w:rPr>
        <w:t xml:space="preserve"> forests with the </w:t>
      </w:r>
      <w:r w:rsidR="00282DB1" w:rsidRPr="001441B3">
        <w:rPr>
          <w:rFonts w:ascii="Times New Roman" w:hAnsi="Times New Roman" w:cs="Times New Roman"/>
        </w:rPr>
        <w:t>highly</w:t>
      </w:r>
      <w:r w:rsidRPr="001441B3">
        <w:rPr>
          <w:rFonts w:ascii="Times New Roman" w:hAnsi="Times New Roman" w:cs="Times New Roman"/>
        </w:rPr>
        <w:t xml:space="preserve"> prices teak. The movement was called “</w:t>
      </w:r>
      <w:r w:rsidR="001441B3">
        <w:rPr>
          <w:rFonts w:ascii="Times New Roman" w:hAnsi="Times New Roman" w:cs="Times New Roman"/>
        </w:rPr>
        <w:t>G</w:t>
      </w:r>
      <w:r w:rsidRPr="001441B3">
        <w:rPr>
          <w:rFonts w:ascii="Times New Roman" w:hAnsi="Times New Roman" w:cs="Times New Roman"/>
        </w:rPr>
        <w:t xml:space="preserve">reen Game Political Populism”. The </w:t>
      </w:r>
      <w:proofErr w:type="spellStart"/>
      <w:r w:rsidR="00282DB1" w:rsidRPr="001441B3">
        <w:rPr>
          <w:rFonts w:ascii="Times New Roman" w:hAnsi="Times New Roman" w:cs="Times New Roman"/>
        </w:rPr>
        <w:t>trade</w:t>
      </w:r>
      <w:r w:rsidR="00CC44C6">
        <w:rPr>
          <w:rFonts w:ascii="Times New Roman" w:hAnsi="Times New Roman" w:cs="Times New Roman"/>
        </w:rPr>
        <w:t xml:space="preserve"> </w:t>
      </w:r>
      <w:r w:rsidR="00282DB1" w:rsidRPr="001441B3">
        <w:rPr>
          <w:rFonts w:ascii="Times New Roman" w:hAnsi="Times New Roman" w:cs="Times New Roman"/>
        </w:rPr>
        <w:t>off</w:t>
      </w:r>
      <w:proofErr w:type="spellEnd"/>
      <w:r w:rsidRPr="001441B3">
        <w:rPr>
          <w:rFonts w:ascii="Times New Roman" w:hAnsi="Times New Roman" w:cs="Times New Roman"/>
        </w:rPr>
        <w:t xml:space="preserve"> essentially that the government makes is not a fair one in most cases.  </w:t>
      </w:r>
    </w:p>
    <w:p w14:paraId="74F5348C" w14:textId="57A80A6B" w:rsidR="00282DB1" w:rsidRPr="001441B3" w:rsidRDefault="00282DB1" w:rsidP="001441B3">
      <w:pPr>
        <w:spacing w:line="360" w:lineRule="auto"/>
        <w:ind w:left="360"/>
        <w:jc w:val="both"/>
        <w:rPr>
          <w:rFonts w:ascii="Times New Roman" w:hAnsi="Times New Roman" w:cs="Times New Roman"/>
        </w:rPr>
      </w:pPr>
      <w:r w:rsidRPr="001441B3">
        <w:rPr>
          <w:rFonts w:ascii="Times New Roman" w:hAnsi="Times New Roman" w:cs="Times New Roman"/>
        </w:rPr>
        <w:t>The climate litigation intimated by Riddhima Pandey</w:t>
      </w:r>
      <w:r w:rsidR="001D5A54" w:rsidRPr="001441B3">
        <w:rPr>
          <w:rStyle w:val="FootnoteReference"/>
          <w:rFonts w:ascii="Times New Roman" w:hAnsi="Times New Roman" w:cs="Times New Roman"/>
        </w:rPr>
        <w:footnoteReference w:id="5"/>
      </w:r>
      <w:r w:rsidRPr="001441B3">
        <w:rPr>
          <w:rFonts w:ascii="Times New Roman" w:hAnsi="Times New Roman" w:cs="Times New Roman"/>
        </w:rPr>
        <w:t xml:space="preserve"> before the National Green Tribunal illustrates this tension. The petition argue</w:t>
      </w:r>
      <w:r w:rsidR="005F7270">
        <w:rPr>
          <w:rFonts w:ascii="Times New Roman" w:hAnsi="Times New Roman" w:cs="Times New Roman"/>
        </w:rPr>
        <w:t>d</w:t>
      </w:r>
      <w:r w:rsidRPr="001441B3">
        <w:rPr>
          <w:rFonts w:ascii="Times New Roman" w:hAnsi="Times New Roman" w:cs="Times New Roman"/>
        </w:rPr>
        <w:t xml:space="preserve"> that India had failed to meet its international commitments under the Paris Agreement. The tribunal dismissed the case, reasoning that there was “no reason to presume” noncompliance. The dismissal reflects a narrow institutional understanding of environmental obligation. Yet lived </w:t>
      </w:r>
      <w:proofErr w:type="gramStart"/>
      <w:r w:rsidRPr="001441B3">
        <w:rPr>
          <w:rFonts w:ascii="Times New Roman" w:hAnsi="Times New Roman" w:cs="Times New Roman"/>
        </w:rPr>
        <w:t>reality</w:t>
      </w:r>
      <w:r w:rsidR="005F7270">
        <w:rPr>
          <w:rFonts w:ascii="Times New Roman" w:hAnsi="Times New Roman" w:cs="Times New Roman"/>
        </w:rPr>
        <w:t xml:space="preserve">, </w:t>
      </w:r>
      <w:r w:rsidRPr="001441B3">
        <w:rPr>
          <w:rFonts w:ascii="Times New Roman" w:hAnsi="Times New Roman" w:cs="Times New Roman"/>
        </w:rPr>
        <w:t xml:space="preserve"> severe</w:t>
      </w:r>
      <w:proofErr w:type="gramEnd"/>
      <w:r w:rsidRPr="001441B3">
        <w:rPr>
          <w:rFonts w:ascii="Times New Roman" w:hAnsi="Times New Roman" w:cs="Times New Roman"/>
        </w:rPr>
        <w:t xml:space="preserve"> air pollution in Delhi, recurring climate induced disasters contradicts this presumption. Stone’s paradox is visible here where for</w:t>
      </w:r>
      <w:r w:rsidR="004853FD" w:rsidRPr="001441B3">
        <w:rPr>
          <w:rFonts w:ascii="Times New Roman" w:hAnsi="Times New Roman" w:cs="Times New Roman"/>
        </w:rPr>
        <w:t>m</w:t>
      </w:r>
      <w:r w:rsidRPr="001441B3">
        <w:rPr>
          <w:rFonts w:ascii="Times New Roman" w:hAnsi="Times New Roman" w:cs="Times New Roman"/>
        </w:rPr>
        <w:t xml:space="preserve">al recognition of environmental rights does not ensure </w:t>
      </w:r>
      <w:r w:rsidR="004853FD" w:rsidRPr="001441B3">
        <w:rPr>
          <w:rFonts w:ascii="Times New Roman" w:hAnsi="Times New Roman" w:cs="Times New Roman"/>
        </w:rPr>
        <w:t>substantive</w:t>
      </w:r>
      <w:r w:rsidRPr="001441B3">
        <w:rPr>
          <w:rFonts w:ascii="Times New Roman" w:hAnsi="Times New Roman" w:cs="Times New Roman"/>
        </w:rPr>
        <w:t xml:space="preserve"> inclusion in enforcement. </w:t>
      </w:r>
    </w:p>
    <w:p w14:paraId="17722E45" w14:textId="77777777" w:rsidR="00282DB1" w:rsidRPr="001441B3" w:rsidRDefault="00282DB1" w:rsidP="001441B3">
      <w:pPr>
        <w:spacing w:line="360" w:lineRule="auto"/>
        <w:ind w:left="360"/>
        <w:jc w:val="both"/>
        <w:rPr>
          <w:rFonts w:ascii="Times New Roman" w:hAnsi="Times New Roman" w:cs="Times New Roman"/>
        </w:rPr>
      </w:pPr>
    </w:p>
    <w:p w14:paraId="6894D841" w14:textId="38645866" w:rsidR="00282DB1" w:rsidRPr="001441B3" w:rsidRDefault="00282DB1" w:rsidP="001441B3">
      <w:pPr>
        <w:spacing w:line="360" w:lineRule="auto"/>
        <w:ind w:left="360"/>
        <w:jc w:val="both"/>
        <w:rPr>
          <w:rFonts w:ascii="Times New Roman" w:hAnsi="Times New Roman" w:cs="Times New Roman"/>
          <w:b/>
          <w:bCs/>
        </w:rPr>
      </w:pPr>
      <w:r w:rsidRPr="001441B3">
        <w:rPr>
          <w:rFonts w:ascii="Times New Roman" w:hAnsi="Times New Roman" w:cs="Times New Roman"/>
          <w:b/>
          <w:bCs/>
        </w:rPr>
        <w:t xml:space="preserve">Merit and </w:t>
      </w:r>
      <w:r w:rsidR="00FD6DCB" w:rsidRPr="001441B3">
        <w:rPr>
          <w:rFonts w:ascii="Times New Roman" w:hAnsi="Times New Roman" w:cs="Times New Roman"/>
          <w:b/>
          <w:bCs/>
        </w:rPr>
        <w:t>Growth:</w:t>
      </w:r>
      <w:r w:rsidRPr="001441B3">
        <w:rPr>
          <w:rFonts w:ascii="Times New Roman" w:hAnsi="Times New Roman" w:cs="Times New Roman"/>
          <w:b/>
          <w:bCs/>
        </w:rPr>
        <w:t xml:space="preserve"> </w:t>
      </w:r>
      <w:r w:rsidR="004853FD" w:rsidRPr="001441B3">
        <w:rPr>
          <w:rFonts w:ascii="Times New Roman" w:hAnsi="Times New Roman" w:cs="Times New Roman"/>
          <w:b/>
          <w:bCs/>
        </w:rPr>
        <w:t>The</w:t>
      </w:r>
      <w:r w:rsidRPr="001441B3">
        <w:rPr>
          <w:rFonts w:ascii="Times New Roman" w:hAnsi="Times New Roman" w:cs="Times New Roman"/>
          <w:b/>
          <w:bCs/>
        </w:rPr>
        <w:t xml:space="preserve"> Selective Defi</w:t>
      </w:r>
      <w:r w:rsidR="004853FD" w:rsidRPr="001441B3">
        <w:rPr>
          <w:rFonts w:ascii="Times New Roman" w:hAnsi="Times New Roman" w:cs="Times New Roman"/>
          <w:b/>
          <w:bCs/>
        </w:rPr>
        <w:t>ni</w:t>
      </w:r>
      <w:r w:rsidRPr="001441B3">
        <w:rPr>
          <w:rFonts w:ascii="Times New Roman" w:hAnsi="Times New Roman" w:cs="Times New Roman"/>
          <w:b/>
          <w:bCs/>
        </w:rPr>
        <w:t xml:space="preserve">tion of Economic Value </w:t>
      </w:r>
    </w:p>
    <w:p w14:paraId="645F968C" w14:textId="44082D53" w:rsidR="00282DB1" w:rsidRPr="001441B3" w:rsidRDefault="00282DB1"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Stone </w:t>
      </w:r>
      <w:r w:rsidR="004853FD" w:rsidRPr="001441B3">
        <w:rPr>
          <w:rFonts w:ascii="Times New Roman" w:hAnsi="Times New Roman" w:cs="Times New Roman"/>
        </w:rPr>
        <w:t>identified</w:t>
      </w:r>
      <w:r w:rsidRPr="001441B3">
        <w:rPr>
          <w:rFonts w:ascii="Times New Roman" w:hAnsi="Times New Roman" w:cs="Times New Roman"/>
        </w:rPr>
        <w:t xml:space="preserve"> merit </w:t>
      </w:r>
      <w:r w:rsidR="004853FD" w:rsidRPr="001441B3">
        <w:rPr>
          <w:rFonts w:ascii="Times New Roman" w:hAnsi="Times New Roman" w:cs="Times New Roman"/>
        </w:rPr>
        <w:t>a powerful</w:t>
      </w:r>
      <w:r w:rsidRPr="001441B3">
        <w:rPr>
          <w:rFonts w:ascii="Times New Roman" w:hAnsi="Times New Roman" w:cs="Times New Roman"/>
        </w:rPr>
        <w:t xml:space="preserve"> but contested basis for distribution. In environmental </w:t>
      </w:r>
      <w:r w:rsidR="004853FD" w:rsidRPr="001441B3">
        <w:rPr>
          <w:rFonts w:ascii="Times New Roman" w:hAnsi="Times New Roman" w:cs="Times New Roman"/>
        </w:rPr>
        <w:t>governance,</w:t>
      </w:r>
      <w:r w:rsidRPr="001441B3">
        <w:rPr>
          <w:rFonts w:ascii="Times New Roman" w:hAnsi="Times New Roman" w:cs="Times New Roman"/>
        </w:rPr>
        <w:t xml:space="preserve"> economic growth operates as </w:t>
      </w:r>
      <w:r w:rsidR="004853FD" w:rsidRPr="001441B3">
        <w:rPr>
          <w:rFonts w:ascii="Times New Roman" w:hAnsi="Times New Roman" w:cs="Times New Roman"/>
        </w:rPr>
        <w:t>the</w:t>
      </w:r>
      <w:r w:rsidRPr="001441B3">
        <w:rPr>
          <w:rFonts w:ascii="Times New Roman" w:hAnsi="Times New Roman" w:cs="Times New Roman"/>
        </w:rPr>
        <w:t xml:space="preserve"> </w:t>
      </w:r>
      <w:r w:rsidR="004853FD" w:rsidRPr="001441B3">
        <w:rPr>
          <w:rFonts w:ascii="Times New Roman" w:hAnsi="Times New Roman" w:cs="Times New Roman"/>
        </w:rPr>
        <w:t>dominant</w:t>
      </w:r>
      <w:r w:rsidRPr="001441B3">
        <w:rPr>
          <w:rFonts w:ascii="Times New Roman" w:hAnsi="Times New Roman" w:cs="Times New Roman"/>
        </w:rPr>
        <w:t xml:space="preserve"> metric of merit. Industrial actors justify environmental degradation by invoking GDP </w:t>
      </w:r>
      <w:r w:rsidR="004853FD" w:rsidRPr="001441B3">
        <w:rPr>
          <w:rFonts w:ascii="Times New Roman" w:hAnsi="Times New Roman" w:cs="Times New Roman"/>
        </w:rPr>
        <w:t>growth,</w:t>
      </w:r>
      <w:r w:rsidRPr="001441B3">
        <w:rPr>
          <w:rFonts w:ascii="Times New Roman" w:hAnsi="Times New Roman" w:cs="Times New Roman"/>
        </w:rPr>
        <w:t xml:space="preserve"> </w:t>
      </w:r>
      <w:r w:rsidR="004853FD" w:rsidRPr="001441B3">
        <w:rPr>
          <w:rFonts w:ascii="Times New Roman" w:hAnsi="Times New Roman" w:cs="Times New Roman"/>
        </w:rPr>
        <w:t>employment</w:t>
      </w:r>
      <w:r w:rsidRPr="001441B3">
        <w:rPr>
          <w:rFonts w:ascii="Times New Roman" w:hAnsi="Times New Roman" w:cs="Times New Roman"/>
        </w:rPr>
        <w:t xml:space="preserve"> generation and infra</w:t>
      </w:r>
      <w:r w:rsidR="004853FD" w:rsidRPr="001441B3">
        <w:rPr>
          <w:rFonts w:ascii="Times New Roman" w:hAnsi="Times New Roman" w:cs="Times New Roman"/>
        </w:rPr>
        <w:t>structure</w:t>
      </w:r>
      <w:r w:rsidRPr="001441B3">
        <w:rPr>
          <w:rFonts w:ascii="Times New Roman" w:hAnsi="Times New Roman" w:cs="Times New Roman"/>
        </w:rPr>
        <w:t xml:space="preserve"> expansion. </w:t>
      </w:r>
    </w:p>
    <w:p w14:paraId="42510312" w14:textId="63944329" w:rsidR="00282DB1" w:rsidRPr="001441B3" w:rsidRDefault="00282DB1"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The </w:t>
      </w:r>
      <w:r w:rsidR="004853FD" w:rsidRPr="001441B3">
        <w:rPr>
          <w:rFonts w:ascii="Times New Roman" w:hAnsi="Times New Roman" w:cs="Times New Roman"/>
        </w:rPr>
        <w:t>environmental</w:t>
      </w:r>
      <w:r w:rsidRPr="001441B3">
        <w:rPr>
          <w:rFonts w:ascii="Times New Roman" w:hAnsi="Times New Roman" w:cs="Times New Roman"/>
        </w:rPr>
        <w:t xml:space="preserve"> clearance framework under the </w:t>
      </w:r>
      <w:r w:rsidR="004853FD" w:rsidRPr="001441B3">
        <w:rPr>
          <w:rFonts w:ascii="Times New Roman" w:hAnsi="Times New Roman" w:cs="Times New Roman"/>
        </w:rPr>
        <w:t>Environmental</w:t>
      </w:r>
      <w:r w:rsidRPr="001441B3">
        <w:rPr>
          <w:rFonts w:ascii="Times New Roman" w:hAnsi="Times New Roman" w:cs="Times New Roman"/>
        </w:rPr>
        <w:t xml:space="preserve"> Impact </w:t>
      </w:r>
      <w:r w:rsidR="004853FD" w:rsidRPr="001441B3">
        <w:rPr>
          <w:rFonts w:ascii="Times New Roman" w:hAnsi="Times New Roman" w:cs="Times New Roman"/>
        </w:rPr>
        <w:t>Assessment</w:t>
      </w:r>
      <w:r w:rsidRPr="001441B3">
        <w:rPr>
          <w:rFonts w:ascii="Times New Roman" w:hAnsi="Times New Roman" w:cs="Times New Roman"/>
        </w:rPr>
        <w:t xml:space="preserve"> </w:t>
      </w:r>
      <w:r w:rsidR="004853FD" w:rsidRPr="001441B3">
        <w:rPr>
          <w:rFonts w:ascii="Times New Roman" w:hAnsi="Times New Roman" w:cs="Times New Roman"/>
        </w:rPr>
        <w:t>notification,</w:t>
      </w:r>
      <w:r w:rsidRPr="001441B3">
        <w:rPr>
          <w:rFonts w:ascii="Times New Roman" w:hAnsi="Times New Roman" w:cs="Times New Roman"/>
        </w:rPr>
        <w:t xml:space="preserve"> 2006 reflects growth centric logic. The 2020 Draft EIA Notification proposed legalizing ex post facto clearances and curtailing </w:t>
      </w:r>
      <w:r w:rsidR="004853FD" w:rsidRPr="001441B3">
        <w:rPr>
          <w:rFonts w:ascii="Times New Roman" w:hAnsi="Times New Roman" w:cs="Times New Roman"/>
        </w:rPr>
        <w:t>public</w:t>
      </w:r>
      <w:r w:rsidRPr="001441B3">
        <w:rPr>
          <w:rFonts w:ascii="Times New Roman" w:hAnsi="Times New Roman" w:cs="Times New Roman"/>
        </w:rPr>
        <w:t xml:space="preserve"> </w:t>
      </w:r>
      <w:r w:rsidR="004853FD" w:rsidRPr="001441B3">
        <w:rPr>
          <w:rFonts w:ascii="Times New Roman" w:hAnsi="Times New Roman" w:cs="Times New Roman"/>
        </w:rPr>
        <w:t>hearings,</w:t>
      </w:r>
      <w:r w:rsidRPr="001441B3">
        <w:rPr>
          <w:rFonts w:ascii="Times New Roman" w:hAnsi="Times New Roman" w:cs="Times New Roman"/>
        </w:rPr>
        <w:t xml:space="preserve"> </w:t>
      </w:r>
      <w:r w:rsidR="004853FD" w:rsidRPr="001441B3">
        <w:rPr>
          <w:rFonts w:ascii="Times New Roman" w:hAnsi="Times New Roman" w:cs="Times New Roman"/>
        </w:rPr>
        <w:t>signalizing</w:t>
      </w:r>
      <w:r w:rsidRPr="001441B3">
        <w:rPr>
          <w:rFonts w:ascii="Times New Roman" w:hAnsi="Times New Roman" w:cs="Times New Roman"/>
        </w:rPr>
        <w:t xml:space="preserve"> a shift toward deregulation. This move suggests that economic continuity may outweigh precautionary enforcement. </w:t>
      </w:r>
    </w:p>
    <w:p w14:paraId="5441122E" w14:textId="1DE58F6D" w:rsidR="00FD6DCB" w:rsidRPr="001441B3" w:rsidRDefault="00FD6DCB"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Stone reminds us that merit is socially </w:t>
      </w:r>
      <w:r w:rsidR="004853FD" w:rsidRPr="001441B3">
        <w:rPr>
          <w:rFonts w:ascii="Times New Roman" w:hAnsi="Times New Roman" w:cs="Times New Roman"/>
        </w:rPr>
        <w:t>constructed,</w:t>
      </w:r>
      <w:r w:rsidRPr="001441B3">
        <w:rPr>
          <w:rFonts w:ascii="Times New Roman" w:hAnsi="Times New Roman" w:cs="Times New Roman"/>
        </w:rPr>
        <w:t xml:space="preserve"> Markets do not </w:t>
      </w:r>
      <w:r w:rsidR="004853FD" w:rsidRPr="001441B3">
        <w:rPr>
          <w:rFonts w:ascii="Times New Roman" w:hAnsi="Times New Roman" w:cs="Times New Roman"/>
        </w:rPr>
        <w:t>independently determine</w:t>
      </w:r>
      <w:r w:rsidRPr="001441B3">
        <w:rPr>
          <w:rFonts w:ascii="Times New Roman" w:hAnsi="Times New Roman" w:cs="Times New Roman"/>
        </w:rPr>
        <w:t xml:space="preserve"> value, state policy shapes economic priorities. In India, regulatory dilution and expedited clearances indicate </w:t>
      </w:r>
      <w:r w:rsidR="004853FD" w:rsidRPr="001441B3">
        <w:rPr>
          <w:rFonts w:ascii="Times New Roman" w:hAnsi="Times New Roman" w:cs="Times New Roman"/>
        </w:rPr>
        <w:t>a political</w:t>
      </w:r>
      <w:r w:rsidRPr="001441B3">
        <w:rPr>
          <w:rFonts w:ascii="Times New Roman" w:hAnsi="Times New Roman" w:cs="Times New Roman"/>
        </w:rPr>
        <w:t xml:space="preserve"> choice to privilege economic expansion over ecological </w:t>
      </w:r>
      <w:r w:rsidR="004853FD" w:rsidRPr="001441B3">
        <w:rPr>
          <w:rFonts w:ascii="Times New Roman" w:hAnsi="Times New Roman" w:cs="Times New Roman"/>
        </w:rPr>
        <w:t>stability,</w:t>
      </w:r>
      <w:r w:rsidRPr="001441B3">
        <w:rPr>
          <w:rFonts w:ascii="Times New Roman" w:hAnsi="Times New Roman" w:cs="Times New Roman"/>
        </w:rPr>
        <w:t xml:space="preserve"> at times the intention might be at the right </w:t>
      </w:r>
      <w:r w:rsidR="004853FD" w:rsidRPr="001441B3">
        <w:rPr>
          <w:rFonts w:ascii="Times New Roman" w:hAnsi="Times New Roman" w:cs="Times New Roman"/>
        </w:rPr>
        <w:t>place,</w:t>
      </w:r>
      <w:r w:rsidRPr="001441B3">
        <w:rPr>
          <w:rFonts w:ascii="Times New Roman" w:hAnsi="Times New Roman" w:cs="Times New Roman"/>
        </w:rPr>
        <w:t xml:space="preserve"> but the implementation speaks differently. The </w:t>
      </w:r>
      <w:r w:rsidR="004853FD" w:rsidRPr="001441B3">
        <w:rPr>
          <w:rFonts w:ascii="Times New Roman" w:hAnsi="Times New Roman" w:cs="Times New Roman"/>
        </w:rPr>
        <w:t>selective</w:t>
      </w:r>
      <w:r w:rsidRPr="001441B3">
        <w:rPr>
          <w:rFonts w:ascii="Times New Roman" w:hAnsi="Times New Roman" w:cs="Times New Roman"/>
        </w:rPr>
        <w:t xml:space="preserve"> merit narrative weakens </w:t>
      </w:r>
      <w:r w:rsidR="004853FD" w:rsidRPr="001441B3">
        <w:rPr>
          <w:rFonts w:ascii="Times New Roman" w:hAnsi="Times New Roman" w:cs="Times New Roman"/>
        </w:rPr>
        <w:t>implementation,</w:t>
      </w:r>
      <w:r w:rsidRPr="001441B3">
        <w:rPr>
          <w:rFonts w:ascii="Times New Roman" w:hAnsi="Times New Roman" w:cs="Times New Roman"/>
        </w:rPr>
        <w:t xml:space="preserve"> when environmental harm is framed as a necessary </w:t>
      </w:r>
      <w:r w:rsidR="004853FD" w:rsidRPr="001441B3">
        <w:rPr>
          <w:rFonts w:ascii="Times New Roman" w:hAnsi="Times New Roman" w:cs="Times New Roman"/>
        </w:rPr>
        <w:t>tradeoff</w:t>
      </w:r>
      <w:r w:rsidRPr="001441B3">
        <w:rPr>
          <w:rFonts w:ascii="Times New Roman" w:hAnsi="Times New Roman" w:cs="Times New Roman"/>
        </w:rPr>
        <w:t xml:space="preserve"> for development m enforcement agencies face structural </w:t>
      </w:r>
      <w:r w:rsidR="004853FD" w:rsidRPr="001441B3">
        <w:rPr>
          <w:rFonts w:ascii="Times New Roman" w:hAnsi="Times New Roman" w:cs="Times New Roman"/>
        </w:rPr>
        <w:t>pressure</w:t>
      </w:r>
      <w:r w:rsidRPr="001441B3">
        <w:rPr>
          <w:rFonts w:ascii="Times New Roman" w:hAnsi="Times New Roman" w:cs="Times New Roman"/>
        </w:rPr>
        <w:t xml:space="preserve"> to </w:t>
      </w:r>
      <w:r w:rsidR="004853FD" w:rsidRPr="001441B3">
        <w:rPr>
          <w:rFonts w:ascii="Times New Roman" w:hAnsi="Times New Roman" w:cs="Times New Roman"/>
        </w:rPr>
        <w:t>compromise</w:t>
      </w:r>
      <w:r w:rsidRPr="001441B3">
        <w:rPr>
          <w:rFonts w:ascii="Times New Roman" w:hAnsi="Times New Roman" w:cs="Times New Roman"/>
        </w:rPr>
        <w:t>. The 399</w:t>
      </w:r>
      <w:r w:rsidRPr="001441B3">
        <w:rPr>
          <w:rFonts w:ascii="Times New Roman" w:hAnsi="Times New Roman" w:cs="Times New Roman"/>
          <w:vertAlign w:val="superscript"/>
        </w:rPr>
        <w:t>th</w:t>
      </w:r>
      <w:r w:rsidRPr="001441B3">
        <w:rPr>
          <w:rFonts w:ascii="Times New Roman" w:hAnsi="Times New Roman" w:cs="Times New Roman"/>
        </w:rPr>
        <w:t xml:space="preserve"> Action Taken Report of the Ministry of </w:t>
      </w:r>
      <w:r w:rsidR="004853FD" w:rsidRPr="001441B3">
        <w:rPr>
          <w:rFonts w:ascii="Times New Roman" w:hAnsi="Times New Roman" w:cs="Times New Roman"/>
        </w:rPr>
        <w:t>Environment,</w:t>
      </w:r>
      <w:r w:rsidRPr="001441B3">
        <w:rPr>
          <w:rFonts w:ascii="Times New Roman" w:hAnsi="Times New Roman" w:cs="Times New Roman"/>
        </w:rPr>
        <w:t xml:space="preserve"> Forest and Climate Change shows increasing budgetary allocations. However significant funds remain underutilized and o</w:t>
      </w:r>
      <w:r w:rsidR="004853FD" w:rsidRPr="001441B3">
        <w:rPr>
          <w:rFonts w:ascii="Times New Roman" w:hAnsi="Times New Roman" w:cs="Times New Roman"/>
        </w:rPr>
        <w:t>verall</w:t>
      </w:r>
      <w:r w:rsidRPr="001441B3">
        <w:rPr>
          <w:rFonts w:ascii="Times New Roman" w:hAnsi="Times New Roman" w:cs="Times New Roman"/>
        </w:rPr>
        <w:t xml:space="preserve"> enforcement mechanisms are weak. The issue is not solely financial capacity it is the prioritization of economic </w:t>
      </w:r>
      <w:r w:rsidR="004853FD" w:rsidRPr="001441B3">
        <w:rPr>
          <w:rFonts w:ascii="Times New Roman" w:hAnsi="Times New Roman" w:cs="Times New Roman"/>
        </w:rPr>
        <w:t>objectives,</w:t>
      </w:r>
      <w:r w:rsidRPr="001441B3">
        <w:rPr>
          <w:rFonts w:ascii="Times New Roman" w:hAnsi="Times New Roman" w:cs="Times New Roman"/>
        </w:rPr>
        <w:t xml:space="preserve"> political advantages over strict </w:t>
      </w:r>
      <w:r w:rsidR="004853FD" w:rsidRPr="001441B3">
        <w:rPr>
          <w:rFonts w:ascii="Times New Roman" w:hAnsi="Times New Roman" w:cs="Times New Roman"/>
        </w:rPr>
        <w:t>environmental</w:t>
      </w:r>
      <w:r w:rsidRPr="001441B3">
        <w:rPr>
          <w:rFonts w:ascii="Times New Roman" w:hAnsi="Times New Roman" w:cs="Times New Roman"/>
        </w:rPr>
        <w:t xml:space="preserve"> compliance. </w:t>
      </w:r>
    </w:p>
    <w:p w14:paraId="0D2C95DE" w14:textId="401DC8B9" w:rsidR="001D5A54" w:rsidRPr="001441B3" w:rsidRDefault="00FD6DCB" w:rsidP="001441B3">
      <w:pPr>
        <w:spacing w:line="360" w:lineRule="auto"/>
        <w:ind w:left="360"/>
        <w:jc w:val="both"/>
        <w:rPr>
          <w:rFonts w:ascii="Times New Roman" w:hAnsi="Times New Roman" w:cs="Times New Roman"/>
          <w:b/>
          <w:bCs/>
        </w:rPr>
      </w:pPr>
      <w:r w:rsidRPr="001441B3">
        <w:rPr>
          <w:rFonts w:ascii="Times New Roman" w:hAnsi="Times New Roman" w:cs="Times New Roman"/>
          <w:b/>
          <w:bCs/>
        </w:rPr>
        <w:t xml:space="preserve">The </w:t>
      </w:r>
      <w:r w:rsidR="001D5A54" w:rsidRPr="001441B3">
        <w:rPr>
          <w:rFonts w:ascii="Times New Roman" w:hAnsi="Times New Roman" w:cs="Times New Roman"/>
          <w:b/>
          <w:bCs/>
        </w:rPr>
        <w:t>Item:</w:t>
      </w:r>
      <w:r w:rsidRPr="001441B3">
        <w:rPr>
          <w:rFonts w:ascii="Times New Roman" w:hAnsi="Times New Roman" w:cs="Times New Roman"/>
          <w:b/>
          <w:bCs/>
        </w:rPr>
        <w:t xml:space="preserve"> </w:t>
      </w:r>
      <w:r w:rsidR="004853FD" w:rsidRPr="001441B3">
        <w:rPr>
          <w:rFonts w:ascii="Times New Roman" w:hAnsi="Times New Roman" w:cs="Times New Roman"/>
          <w:b/>
          <w:bCs/>
        </w:rPr>
        <w:t>What is</w:t>
      </w:r>
      <w:r w:rsidRPr="001441B3">
        <w:rPr>
          <w:rFonts w:ascii="Times New Roman" w:hAnsi="Times New Roman" w:cs="Times New Roman"/>
          <w:b/>
          <w:bCs/>
        </w:rPr>
        <w:t xml:space="preserve"> being </w:t>
      </w:r>
      <w:r w:rsidR="004853FD" w:rsidRPr="001441B3">
        <w:rPr>
          <w:rFonts w:ascii="Times New Roman" w:hAnsi="Times New Roman" w:cs="Times New Roman"/>
          <w:b/>
          <w:bCs/>
        </w:rPr>
        <w:t>Distributed?</w:t>
      </w:r>
    </w:p>
    <w:p w14:paraId="22CD9349" w14:textId="77777777" w:rsidR="001441B3" w:rsidRPr="001441B3" w:rsidRDefault="00867BC2"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This dimension concerns the definition of the item </w:t>
      </w:r>
      <w:r w:rsidR="004853FD" w:rsidRPr="001441B3">
        <w:rPr>
          <w:rFonts w:ascii="Times New Roman" w:hAnsi="Times New Roman" w:cs="Times New Roman"/>
        </w:rPr>
        <w:t>being</w:t>
      </w:r>
      <w:r w:rsidRPr="001441B3">
        <w:rPr>
          <w:rFonts w:ascii="Times New Roman" w:hAnsi="Times New Roman" w:cs="Times New Roman"/>
        </w:rPr>
        <w:t xml:space="preserve"> </w:t>
      </w:r>
      <w:r w:rsidR="004853FD" w:rsidRPr="001441B3">
        <w:rPr>
          <w:rFonts w:ascii="Times New Roman" w:hAnsi="Times New Roman" w:cs="Times New Roman"/>
        </w:rPr>
        <w:t>distributed</w:t>
      </w:r>
      <w:r w:rsidRPr="001441B3">
        <w:rPr>
          <w:rFonts w:ascii="Times New Roman" w:hAnsi="Times New Roman" w:cs="Times New Roman"/>
        </w:rPr>
        <w:t xml:space="preserve">. In </w:t>
      </w:r>
      <w:r w:rsidR="004853FD" w:rsidRPr="001441B3">
        <w:rPr>
          <w:rFonts w:ascii="Times New Roman" w:hAnsi="Times New Roman" w:cs="Times New Roman"/>
        </w:rPr>
        <w:t>environmental</w:t>
      </w:r>
      <w:r w:rsidRPr="001441B3">
        <w:rPr>
          <w:rFonts w:ascii="Times New Roman" w:hAnsi="Times New Roman" w:cs="Times New Roman"/>
        </w:rPr>
        <w:t xml:space="preserve"> </w:t>
      </w:r>
      <w:r w:rsidR="004853FD" w:rsidRPr="001441B3">
        <w:rPr>
          <w:rFonts w:ascii="Times New Roman" w:hAnsi="Times New Roman" w:cs="Times New Roman"/>
        </w:rPr>
        <w:t>law,</w:t>
      </w:r>
      <w:r w:rsidRPr="001441B3">
        <w:rPr>
          <w:rFonts w:ascii="Times New Roman" w:hAnsi="Times New Roman" w:cs="Times New Roman"/>
        </w:rPr>
        <w:t xml:space="preserve"> the “item” c</w:t>
      </w:r>
      <w:r w:rsidR="004853FD" w:rsidRPr="001441B3">
        <w:rPr>
          <w:rFonts w:ascii="Times New Roman" w:hAnsi="Times New Roman" w:cs="Times New Roman"/>
        </w:rPr>
        <w:t>a</w:t>
      </w:r>
      <w:r w:rsidRPr="001441B3">
        <w:rPr>
          <w:rFonts w:ascii="Times New Roman" w:hAnsi="Times New Roman" w:cs="Times New Roman"/>
        </w:rPr>
        <w:t xml:space="preserve">n be narrowly </w:t>
      </w:r>
      <w:r w:rsidR="004853FD" w:rsidRPr="001441B3">
        <w:rPr>
          <w:rFonts w:ascii="Times New Roman" w:hAnsi="Times New Roman" w:cs="Times New Roman"/>
        </w:rPr>
        <w:t>defined</w:t>
      </w:r>
      <w:r w:rsidRPr="001441B3">
        <w:rPr>
          <w:rFonts w:ascii="Times New Roman" w:hAnsi="Times New Roman" w:cs="Times New Roman"/>
        </w:rPr>
        <w:t xml:space="preserve"> as regulatory compliance meeting emission standards or filing reports. Under this narrow </w:t>
      </w:r>
      <w:r w:rsidR="004853FD" w:rsidRPr="001441B3">
        <w:rPr>
          <w:rFonts w:ascii="Times New Roman" w:hAnsi="Times New Roman" w:cs="Times New Roman"/>
        </w:rPr>
        <w:t>definition,</w:t>
      </w:r>
      <w:r w:rsidRPr="001441B3">
        <w:rPr>
          <w:rFonts w:ascii="Times New Roman" w:hAnsi="Times New Roman" w:cs="Times New Roman"/>
        </w:rPr>
        <w:t xml:space="preserve"> enforcement may appear </w:t>
      </w:r>
      <w:r w:rsidR="004853FD" w:rsidRPr="001441B3">
        <w:rPr>
          <w:rFonts w:ascii="Times New Roman" w:hAnsi="Times New Roman" w:cs="Times New Roman"/>
        </w:rPr>
        <w:t>adequate</w:t>
      </w:r>
      <w:r w:rsidRPr="001441B3">
        <w:rPr>
          <w:rFonts w:ascii="Times New Roman" w:hAnsi="Times New Roman" w:cs="Times New Roman"/>
        </w:rPr>
        <w:t xml:space="preserve">. </w:t>
      </w:r>
      <w:r w:rsidR="004853FD" w:rsidRPr="001441B3">
        <w:rPr>
          <w:rFonts w:ascii="Times New Roman" w:hAnsi="Times New Roman" w:cs="Times New Roman"/>
        </w:rPr>
        <w:t>However,</w:t>
      </w:r>
      <w:r w:rsidRPr="001441B3">
        <w:rPr>
          <w:rFonts w:ascii="Times New Roman" w:hAnsi="Times New Roman" w:cs="Times New Roman"/>
        </w:rPr>
        <w:t xml:space="preserve"> if th</w:t>
      </w:r>
      <w:r w:rsidR="004853FD" w:rsidRPr="001441B3">
        <w:rPr>
          <w:rFonts w:ascii="Times New Roman" w:hAnsi="Times New Roman" w:cs="Times New Roman"/>
        </w:rPr>
        <w:t>e</w:t>
      </w:r>
      <w:r w:rsidRPr="001441B3">
        <w:rPr>
          <w:rFonts w:ascii="Times New Roman" w:hAnsi="Times New Roman" w:cs="Times New Roman"/>
        </w:rPr>
        <w:t xml:space="preserve"> item is defined broadly as access to clean </w:t>
      </w:r>
      <w:r w:rsidR="004853FD" w:rsidRPr="001441B3">
        <w:rPr>
          <w:rFonts w:ascii="Times New Roman" w:hAnsi="Times New Roman" w:cs="Times New Roman"/>
        </w:rPr>
        <w:t>air,</w:t>
      </w:r>
      <w:r w:rsidRPr="001441B3">
        <w:rPr>
          <w:rFonts w:ascii="Times New Roman" w:hAnsi="Times New Roman" w:cs="Times New Roman"/>
        </w:rPr>
        <w:t xml:space="preserve"> safe </w:t>
      </w:r>
      <w:r w:rsidR="004853FD" w:rsidRPr="001441B3">
        <w:rPr>
          <w:rFonts w:ascii="Times New Roman" w:hAnsi="Times New Roman" w:cs="Times New Roman"/>
        </w:rPr>
        <w:t>water,</w:t>
      </w:r>
      <w:r w:rsidRPr="001441B3">
        <w:rPr>
          <w:rFonts w:ascii="Times New Roman" w:hAnsi="Times New Roman" w:cs="Times New Roman"/>
        </w:rPr>
        <w:t xml:space="preserve"> ecological stability and climate </w:t>
      </w:r>
      <w:r w:rsidR="004853FD" w:rsidRPr="001441B3">
        <w:rPr>
          <w:rFonts w:ascii="Times New Roman" w:hAnsi="Times New Roman" w:cs="Times New Roman"/>
        </w:rPr>
        <w:t>security,</w:t>
      </w:r>
      <w:r w:rsidRPr="001441B3">
        <w:rPr>
          <w:rFonts w:ascii="Times New Roman" w:hAnsi="Times New Roman" w:cs="Times New Roman"/>
        </w:rPr>
        <w:t xml:space="preserve"> implementation gaps become evident. </w:t>
      </w:r>
      <w:r w:rsidR="00D461B8" w:rsidRPr="001441B3">
        <w:rPr>
          <w:rFonts w:ascii="Times New Roman" w:hAnsi="Times New Roman" w:cs="Times New Roman"/>
        </w:rPr>
        <w:t xml:space="preserve">As Stone has observed </w:t>
      </w:r>
      <w:r w:rsidR="00D461B8" w:rsidRPr="001441B3">
        <w:rPr>
          <w:rFonts w:ascii="Times New Roman" w:hAnsi="Times New Roman" w:cs="Times New Roman"/>
        </w:rPr>
        <w:t>I use the word "equality" to denote sameness and to signify the part of a distribution that contains uniformity-uniformity of slices, or of meals, or of voting power, for example. I use "equity" to denote distributions regarded as fair, even though they contain both equalities and inequalities.</w:t>
      </w:r>
      <w:r w:rsidR="001D5A54" w:rsidRPr="001441B3">
        <w:rPr>
          <w:rStyle w:val="FootnoteReference"/>
          <w:rFonts w:ascii="Times New Roman" w:hAnsi="Times New Roman" w:cs="Times New Roman"/>
        </w:rPr>
        <w:footnoteReference w:id="6"/>
      </w:r>
    </w:p>
    <w:p w14:paraId="02E168C8" w14:textId="77777777" w:rsidR="001441B3" w:rsidRPr="001441B3" w:rsidRDefault="00867BC2"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This </w:t>
      </w:r>
      <w:r w:rsidR="004853FD" w:rsidRPr="001441B3">
        <w:rPr>
          <w:rFonts w:ascii="Times New Roman" w:hAnsi="Times New Roman" w:cs="Times New Roman"/>
        </w:rPr>
        <w:t>definitional</w:t>
      </w:r>
      <w:r w:rsidRPr="001441B3">
        <w:rPr>
          <w:rFonts w:ascii="Times New Roman" w:hAnsi="Times New Roman" w:cs="Times New Roman"/>
        </w:rPr>
        <w:t xml:space="preserve"> gap also explains apart of the paradox in Indian environmental governance. As defined </w:t>
      </w:r>
      <w:r w:rsidR="001441B3" w:rsidRPr="001441B3">
        <w:rPr>
          <w:rFonts w:ascii="Times New Roman" w:hAnsi="Times New Roman" w:cs="Times New Roman"/>
          <w:i/>
          <w:iCs/>
        </w:rPr>
        <w:t>“This</w:t>
      </w:r>
      <w:r w:rsidRPr="001441B3">
        <w:rPr>
          <w:rFonts w:ascii="Times New Roman" w:hAnsi="Times New Roman" w:cs="Times New Roman"/>
          <w:i/>
          <w:iCs/>
        </w:rPr>
        <w:t xml:space="preserve"> contradiction between the existence of strong protective laws and the continued degradation of the environment is what defines the “paradox of protection” in the Indian context.</w:t>
      </w:r>
      <w:r w:rsidR="001D5A54" w:rsidRPr="001441B3">
        <w:rPr>
          <w:rFonts w:ascii="Times New Roman" w:hAnsi="Times New Roman" w:cs="Times New Roman"/>
          <w:i/>
          <w:iCs/>
        </w:rPr>
        <w:t>”</w:t>
      </w:r>
      <w:r w:rsidR="001D5A54" w:rsidRPr="001441B3">
        <w:rPr>
          <w:rStyle w:val="FootnoteReference"/>
          <w:rFonts w:ascii="Times New Roman" w:hAnsi="Times New Roman" w:cs="Times New Roman"/>
          <w:i/>
          <w:iCs/>
        </w:rPr>
        <w:footnoteReference w:id="7"/>
      </w:r>
      <w:r w:rsidRPr="001441B3">
        <w:rPr>
          <w:rFonts w:ascii="Times New Roman" w:hAnsi="Times New Roman" w:cs="Times New Roman"/>
        </w:rPr>
        <w:t xml:space="preserve"> A tribal community dependent on forest land experiences environmental degradation differently from an urban consumer benefiting from industrial output. </w:t>
      </w:r>
    </w:p>
    <w:p w14:paraId="364EA0F6" w14:textId="77777777" w:rsidR="001441B3" w:rsidRPr="001441B3" w:rsidRDefault="00867BC2" w:rsidP="001441B3">
      <w:pPr>
        <w:spacing w:line="360" w:lineRule="auto"/>
        <w:ind w:left="360"/>
        <w:jc w:val="both"/>
        <w:rPr>
          <w:rFonts w:ascii="Times New Roman" w:hAnsi="Times New Roman" w:cs="Times New Roman"/>
        </w:rPr>
      </w:pPr>
      <w:r w:rsidRPr="001441B3">
        <w:rPr>
          <w:rFonts w:ascii="Times New Roman" w:hAnsi="Times New Roman" w:cs="Times New Roman"/>
        </w:rPr>
        <w:t xml:space="preserve">By defining the environmental item </w:t>
      </w:r>
      <w:r w:rsidR="004853FD" w:rsidRPr="001441B3">
        <w:rPr>
          <w:rFonts w:ascii="Times New Roman" w:hAnsi="Times New Roman" w:cs="Times New Roman"/>
        </w:rPr>
        <w:t>narrowly,</w:t>
      </w:r>
      <w:r w:rsidRPr="001441B3">
        <w:rPr>
          <w:rFonts w:ascii="Times New Roman" w:hAnsi="Times New Roman" w:cs="Times New Roman"/>
        </w:rPr>
        <w:t xml:space="preserve"> the state </w:t>
      </w:r>
      <w:r w:rsidR="004853FD" w:rsidRPr="001441B3">
        <w:rPr>
          <w:rFonts w:ascii="Times New Roman" w:hAnsi="Times New Roman" w:cs="Times New Roman"/>
        </w:rPr>
        <w:t>avoids</w:t>
      </w:r>
      <w:r w:rsidRPr="001441B3">
        <w:rPr>
          <w:rFonts w:ascii="Times New Roman" w:hAnsi="Times New Roman" w:cs="Times New Roman"/>
        </w:rPr>
        <w:t xml:space="preserve"> </w:t>
      </w:r>
      <w:r w:rsidR="004853FD" w:rsidRPr="001441B3">
        <w:rPr>
          <w:rFonts w:ascii="Times New Roman" w:hAnsi="Times New Roman" w:cs="Times New Roman"/>
        </w:rPr>
        <w:t>redistributive</w:t>
      </w:r>
      <w:r w:rsidRPr="001441B3">
        <w:rPr>
          <w:rFonts w:ascii="Times New Roman" w:hAnsi="Times New Roman" w:cs="Times New Roman"/>
        </w:rPr>
        <w:t xml:space="preserve"> consequences. If clean air and water were treated as substantive rights rather </w:t>
      </w:r>
      <w:r w:rsidR="004853FD" w:rsidRPr="001441B3">
        <w:rPr>
          <w:rFonts w:ascii="Times New Roman" w:hAnsi="Times New Roman" w:cs="Times New Roman"/>
        </w:rPr>
        <w:t>than</w:t>
      </w:r>
      <w:r w:rsidRPr="001441B3">
        <w:rPr>
          <w:rFonts w:ascii="Times New Roman" w:hAnsi="Times New Roman" w:cs="Times New Roman"/>
        </w:rPr>
        <w:t xml:space="preserve"> regulatory </w:t>
      </w:r>
      <w:r w:rsidR="004853FD" w:rsidRPr="001441B3">
        <w:rPr>
          <w:rFonts w:ascii="Times New Roman" w:hAnsi="Times New Roman" w:cs="Times New Roman"/>
        </w:rPr>
        <w:t>targets,</w:t>
      </w:r>
      <w:r w:rsidRPr="001441B3">
        <w:rPr>
          <w:rFonts w:ascii="Times New Roman" w:hAnsi="Times New Roman" w:cs="Times New Roman"/>
        </w:rPr>
        <w:t xml:space="preserve"> enforcement </w:t>
      </w:r>
      <w:r w:rsidR="004853FD" w:rsidRPr="001441B3">
        <w:rPr>
          <w:rFonts w:ascii="Times New Roman" w:hAnsi="Times New Roman" w:cs="Times New Roman"/>
        </w:rPr>
        <w:t>would</w:t>
      </w:r>
      <w:r w:rsidRPr="001441B3">
        <w:rPr>
          <w:rFonts w:ascii="Times New Roman" w:hAnsi="Times New Roman" w:cs="Times New Roman"/>
        </w:rPr>
        <w:t xml:space="preserve"> </w:t>
      </w:r>
      <w:r w:rsidR="004853FD" w:rsidRPr="001441B3">
        <w:rPr>
          <w:rFonts w:ascii="Times New Roman" w:hAnsi="Times New Roman" w:cs="Times New Roman"/>
        </w:rPr>
        <w:t>require</w:t>
      </w:r>
      <w:r w:rsidRPr="001441B3">
        <w:rPr>
          <w:rFonts w:ascii="Times New Roman" w:hAnsi="Times New Roman" w:cs="Times New Roman"/>
        </w:rPr>
        <w:t xml:space="preserve"> structural economic adjustments. Hence Stone’s insight is that equality depends on how </w:t>
      </w:r>
      <w:r w:rsidR="004853FD" w:rsidRPr="001441B3">
        <w:rPr>
          <w:rFonts w:ascii="Times New Roman" w:hAnsi="Times New Roman" w:cs="Times New Roman"/>
        </w:rPr>
        <w:t>t</w:t>
      </w:r>
      <w:r w:rsidRPr="001441B3">
        <w:rPr>
          <w:rFonts w:ascii="Times New Roman" w:hAnsi="Times New Roman" w:cs="Times New Roman"/>
        </w:rPr>
        <w:t xml:space="preserve">he item </w:t>
      </w:r>
      <w:r w:rsidR="004853FD" w:rsidRPr="001441B3">
        <w:rPr>
          <w:rFonts w:ascii="Times New Roman" w:hAnsi="Times New Roman" w:cs="Times New Roman"/>
        </w:rPr>
        <w:t xml:space="preserve">is </w:t>
      </w:r>
      <w:r w:rsidRPr="001441B3">
        <w:rPr>
          <w:rFonts w:ascii="Times New Roman" w:hAnsi="Times New Roman" w:cs="Times New Roman"/>
        </w:rPr>
        <w:t xml:space="preserve">defined which </w:t>
      </w:r>
      <w:r w:rsidR="004853FD" w:rsidRPr="001441B3">
        <w:rPr>
          <w:rFonts w:ascii="Times New Roman" w:hAnsi="Times New Roman" w:cs="Times New Roman"/>
        </w:rPr>
        <w:t>in turn</w:t>
      </w:r>
      <w:r w:rsidRPr="001441B3">
        <w:rPr>
          <w:rFonts w:ascii="Times New Roman" w:hAnsi="Times New Roman" w:cs="Times New Roman"/>
        </w:rPr>
        <w:t xml:space="preserve"> exposes the tension. </w:t>
      </w:r>
    </w:p>
    <w:p w14:paraId="0676CAA0" w14:textId="77777777" w:rsidR="001441B3" w:rsidRPr="001441B3" w:rsidRDefault="00867BC2" w:rsidP="001441B3">
      <w:pPr>
        <w:spacing w:line="360" w:lineRule="auto"/>
        <w:ind w:left="360"/>
        <w:jc w:val="both"/>
        <w:rPr>
          <w:rFonts w:ascii="Times New Roman" w:hAnsi="Times New Roman" w:cs="Times New Roman"/>
          <w:b/>
          <w:bCs/>
        </w:rPr>
      </w:pPr>
      <w:r w:rsidRPr="001441B3">
        <w:rPr>
          <w:rFonts w:ascii="Times New Roman" w:hAnsi="Times New Roman" w:cs="Times New Roman"/>
        </w:rPr>
        <w:t xml:space="preserve">The </w:t>
      </w:r>
      <w:r w:rsidR="004853FD" w:rsidRPr="001441B3">
        <w:rPr>
          <w:rFonts w:ascii="Times New Roman" w:hAnsi="Times New Roman" w:cs="Times New Roman"/>
        </w:rPr>
        <w:t>failure</w:t>
      </w:r>
      <w:r w:rsidRPr="001441B3">
        <w:rPr>
          <w:rFonts w:ascii="Times New Roman" w:hAnsi="Times New Roman" w:cs="Times New Roman"/>
        </w:rPr>
        <w:t xml:space="preserve"> to f</w:t>
      </w:r>
      <w:r w:rsidR="004853FD" w:rsidRPr="001441B3">
        <w:rPr>
          <w:rFonts w:ascii="Times New Roman" w:hAnsi="Times New Roman" w:cs="Times New Roman"/>
        </w:rPr>
        <w:t>u</w:t>
      </w:r>
      <w:r w:rsidRPr="001441B3">
        <w:rPr>
          <w:rFonts w:ascii="Times New Roman" w:hAnsi="Times New Roman" w:cs="Times New Roman"/>
        </w:rPr>
        <w:t xml:space="preserve">lly </w:t>
      </w:r>
      <w:r w:rsidR="004853FD" w:rsidRPr="001441B3">
        <w:rPr>
          <w:rFonts w:ascii="Times New Roman" w:hAnsi="Times New Roman" w:cs="Times New Roman"/>
        </w:rPr>
        <w:t>operationalize</w:t>
      </w:r>
      <w:r w:rsidRPr="001441B3">
        <w:rPr>
          <w:rFonts w:ascii="Times New Roman" w:hAnsi="Times New Roman" w:cs="Times New Roman"/>
        </w:rPr>
        <w:t xml:space="preserve"> doctrines such </w:t>
      </w:r>
      <w:r w:rsidRPr="001441B3">
        <w:rPr>
          <w:rFonts w:ascii="Times New Roman" w:hAnsi="Times New Roman" w:cs="Times New Roman"/>
          <w:i/>
          <w:iCs/>
        </w:rPr>
        <w:t>as Polluter Pays Principles</w:t>
      </w:r>
      <w:r w:rsidRPr="001441B3">
        <w:rPr>
          <w:rFonts w:ascii="Times New Roman" w:hAnsi="Times New Roman" w:cs="Times New Roman"/>
        </w:rPr>
        <w:t xml:space="preserve"> recognized in Indian council for Enviro Legal Action v Union of </w:t>
      </w:r>
      <w:r w:rsidR="001D5A54" w:rsidRPr="001441B3">
        <w:rPr>
          <w:rFonts w:ascii="Times New Roman" w:hAnsi="Times New Roman" w:cs="Times New Roman"/>
        </w:rPr>
        <w:t>India</w:t>
      </w:r>
      <w:r w:rsidR="001D5A54" w:rsidRPr="001441B3">
        <w:rPr>
          <w:rStyle w:val="FootnoteReference"/>
          <w:rFonts w:ascii="Times New Roman" w:hAnsi="Times New Roman" w:cs="Times New Roman"/>
        </w:rPr>
        <w:footnoteReference w:id="8"/>
      </w:r>
      <w:r w:rsidR="001D5A54" w:rsidRPr="001441B3">
        <w:rPr>
          <w:rFonts w:ascii="Times New Roman" w:hAnsi="Times New Roman" w:cs="Times New Roman"/>
        </w:rPr>
        <w:t>,</w:t>
      </w:r>
      <w:r w:rsidRPr="001441B3">
        <w:rPr>
          <w:rFonts w:ascii="Times New Roman" w:hAnsi="Times New Roman" w:cs="Times New Roman"/>
          <w:i/>
          <w:iCs/>
        </w:rPr>
        <w:t xml:space="preserve"> the Precautionary Principle</w:t>
      </w:r>
      <w:r w:rsidRPr="001441B3">
        <w:rPr>
          <w:rFonts w:ascii="Times New Roman" w:hAnsi="Times New Roman" w:cs="Times New Roman"/>
        </w:rPr>
        <w:t xml:space="preserve"> in Vellore Citizens Welfare Forum v Union of India</w:t>
      </w:r>
      <w:r w:rsidR="001D5A54" w:rsidRPr="001441B3">
        <w:rPr>
          <w:rStyle w:val="FootnoteReference"/>
          <w:rFonts w:ascii="Times New Roman" w:hAnsi="Times New Roman" w:cs="Times New Roman"/>
        </w:rPr>
        <w:footnoteReference w:id="9"/>
      </w:r>
      <w:r w:rsidR="001D5A54" w:rsidRPr="001441B3">
        <w:rPr>
          <w:rFonts w:ascii="Times New Roman" w:hAnsi="Times New Roman" w:cs="Times New Roman"/>
        </w:rPr>
        <w:t xml:space="preserve"> </w:t>
      </w:r>
      <w:r w:rsidRPr="001441B3">
        <w:rPr>
          <w:rFonts w:ascii="Times New Roman" w:hAnsi="Times New Roman" w:cs="Times New Roman"/>
        </w:rPr>
        <w:t xml:space="preserve">and </w:t>
      </w:r>
      <w:r w:rsidRPr="001441B3">
        <w:rPr>
          <w:rFonts w:ascii="Times New Roman" w:hAnsi="Times New Roman" w:cs="Times New Roman"/>
          <w:i/>
          <w:iCs/>
        </w:rPr>
        <w:t>the Public Trust Doctrine</w:t>
      </w:r>
      <w:r w:rsidRPr="001441B3">
        <w:rPr>
          <w:rFonts w:ascii="Times New Roman" w:hAnsi="Times New Roman" w:cs="Times New Roman"/>
        </w:rPr>
        <w:t xml:space="preserve"> in M.C Mehta v Kamal Nath</w:t>
      </w:r>
      <w:r w:rsidR="001D5A54" w:rsidRPr="001441B3">
        <w:rPr>
          <w:rStyle w:val="FootnoteReference"/>
          <w:rFonts w:ascii="Times New Roman" w:hAnsi="Times New Roman" w:cs="Times New Roman"/>
        </w:rPr>
        <w:footnoteReference w:id="10"/>
      </w:r>
      <w:r w:rsidRPr="001441B3">
        <w:rPr>
          <w:rFonts w:ascii="Times New Roman" w:hAnsi="Times New Roman" w:cs="Times New Roman"/>
        </w:rPr>
        <w:t xml:space="preserve"> reflects the narrow approach but also a step towards broadening the definition. </w:t>
      </w:r>
    </w:p>
    <w:p w14:paraId="639A0EFD" w14:textId="77777777" w:rsidR="001441B3" w:rsidRPr="001441B3" w:rsidRDefault="001441B3" w:rsidP="001441B3">
      <w:pPr>
        <w:spacing w:line="360" w:lineRule="auto"/>
        <w:ind w:left="360"/>
        <w:jc w:val="both"/>
        <w:rPr>
          <w:rFonts w:ascii="Times New Roman" w:hAnsi="Times New Roman" w:cs="Times New Roman"/>
          <w:b/>
          <w:bCs/>
        </w:rPr>
      </w:pPr>
    </w:p>
    <w:p w14:paraId="04FE7698" w14:textId="77777777" w:rsidR="001441B3" w:rsidRPr="001441B3" w:rsidRDefault="004853FD" w:rsidP="001441B3">
      <w:pPr>
        <w:spacing w:line="360" w:lineRule="auto"/>
        <w:ind w:left="360"/>
        <w:jc w:val="both"/>
        <w:rPr>
          <w:rFonts w:ascii="Times New Roman" w:hAnsi="Times New Roman" w:cs="Times New Roman"/>
          <w:b/>
          <w:bCs/>
        </w:rPr>
      </w:pPr>
      <w:r w:rsidRPr="001441B3">
        <w:rPr>
          <w:rFonts w:ascii="Times New Roman" w:hAnsi="Times New Roman" w:cs="Times New Roman"/>
          <w:b/>
          <w:bCs/>
        </w:rPr>
        <w:t>Process:</w:t>
      </w:r>
      <w:r w:rsidR="00867BC2" w:rsidRPr="001441B3">
        <w:rPr>
          <w:rFonts w:ascii="Times New Roman" w:hAnsi="Times New Roman" w:cs="Times New Roman"/>
          <w:b/>
          <w:bCs/>
        </w:rPr>
        <w:t xml:space="preserve"> </w:t>
      </w:r>
      <w:r w:rsidR="00D461B8" w:rsidRPr="001441B3">
        <w:rPr>
          <w:rFonts w:ascii="Times New Roman" w:hAnsi="Times New Roman" w:cs="Times New Roman"/>
          <w:b/>
          <w:bCs/>
        </w:rPr>
        <w:t xml:space="preserve">Procedural dimensions </w:t>
      </w:r>
    </w:p>
    <w:p w14:paraId="28121F58" w14:textId="77777777" w:rsidR="001441B3" w:rsidRPr="001441B3" w:rsidRDefault="00D461B8" w:rsidP="001441B3">
      <w:pPr>
        <w:spacing w:line="360" w:lineRule="auto"/>
        <w:ind w:left="360"/>
        <w:jc w:val="both"/>
        <w:rPr>
          <w:rFonts w:ascii="Times New Roman" w:hAnsi="Times New Roman" w:cs="Times New Roman"/>
          <w:b/>
          <w:bCs/>
        </w:rPr>
      </w:pPr>
      <w:r w:rsidRPr="001441B3">
        <w:rPr>
          <w:rFonts w:ascii="Times New Roman" w:hAnsi="Times New Roman" w:cs="Times New Roman"/>
        </w:rPr>
        <w:t xml:space="preserve">Stone’s Process dimensions </w:t>
      </w:r>
      <w:r w:rsidR="004853FD" w:rsidRPr="001441B3">
        <w:rPr>
          <w:rFonts w:ascii="Times New Roman" w:hAnsi="Times New Roman" w:cs="Times New Roman"/>
        </w:rPr>
        <w:t>focus</w:t>
      </w:r>
      <w:r w:rsidRPr="001441B3">
        <w:rPr>
          <w:rFonts w:ascii="Times New Roman" w:hAnsi="Times New Roman" w:cs="Times New Roman"/>
        </w:rPr>
        <w:t xml:space="preserve"> on procedure and how implementation is carried out. Even unequal outcomes can be legitimate if procedures are fair. In India, environmental </w:t>
      </w:r>
      <w:r w:rsidR="004853FD" w:rsidRPr="001441B3">
        <w:rPr>
          <w:rFonts w:ascii="Times New Roman" w:hAnsi="Times New Roman" w:cs="Times New Roman"/>
        </w:rPr>
        <w:t>governance</w:t>
      </w:r>
      <w:r w:rsidRPr="001441B3">
        <w:rPr>
          <w:rFonts w:ascii="Times New Roman" w:hAnsi="Times New Roman" w:cs="Times New Roman"/>
        </w:rPr>
        <w:t xml:space="preserve"> formally relies on </w:t>
      </w:r>
      <w:r w:rsidR="004853FD" w:rsidRPr="001441B3">
        <w:rPr>
          <w:rFonts w:ascii="Times New Roman" w:hAnsi="Times New Roman" w:cs="Times New Roman"/>
        </w:rPr>
        <w:t>participatory</w:t>
      </w:r>
      <w:r w:rsidRPr="001441B3">
        <w:rPr>
          <w:rFonts w:ascii="Times New Roman" w:hAnsi="Times New Roman" w:cs="Times New Roman"/>
        </w:rPr>
        <w:t xml:space="preserve"> mechanisms and judicial oversights. However </w:t>
      </w:r>
      <w:r w:rsidR="004853FD" w:rsidRPr="001441B3">
        <w:rPr>
          <w:rFonts w:ascii="Times New Roman" w:hAnsi="Times New Roman" w:cs="Times New Roman"/>
        </w:rPr>
        <w:t>procedural</w:t>
      </w:r>
      <w:r w:rsidRPr="001441B3">
        <w:rPr>
          <w:rFonts w:ascii="Times New Roman" w:hAnsi="Times New Roman" w:cs="Times New Roman"/>
        </w:rPr>
        <w:t xml:space="preserve"> fairness </w:t>
      </w:r>
      <w:proofErr w:type="gramStart"/>
      <w:r w:rsidRPr="001441B3">
        <w:rPr>
          <w:rFonts w:ascii="Times New Roman" w:hAnsi="Times New Roman" w:cs="Times New Roman"/>
        </w:rPr>
        <w:t>in itself is</w:t>
      </w:r>
      <w:proofErr w:type="gramEnd"/>
      <w:r w:rsidRPr="001441B3">
        <w:rPr>
          <w:rFonts w:ascii="Times New Roman" w:hAnsi="Times New Roman" w:cs="Times New Roman"/>
        </w:rPr>
        <w:t xml:space="preserve"> unequal here. </w:t>
      </w:r>
    </w:p>
    <w:p w14:paraId="42BDB8F0" w14:textId="77777777" w:rsidR="001441B3" w:rsidRPr="001441B3" w:rsidRDefault="00D461B8" w:rsidP="001441B3">
      <w:pPr>
        <w:spacing w:line="360" w:lineRule="auto"/>
        <w:ind w:left="360"/>
        <w:jc w:val="both"/>
        <w:rPr>
          <w:rFonts w:ascii="Times New Roman" w:hAnsi="Times New Roman" w:cs="Times New Roman"/>
          <w:b/>
          <w:bCs/>
        </w:rPr>
      </w:pPr>
      <w:r w:rsidRPr="001441B3">
        <w:rPr>
          <w:rFonts w:ascii="Times New Roman" w:hAnsi="Times New Roman" w:cs="Times New Roman"/>
        </w:rPr>
        <w:t xml:space="preserve">The judiciary has occasionally criticized executive inaction. A division bench </w:t>
      </w:r>
      <w:r w:rsidR="001D5A54" w:rsidRPr="001441B3">
        <w:rPr>
          <w:rFonts w:ascii="Times New Roman" w:hAnsi="Times New Roman" w:cs="Times New Roman"/>
        </w:rPr>
        <w:t>comprising</w:t>
      </w:r>
      <w:r w:rsidRPr="001441B3">
        <w:rPr>
          <w:rFonts w:ascii="Times New Roman" w:hAnsi="Times New Roman" w:cs="Times New Roman"/>
        </w:rPr>
        <w:t xml:space="preserve"> </w:t>
      </w:r>
      <w:r w:rsidRPr="00D147A7">
        <w:rPr>
          <w:rFonts w:ascii="Times New Roman" w:eastAsia="Times New Roman" w:hAnsi="Times New Roman" w:cs="Times New Roman"/>
          <w:kern w:val="0"/>
          <w14:ligatures w14:val="none"/>
        </w:rPr>
        <w:t xml:space="preserve">A Division Bench comprising </w:t>
      </w:r>
      <w:r w:rsidRPr="00D147A7">
        <w:rPr>
          <w:rFonts w:ascii="Times New Roman" w:eastAsia="Times New Roman" w:hAnsi="Times New Roman" w:cs="Times New Roman"/>
          <w:i/>
          <w:iCs/>
          <w:kern w:val="0"/>
          <w14:ligatures w14:val="none"/>
        </w:rPr>
        <w:t>Justices A.S. Oka and A.G. Masih</w:t>
      </w:r>
      <w:r w:rsidRPr="00D147A7">
        <w:rPr>
          <w:rFonts w:ascii="Times New Roman" w:eastAsia="Times New Roman" w:hAnsi="Times New Roman" w:cs="Times New Roman"/>
          <w:kern w:val="0"/>
          <w14:ligatures w14:val="none"/>
        </w:rPr>
        <w:t xml:space="preserve"> observed that there was “no earnest effort to implement” State IV measures under the Graded Response Action Plan (GRAP). The Court questioned whether adequate instructions and enforcement guidance had been provided to authorities. This judicial observation underscores a systemic implementation deficit.</w:t>
      </w:r>
      <w:r w:rsidRPr="001441B3">
        <w:rPr>
          <w:rFonts w:ascii="Times New Roman" w:eastAsia="Times New Roman" w:hAnsi="Times New Roman" w:cs="Times New Roman"/>
          <w:kern w:val="0"/>
          <w14:ligatures w14:val="none"/>
        </w:rPr>
        <w:t xml:space="preserve"> As seen by </w:t>
      </w:r>
      <w:r w:rsidRPr="001441B3">
        <w:rPr>
          <w:rFonts w:ascii="Times New Roman" w:hAnsi="Times New Roman" w:cs="Times New Roman"/>
        </w:rPr>
        <w:t xml:space="preserve">Manda &amp; Ben </w:t>
      </w:r>
      <w:proofErr w:type="spellStart"/>
      <w:r w:rsidRPr="001441B3">
        <w:rPr>
          <w:rFonts w:ascii="Times New Roman" w:hAnsi="Times New Roman" w:cs="Times New Roman"/>
        </w:rPr>
        <w:t>Dhaou</w:t>
      </w:r>
      <w:proofErr w:type="spellEnd"/>
      <w:r w:rsidR="001D5A54" w:rsidRPr="001441B3">
        <w:rPr>
          <w:rStyle w:val="FootnoteReference"/>
          <w:rFonts w:ascii="Times New Roman" w:hAnsi="Times New Roman" w:cs="Times New Roman"/>
        </w:rPr>
        <w:footnoteReference w:id="11"/>
      </w:r>
      <w:r w:rsidRPr="001441B3">
        <w:rPr>
          <w:rFonts w:ascii="Times New Roman" w:hAnsi="Times New Roman" w:cs="Times New Roman"/>
        </w:rPr>
        <w:t xml:space="preserve"> </w:t>
      </w:r>
      <w:r w:rsidRPr="001441B3">
        <w:rPr>
          <w:rFonts w:ascii="Times New Roman" w:hAnsi="Times New Roman" w:cs="Times New Roman"/>
        </w:rPr>
        <w:t xml:space="preserve">the capacity of the institutions is also poor, and their instruments, technologies, and arrangements are also not managed by the </w:t>
      </w:r>
      <w:r w:rsidR="001D5A54" w:rsidRPr="001441B3">
        <w:rPr>
          <w:rFonts w:ascii="Times New Roman" w:hAnsi="Times New Roman" w:cs="Times New Roman"/>
        </w:rPr>
        <w:t>government.</w:t>
      </w:r>
      <w:r w:rsidRPr="001441B3">
        <w:rPr>
          <w:rFonts w:ascii="Times New Roman" w:hAnsi="Times New Roman" w:cs="Times New Roman"/>
        </w:rPr>
        <w:t xml:space="preserve"> India lacks a sense of efficiency as well due to lack of </w:t>
      </w:r>
      <w:r w:rsidR="001D5A54" w:rsidRPr="001441B3">
        <w:rPr>
          <w:rFonts w:ascii="Times New Roman" w:hAnsi="Times New Roman" w:cs="Times New Roman"/>
        </w:rPr>
        <w:t>manpower</w:t>
      </w:r>
      <w:r w:rsidRPr="001441B3">
        <w:rPr>
          <w:rFonts w:ascii="Times New Roman" w:hAnsi="Times New Roman" w:cs="Times New Roman"/>
        </w:rPr>
        <w:t xml:space="preserve"> who work in this </w:t>
      </w:r>
      <w:r w:rsidR="004853FD" w:rsidRPr="001441B3">
        <w:rPr>
          <w:rFonts w:ascii="Times New Roman" w:hAnsi="Times New Roman" w:cs="Times New Roman"/>
        </w:rPr>
        <w:t>initiative</w:t>
      </w:r>
      <w:r w:rsidRPr="001441B3">
        <w:rPr>
          <w:rFonts w:ascii="Times New Roman" w:hAnsi="Times New Roman" w:cs="Times New Roman"/>
        </w:rPr>
        <w:t xml:space="preserve"> or more likely the lack of the mindset to work for a change. </w:t>
      </w:r>
      <w:r w:rsidRPr="001441B3">
        <w:rPr>
          <w:rFonts w:ascii="Times New Roman" w:hAnsi="Times New Roman" w:cs="Times New Roman"/>
        </w:rPr>
        <w:t xml:space="preserve">Aaron Wildavsky observed, efficiency doesn't tell you where to go, only that you should arrive there with the least possible </w:t>
      </w:r>
      <w:r w:rsidR="004853FD" w:rsidRPr="001441B3">
        <w:rPr>
          <w:rFonts w:ascii="Times New Roman" w:hAnsi="Times New Roman" w:cs="Times New Roman"/>
        </w:rPr>
        <w:t>effort</w:t>
      </w:r>
      <w:r w:rsidR="001D5A54" w:rsidRPr="001441B3">
        <w:rPr>
          <w:rFonts w:ascii="Times New Roman" w:hAnsi="Times New Roman" w:cs="Times New Roman"/>
        </w:rPr>
        <w:t>.</w:t>
      </w:r>
      <w:r w:rsidR="001D5A54" w:rsidRPr="001441B3">
        <w:rPr>
          <w:rStyle w:val="FootnoteReference"/>
          <w:rFonts w:ascii="Times New Roman" w:hAnsi="Times New Roman" w:cs="Times New Roman"/>
        </w:rPr>
        <w:footnoteReference w:id="12"/>
      </w:r>
    </w:p>
    <w:p w14:paraId="3B0FDE10" w14:textId="5AA0D34D" w:rsidR="001441B3" w:rsidRPr="001441B3" w:rsidRDefault="004853FD" w:rsidP="001441B3">
      <w:pPr>
        <w:spacing w:line="360" w:lineRule="auto"/>
        <w:ind w:left="360"/>
        <w:jc w:val="both"/>
        <w:rPr>
          <w:rFonts w:ascii="Times New Roman" w:hAnsi="Times New Roman" w:cs="Times New Roman"/>
          <w:b/>
          <w:bCs/>
        </w:rPr>
      </w:pPr>
      <w:r w:rsidRPr="001441B3">
        <w:rPr>
          <w:rFonts w:ascii="Times New Roman" w:hAnsi="Times New Roman" w:cs="Times New Roman"/>
        </w:rPr>
        <w:t>Moreover,</w:t>
      </w:r>
      <w:r w:rsidR="00D461B8" w:rsidRPr="001441B3">
        <w:rPr>
          <w:rFonts w:ascii="Times New Roman" w:hAnsi="Times New Roman" w:cs="Times New Roman"/>
        </w:rPr>
        <w:t xml:space="preserve"> </w:t>
      </w:r>
      <w:r w:rsidRPr="001441B3">
        <w:rPr>
          <w:rFonts w:ascii="Times New Roman" w:hAnsi="Times New Roman" w:cs="Times New Roman"/>
        </w:rPr>
        <w:t>heavy</w:t>
      </w:r>
      <w:r w:rsidR="00D461B8" w:rsidRPr="001441B3">
        <w:rPr>
          <w:rFonts w:ascii="Times New Roman" w:hAnsi="Times New Roman" w:cs="Times New Roman"/>
        </w:rPr>
        <w:t xml:space="preserve"> reliance on state governments for enforcement without strong central oversight creates uneven compliance. Ins</w:t>
      </w:r>
      <w:r w:rsidR="00B52072">
        <w:rPr>
          <w:rFonts w:ascii="Times New Roman" w:hAnsi="Times New Roman" w:cs="Times New Roman"/>
        </w:rPr>
        <w:t>titutional</w:t>
      </w:r>
      <w:r w:rsidR="00D461B8" w:rsidRPr="001441B3">
        <w:rPr>
          <w:rFonts w:ascii="Times New Roman" w:hAnsi="Times New Roman" w:cs="Times New Roman"/>
        </w:rPr>
        <w:t xml:space="preserve"> capacity li</w:t>
      </w:r>
      <w:r w:rsidRPr="001441B3">
        <w:rPr>
          <w:rFonts w:ascii="Times New Roman" w:hAnsi="Times New Roman" w:cs="Times New Roman"/>
        </w:rPr>
        <w:t>mitations</w:t>
      </w:r>
      <w:r w:rsidR="00D461B8" w:rsidRPr="001441B3">
        <w:rPr>
          <w:rFonts w:ascii="Times New Roman" w:hAnsi="Times New Roman" w:cs="Times New Roman"/>
        </w:rPr>
        <w:t xml:space="preserve"> as highlight</w:t>
      </w:r>
      <w:r w:rsidRPr="001441B3">
        <w:rPr>
          <w:rFonts w:ascii="Times New Roman" w:hAnsi="Times New Roman" w:cs="Times New Roman"/>
        </w:rPr>
        <w:t>ed</w:t>
      </w:r>
      <w:r w:rsidR="00D461B8" w:rsidRPr="001441B3">
        <w:rPr>
          <w:rFonts w:ascii="Times New Roman" w:hAnsi="Times New Roman" w:cs="Times New Roman"/>
        </w:rPr>
        <w:t xml:space="preserve"> in governance </w:t>
      </w:r>
      <w:r w:rsidRPr="001441B3">
        <w:rPr>
          <w:rFonts w:ascii="Times New Roman" w:hAnsi="Times New Roman" w:cs="Times New Roman"/>
        </w:rPr>
        <w:t>scholarship,</w:t>
      </w:r>
      <w:r w:rsidR="00D461B8" w:rsidRPr="001441B3">
        <w:rPr>
          <w:rFonts w:ascii="Times New Roman" w:hAnsi="Times New Roman" w:cs="Times New Roman"/>
        </w:rPr>
        <w:t xml:space="preserve"> further weaken effective implementation. </w:t>
      </w:r>
      <w:r w:rsidR="001D5A54" w:rsidRPr="001441B3">
        <w:rPr>
          <w:rFonts w:ascii="Times New Roman" w:hAnsi="Times New Roman" w:cs="Times New Roman"/>
        </w:rPr>
        <w:t>Technologies,</w:t>
      </w:r>
      <w:r w:rsidR="00D461B8" w:rsidRPr="001441B3">
        <w:rPr>
          <w:rFonts w:ascii="Times New Roman" w:hAnsi="Times New Roman" w:cs="Times New Roman"/>
        </w:rPr>
        <w:t xml:space="preserve"> monitoring </w:t>
      </w:r>
      <w:r w:rsidRPr="001441B3">
        <w:rPr>
          <w:rFonts w:ascii="Times New Roman" w:hAnsi="Times New Roman" w:cs="Times New Roman"/>
        </w:rPr>
        <w:t>instruments</w:t>
      </w:r>
      <w:r w:rsidR="00D461B8" w:rsidRPr="001441B3">
        <w:rPr>
          <w:rFonts w:ascii="Times New Roman" w:hAnsi="Times New Roman" w:cs="Times New Roman"/>
        </w:rPr>
        <w:t xml:space="preserve"> and administrative arrangements are often </w:t>
      </w:r>
      <w:r w:rsidRPr="001441B3">
        <w:rPr>
          <w:rFonts w:ascii="Times New Roman" w:hAnsi="Times New Roman" w:cs="Times New Roman"/>
        </w:rPr>
        <w:t>inadequately</w:t>
      </w:r>
      <w:r w:rsidR="00D461B8" w:rsidRPr="001441B3">
        <w:rPr>
          <w:rFonts w:ascii="Times New Roman" w:hAnsi="Times New Roman" w:cs="Times New Roman"/>
        </w:rPr>
        <w:t xml:space="preserve"> managed. Process also intersects with public awareness, Environmental protection under Article 51A(g</w:t>
      </w:r>
      <w:r w:rsidRPr="001441B3">
        <w:rPr>
          <w:rFonts w:ascii="Times New Roman" w:hAnsi="Times New Roman" w:cs="Times New Roman"/>
        </w:rPr>
        <w:t>)</w:t>
      </w:r>
      <w:r w:rsidR="001D5A54" w:rsidRPr="001441B3">
        <w:rPr>
          <w:rStyle w:val="FootnoteReference"/>
          <w:rFonts w:ascii="Times New Roman" w:hAnsi="Times New Roman" w:cs="Times New Roman"/>
        </w:rPr>
        <w:footnoteReference w:id="13"/>
      </w:r>
      <w:r w:rsidRPr="001441B3">
        <w:rPr>
          <w:rFonts w:ascii="Times New Roman" w:hAnsi="Times New Roman" w:cs="Times New Roman"/>
        </w:rPr>
        <w:t>,</w:t>
      </w:r>
      <w:r w:rsidR="00D461B8" w:rsidRPr="001441B3">
        <w:rPr>
          <w:rFonts w:ascii="Times New Roman" w:hAnsi="Times New Roman" w:cs="Times New Roman"/>
        </w:rPr>
        <w:t xml:space="preserve"> </w:t>
      </w:r>
      <w:r w:rsidR="00D461B8" w:rsidRPr="001441B3">
        <w:rPr>
          <w:rFonts w:ascii="Times New Roman" w:hAnsi="Times New Roman" w:cs="Times New Roman"/>
        </w:rPr>
        <w:t xml:space="preserve">Sometimes it is not just the government but also the people which stems down to the core aspect of education and </w:t>
      </w:r>
      <w:r w:rsidR="00D461B8" w:rsidRPr="001441B3">
        <w:rPr>
          <w:rFonts w:ascii="Times New Roman" w:hAnsi="Times New Roman" w:cs="Times New Roman"/>
        </w:rPr>
        <w:t>awareness. The</w:t>
      </w:r>
      <w:r w:rsidR="00D461B8" w:rsidRPr="001441B3">
        <w:rPr>
          <w:rFonts w:ascii="Times New Roman" w:hAnsi="Times New Roman" w:cs="Times New Roman"/>
        </w:rPr>
        <w:t xml:space="preserve"> rote learning system in India has made is almost </w:t>
      </w:r>
      <w:r w:rsidR="00D461B8" w:rsidRPr="001441B3">
        <w:rPr>
          <w:rFonts w:ascii="Times New Roman" w:hAnsi="Times New Roman" w:cs="Times New Roman"/>
        </w:rPr>
        <w:t>impossible</w:t>
      </w:r>
      <w:r w:rsidR="00D461B8" w:rsidRPr="001441B3">
        <w:rPr>
          <w:rFonts w:ascii="Times New Roman" w:hAnsi="Times New Roman" w:cs="Times New Roman"/>
        </w:rPr>
        <w:t xml:space="preserve"> to imbibe </w:t>
      </w:r>
      <w:r w:rsidR="00D461B8" w:rsidRPr="001441B3">
        <w:rPr>
          <w:rFonts w:ascii="Times New Roman" w:hAnsi="Times New Roman" w:cs="Times New Roman"/>
        </w:rPr>
        <w:t>impactful</w:t>
      </w:r>
      <w:r w:rsidR="00D461B8" w:rsidRPr="001441B3">
        <w:rPr>
          <w:rFonts w:ascii="Times New Roman" w:hAnsi="Times New Roman" w:cs="Times New Roman"/>
        </w:rPr>
        <w:t xml:space="preserve"> learning onto students and the youth who now do not have the slightest bit of interest</w:t>
      </w:r>
      <w:r w:rsidR="00561904">
        <w:rPr>
          <w:rFonts w:ascii="Times New Roman" w:hAnsi="Times New Roman" w:cs="Times New Roman"/>
        </w:rPr>
        <w:t xml:space="preserve"> to understand the necessity for bringing about impactful change. </w:t>
      </w:r>
    </w:p>
    <w:p w14:paraId="6B79DB43" w14:textId="77777777" w:rsidR="001441B3" w:rsidRPr="001441B3" w:rsidRDefault="0006564B" w:rsidP="001441B3">
      <w:pPr>
        <w:spacing w:line="360" w:lineRule="auto"/>
        <w:ind w:left="360"/>
        <w:jc w:val="both"/>
        <w:rPr>
          <w:rFonts w:ascii="Times New Roman" w:hAnsi="Times New Roman" w:cs="Times New Roman"/>
          <w:b/>
          <w:bCs/>
        </w:rPr>
      </w:pPr>
      <w:r w:rsidRPr="001441B3">
        <w:rPr>
          <w:rFonts w:ascii="Times New Roman" w:hAnsi="Times New Roman" w:cs="Times New Roman"/>
          <w:b/>
          <w:bCs/>
        </w:rPr>
        <w:t xml:space="preserve">Conclusions and </w:t>
      </w:r>
      <w:r w:rsidR="009E3E73" w:rsidRPr="001441B3">
        <w:rPr>
          <w:rFonts w:ascii="Times New Roman" w:hAnsi="Times New Roman" w:cs="Times New Roman"/>
          <w:b/>
          <w:bCs/>
        </w:rPr>
        <w:t>Recommendations</w:t>
      </w:r>
      <w:r w:rsidRPr="001441B3">
        <w:rPr>
          <w:rFonts w:ascii="Times New Roman" w:hAnsi="Times New Roman" w:cs="Times New Roman"/>
          <w:b/>
          <w:bCs/>
        </w:rPr>
        <w:t xml:space="preserve"> </w:t>
      </w:r>
    </w:p>
    <w:p w14:paraId="6468755E" w14:textId="6A46B948" w:rsidR="001441B3" w:rsidRPr="001441B3" w:rsidRDefault="009E3E73" w:rsidP="001441B3">
      <w:pPr>
        <w:spacing w:line="360" w:lineRule="auto"/>
        <w:ind w:left="360"/>
        <w:jc w:val="both"/>
        <w:rPr>
          <w:rFonts w:ascii="Times New Roman" w:hAnsi="Times New Roman" w:cs="Times New Roman"/>
          <w:b/>
          <w:bCs/>
        </w:rPr>
      </w:pPr>
      <w:r w:rsidRPr="001441B3">
        <w:rPr>
          <w:rFonts w:ascii="Times New Roman" w:hAnsi="Times New Roman" w:cs="Times New Roman"/>
        </w:rPr>
        <w:t>This article applied Deborah Stone’s policy paradox framework to demonstrate that the shortcomings of environmental law implementation in India are not merely administrative failures, but distributive choices embedded within governance. Stone’s paradox that equality often produces inequality helps explain why strong constitutional provisions, progressive judicial doctrines and institutional mechanisms have not translated into ecological justice. Through the dimensions of membership item and process the analyses showed the vulnerable communities are formally included yet sustainedly marginalized, environmental protection is narrowly define</w:t>
      </w:r>
      <w:r w:rsidR="00BB0106">
        <w:rPr>
          <w:rFonts w:ascii="Times New Roman" w:hAnsi="Times New Roman" w:cs="Times New Roman"/>
        </w:rPr>
        <w:t>d</w:t>
      </w:r>
      <w:r w:rsidRPr="001441B3">
        <w:rPr>
          <w:rFonts w:ascii="Times New Roman" w:hAnsi="Times New Roman" w:cs="Times New Roman"/>
        </w:rPr>
        <w:t xml:space="preserve"> as procedural compliance rather than substantive well-being and decisions making processes privilege economic prioritization of development interests rather than simple regulatory weakness. </w:t>
      </w:r>
    </w:p>
    <w:p w14:paraId="192F024E" w14:textId="48753C72" w:rsidR="00251C73" w:rsidRPr="001441B3" w:rsidRDefault="009E3E73" w:rsidP="001441B3">
      <w:pPr>
        <w:spacing w:line="360" w:lineRule="auto"/>
        <w:ind w:left="360"/>
        <w:jc w:val="both"/>
        <w:rPr>
          <w:rFonts w:ascii="Times New Roman" w:hAnsi="Times New Roman" w:cs="Times New Roman"/>
          <w:b/>
          <w:bCs/>
        </w:rPr>
      </w:pPr>
      <w:r w:rsidRPr="001441B3">
        <w:rPr>
          <w:rFonts w:ascii="Times New Roman" w:hAnsi="Times New Roman" w:cs="Times New Roman"/>
        </w:rPr>
        <w:t xml:space="preserve">To address this structural gap environmental governance must move from formal equality </w:t>
      </w:r>
      <w:proofErr w:type="spellStart"/>
      <w:r w:rsidRPr="001441B3">
        <w:rPr>
          <w:rFonts w:ascii="Times New Roman" w:hAnsi="Times New Roman" w:cs="Times New Roman"/>
        </w:rPr>
        <w:t>ti</w:t>
      </w:r>
      <w:proofErr w:type="spellEnd"/>
      <w:r w:rsidRPr="001441B3">
        <w:rPr>
          <w:rFonts w:ascii="Times New Roman" w:hAnsi="Times New Roman" w:cs="Times New Roman"/>
        </w:rPr>
        <w:t xml:space="preserve"> substantive equity by strengthening participatory mechanisms s for affected communities, redefining environmental protection as an enforceable right rather than a procedural compliance, ensure stricter and transparent enforcement with measurable accountability m integrating environmental cost into economic decision-making and improving ecological education. Education has a big factor to play , the students that learn today may grow up to work in this sector and without being imbibed to have a drive to change this system and to really understand that without a healthy environment there is a lot to lose in this world , we will be left with demotivated population who at the end of the day will not focus on the on building a bridge between the gap but ensure they stay at the above average end of the bridge. Although this </w:t>
      </w:r>
      <w:r w:rsidR="00FB2F44">
        <w:rPr>
          <w:rFonts w:ascii="Times New Roman" w:hAnsi="Times New Roman" w:cs="Times New Roman"/>
        </w:rPr>
        <w:t>article</w:t>
      </w:r>
      <w:r w:rsidRPr="001441B3">
        <w:rPr>
          <w:rFonts w:ascii="Times New Roman" w:hAnsi="Times New Roman" w:cs="Times New Roman"/>
        </w:rPr>
        <w:t xml:space="preserve"> does not cover the various other factors that affect environmental jurisprudence in </w:t>
      </w:r>
      <w:r w:rsidR="001D5A54" w:rsidRPr="001441B3">
        <w:rPr>
          <w:rFonts w:ascii="Times New Roman" w:hAnsi="Times New Roman" w:cs="Times New Roman"/>
        </w:rPr>
        <w:t>India,</w:t>
      </w:r>
      <w:r w:rsidRPr="001441B3">
        <w:rPr>
          <w:rFonts w:ascii="Times New Roman" w:hAnsi="Times New Roman" w:cs="Times New Roman"/>
        </w:rPr>
        <w:t xml:space="preserve"> it tackles the very core end of implementation</w:t>
      </w:r>
      <w:r w:rsidR="00BB0106">
        <w:rPr>
          <w:rFonts w:ascii="Times New Roman" w:hAnsi="Times New Roman" w:cs="Times New Roman"/>
        </w:rPr>
        <w:t>al</w:t>
      </w:r>
      <w:r w:rsidRPr="001441B3">
        <w:rPr>
          <w:rFonts w:ascii="Times New Roman" w:hAnsi="Times New Roman" w:cs="Times New Roman"/>
        </w:rPr>
        <w:t xml:space="preserve"> shortcomings that the </w:t>
      </w:r>
      <w:r w:rsidR="003C0488">
        <w:rPr>
          <w:rFonts w:ascii="Times New Roman" w:hAnsi="Times New Roman" w:cs="Times New Roman"/>
        </w:rPr>
        <w:t xml:space="preserve">respective </w:t>
      </w:r>
      <w:r w:rsidRPr="001441B3">
        <w:rPr>
          <w:rFonts w:ascii="Times New Roman" w:hAnsi="Times New Roman" w:cs="Times New Roman"/>
        </w:rPr>
        <w:t xml:space="preserve">stakeholders are required to uphold. </w:t>
      </w:r>
    </w:p>
    <w:p w14:paraId="3BB211F8" w14:textId="77777777" w:rsidR="00251C73" w:rsidRPr="001441B3" w:rsidRDefault="00251C73" w:rsidP="001441B3">
      <w:pPr>
        <w:spacing w:line="360" w:lineRule="auto"/>
        <w:ind w:left="360"/>
        <w:jc w:val="both"/>
        <w:rPr>
          <w:rFonts w:ascii="Times New Roman" w:hAnsi="Times New Roman" w:cs="Times New Roman"/>
        </w:rPr>
      </w:pPr>
    </w:p>
    <w:p w14:paraId="21FFFBD8" w14:textId="77777777" w:rsidR="00251C73" w:rsidRPr="001441B3" w:rsidRDefault="00251C73" w:rsidP="001441B3">
      <w:pPr>
        <w:spacing w:line="360" w:lineRule="auto"/>
        <w:ind w:left="360"/>
        <w:jc w:val="both"/>
        <w:rPr>
          <w:rFonts w:ascii="Times New Roman" w:hAnsi="Times New Roman" w:cs="Times New Roman"/>
        </w:rPr>
      </w:pPr>
    </w:p>
    <w:p w14:paraId="05FAC10A" w14:textId="77777777" w:rsidR="00251C73" w:rsidRPr="001441B3" w:rsidRDefault="00251C73" w:rsidP="001441B3">
      <w:pPr>
        <w:spacing w:line="360" w:lineRule="auto"/>
        <w:ind w:left="360"/>
        <w:jc w:val="both"/>
        <w:rPr>
          <w:rFonts w:ascii="Times New Roman" w:hAnsi="Times New Roman" w:cs="Times New Roman"/>
        </w:rPr>
      </w:pPr>
    </w:p>
    <w:p w14:paraId="4EA05906" w14:textId="77777777" w:rsidR="00CB5244" w:rsidRPr="001441B3" w:rsidRDefault="00CB5244" w:rsidP="001441B3">
      <w:pPr>
        <w:spacing w:line="360" w:lineRule="auto"/>
        <w:jc w:val="both"/>
        <w:rPr>
          <w:rFonts w:ascii="Times New Roman" w:hAnsi="Times New Roman" w:cs="Times New Roman"/>
        </w:rPr>
      </w:pPr>
    </w:p>
    <w:p w14:paraId="76C5096E" w14:textId="77777777" w:rsidR="00CB5244" w:rsidRPr="001441B3" w:rsidRDefault="00CB5244" w:rsidP="001441B3">
      <w:pPr>
        <w:spacing w:line="360" w:lineRule="auto"/>
        <w:jc w:val="both"/>
        <w:rPr>
          <w:rFonts w:ascii="Times New Roman" w:hAnsi="Times New Roman" w:cs="Times New Roman"/>
        </w:rPr>
      </w:pPr>
    </w:p>
    <w:sectPr w:rsidR="00CB5244" w:rsidRPr="001441B3" w:rsidSect="001441B3">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DAC7B" w14:textId="77777777" w:rsidR="00285D20" w:rsidRDefault="00285D20" w:rsidP="001D5A54">
      <w:pPr>
        <w:spacing w:after="0" w:line="240" w:lineRule="auto"/>
      </w:pPr>
      <w:r>
        <w:separator/>
      </w:r>
    </w:p>
  </w:endnote>
  <w:endnote w:type="continuationSeparator" w:id="0">
    <w:p w14:paraId="5831AEA3" w14:textId="77777777" w:rsidR="00285D20" w:rsidRDefault="00285D20" w:rsidP="001D5A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PT Sans">
    <w:panose1 w:val="020B0503020203020204"/>
    <w:charset w:val="4D"/>
    <w:family w:val="swiss"/>
    <w:pitch w:val="variable"/>
    <w:sig w:usb0="A00002EF" w:usb1="5000204B" w:usb2="00000000" w:usb3="00000000" w:csb0="000000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79D0E" w14:textId="77777777" w:rsidR="00285D20" w:rsidRDefault="00285D20" w:rsidP="001D5A54">
      <w:pPr>
        <w:spacing w:after="0" w:line="240" w:lineRule="auto"/>
      </w:pPr>
      <w:r>
        <w:separator/>
      </w:r>
    </w:p>
  </w:footnote>
  <w:footnote w:type="continuationSeparator" w:id="0">
    <w:p w14:paraId="1BB4B380" w14:textId="77777777" w:rsidR="00285D20" w:rsidRDefault="00285D20" w:rsidP="001D5A54">
      <w:pPr>
        <w:spacing w:after="0" w:line="240" w:lineRule="auto"/>
      </w:pPr>
      <w:r>
        <w:continuationSeparator/>
      </w:r>
    </w:p>
  </w:footnote>
  <w:footnote w:id="1">
    <w:p w14:paraId="52F02F6B" w14:textId="3D13CC43" w:rsidR="001D5A54" w:rsidRDefault="001D5A54">
      <w:pPr>
        <w:pStyle w:val="FootnoteText"/>
      </w:pPr>
      <w:r>
        <w:rPr>
          <w:rStyle w:val="FootnoteReference"/>
        </w:rPr>
        <w:footnoteRef/>
      </w:r>
      <w:r>
        <w:t xml:space="preserve"> </w:t>
      </w:r>
      <w:r>
        <w:t>The Constitution of India 1950, art 48A.</w:t>
      </w:r>
    </w:p>
  </w:footnote>
  <w:footnote w:id="2">
    <w:p w14:paraId="2EBA66CD" w14:textId="2C4DF028" w:rsidR="001D5A54" w:rsidRDefault="001D5A54">
      <w:pPr>
        <w:pStyle w:val="FootnoteText"/>
      </w:pPr>
      <w:r>
        <w:rPr>
          <w:rStyle w:val="FootnoteReference"/>
        </w:rPr>
        <w:footnoteRef/>
      </w:r>
      <w:r>
        <w:t xml:space="preserve"> </w:t>
      </w:r>
      <w:r w:rsidRPr="001D5A54">
        <w:rPr>
          <w:rFonts w:ascii="Times New Roman" w:hAnsi="Times New Roman" w:cs="Times New Roman"/>
          <w:color w:val="000000"/>
        </w:rPr>
        <w:t>Deborah Stone, </w:t>
      </w:r>
      <w:r w:rsidRPr="001D5A54">
        <w:rPr>
          <w:rFonts w:ascii="Times New Roman" w:hAnsi="Times New Roman" w:cs="Times New Roman"/>
          <w:i/>
          <w:iCs/>
          <w:color w:val="000000"/>
        </w:rPr>
        <w:t>Chapter 2 Equity</w:t>
      </w:r>
      <w:r w:rsidRPr="001D5A54">
        <w:rPr>
          <w:rFonts w:ascii="Times New Roman" w:hAnsi="Times New Roman" w:cs="Times New Roman"/>
          <w:color w:val="000000"/>
        </w:rPr>
        <w:t>, </w:t>
      </w:r>
      <w:r w:rsidRPr="001D5A54">
        <w:rPr>
          <w:rStyle w:val="large-and-small-caps"/>
          <w:rFonts w:ascii="Times New Roman" w:hAnsi="Times New Roman" w:cs="Times New Roman"/>
          <w:smallCaps/>
          <w:color w:val="000000"/>
        </w:rPr>
        <w:t>UNC School of Government</w:t>
      </w:r>
      <w:r w:rsidRPr="001D5A54">
        <w:rPr>
          <w:rFonts w:ascii="Times New Roman" w:hAnsi="Times New Roman" w:cs="Times New Roman"/>
          <w:color w:val="000000"/>
        </w:rPr>
        <w:t>, </w:t>
      </w:r>
      <w:hyperlink r:id="rId1" w:tgtFrame="_blank" w:history="1">
        <w:r w:rsidRPr="001D5A54">
          <w:rPr>
            <w:rStyle w:val="Hyperlink"/>
            <w:rFonts w:ascii="Times New Roman" w:hAnsi="Times New Roman" w:cs="Times New Roman"/>
            <w:color w:val="000000"/>
          </w:rPr>
          <w:t>https://www.sog.unc.edu/sites/default/files/course_materials/Ch2Equity_Stone_PolicyParadox3rdEdwCover.pdf</w:t>
        </w:r>
      </w:hyperlink>
      <w:r w:rsidRPr="001D5A54">
        <w:rPr>
          <w:rFonts w:ascii="Times New Roman" w:hAnsi="Times New Roman" w:cs="Times New Roman"/>
          <w:color w:val="000000"/>
        </w:rPr>
        <w:t>.</w:t>
      </w:r>
      <w:r>
        <w:rPr>
          <w:color w:val="000000"/>
        </w:rPr>
        <w:t xml:space="preserve"> </w:t>
      </w:r>
    </w:p>
  </w:footnote>
  <w:footnote w:id="3">
    <w:p w14:paraId="0003E288" w14:textId="2C246176" w:rsidR="001D5A54" w:rsidRDefault="001D5A54">
      <w:pPr>
        <w:pStyle w:val="FootnoteText"/>
      </w:pPr>
      <w:r>
        <w:rPr>
          <w:rStyle w:val="FootnoteReference"/>
        </w:rPr>
        <w:footnoteRef/>
      </w:r>
      <w:r>
        <w:t xml:space="preserve"> </w:t>
      </w:r>
      <w:r>
        <w:t xml:space="preserve">The Constitution of India 1950, art </w:t>
      </w:r>
      <w:r>
        <w:t>51A(g)</w:t>
      </w:r>
      <w:r>
        <w:t>.</w:t>
      </w:r>
    </w:p>
  </w:footnote>
  <w:footnote w:id="4">
    <w:p w14:paraId="5EA858ED" w14:textId="42E9CD0C" w:rsidR="001D5A54" w:rsidRDefault="001D5A54">
      <w:pPr>
        <w:pStyle w:val="FootnoteText"/>
      </w:pPr>
      <w:r>
        <w:rPr>
          <w:rStyle w:val="FootnoteReference"/>
        </w:rPr>
        <w:footnoteRef/>
      </w:r>
      <w:r>
        <w:t xml:space="preserve"> </w:t>
      </w:r>
      <w:r>
        <w:t xml:space="preserve">The Constitution of India 1950, art </w:t>
      </w:r>
      <w:r>
        <w:t xml:space="preserve">21. </w:t>
      </w:r>
    </w:p>
  </w:footnote>
  <w:footnote w:id="5">
    <w:p w14:paraId="5DC0920D" w14:textId="356FD1A2" w:rsidR="001D5A54" w:rsidRPr="001D5A54" w:rsidRDefault="001D5A54" w:rsidP="001D5A54">
      <w:pPr>
        <w:pStyle w:val="wp-block-paragraph"/>
        <w:shd w:val="clear" w:color="auto" w:fill="FFFFFF"/>
        <w:spacing w:before="0" w:beforeAutospacing="0" w:after="0" w:afterAutospacing="0"/>
        <w:rPr>
          <w:rFonts w:ascii="PT Sans" w:hAnsi="PT Sans"/>
          <w:color w:val="000000"/>
          <w:sz w:val="32"/>
          <w:szCs w:val="32"/>
        </w:rPr>
      </w:pPr>
      <w:r>
        <w:rPr>
          <w:rStyle w:val="FootnoteReference"/>
        </w:rPr>
        <w:footnoteRef/>
      </w:r>
      <w:r>
        <w:t xml:space="preserve"> </w:t>
      </w:r>
      <w:r w:rsidRPr="001D5A54">
        <w:rPr>
          <w:color w:val="000000"/>
          <w:sz w:val="20"/>
          <w:szCs w:val="20"/>
        </w:rPr>
        <w:t>National Green Tribunal (New Delhi, India), </w:t>
      </w:r>
      <w:r w:rsidRPr="001D5A54">
        <w:rPr>
          <w:i/>
          <w:iCs/>
          <w:color w:val="000000"/>
          <w:sz w:val="20"/>
          <w:szCs w:val="20"/>
          <w:bdr w:val="none" w:sz="0" w:space="0" w:color="auto" w:frame="1"/>
        </w:rPr>
        <w:t>Ridhima Pandey v. Union of India and Others</w:t>
      </w:r>
      <w:r w:rsidRPr="001D5A54">
        <w:rPr>
          <w:color w:val="000000"/>
          <w:sz w:val="20"/>
          <w:szCs w:val="20"/>
        </w:rPr>
        <w:t>, Application No. 187/2017, judgment of 15 January 2019)</w:t>
      </w:r>
      <w:r w:rsidR="001441B3">
        <w:rPr>
          <w:color w:val="000000"/>
          <w:sz w:val="20"/>
          <w:szCs w:val="20"/>
        </w:rPr>
        <w:t xml:space="preserve">. </w:t>
      </w:r>
    </w:p>
    <w:p w14:paraId="3FAFF1D6" w14:textId="77777777" w:rsidR="001D5A54" w:rsidRPr="001D5A54" w:rsidRDefault="001D5A54" w:rsidP="001D5A54">
      <w:pPr>
        <w:spacing w:after="0" w:line="240" w:lineRule="auto"/>
        <w:rPr>
          <w:rFonts w:ascii="Times New Roman" w:eastAsia="Times New Roman" w:hAnsi="Times New Roman" w:cs="Times New Roman"/>
          <w:kern w:val="0"/>
          <w14:ligatures w14:val="none"/>
        </w:rPr>
      </w:pPr>
    </w:p>
    <w:p w14:paraId="7828EE96" w14:textId="5BDD74E9" w:rsidR="001D5A54" w:rsidRDefault="001D5A54">
      <w:pPr>
        <w:pStyle w:val="FootnoteText"/>
      </w:pPr>
    </w:p>
  </w:footnote>
  <w:footnote w:id="6">
    <w:p w14:paraId="10A52597" w14:textId="6EBC111E" w:rsidR="001D5A54" w:rsidRDefault="001D5A54">
      <w:pPr>
        <w:pStyle w:val="FootnoteText"/>
      </w:pPr>
      <w:r>
        <w:rPr>
          <w:rStyle w:val="FootnoteReference"/>
        </w:rPr>
        <w:footnoteRef/>
      </w:r>
      <w:r>
        <w:t xml:space="preserve"> </w:t>
      </w:r>
      <w:r w:rsidRPr="001D5A54">
        <w:rPr>
          <w:rFonts w:ascii="Times New Roman" w:hAnsi="Times New Roman" w:cs="Times New Roman"/>
          <w:color w:val="000000"/>
        </w:rPr>
        <w:t>Deborah Stone, </w:t>
      </w:r>
      <w:r w:rsidRPr="001D5A54">
        <w:rPr>
          <w:rFonts w:ascii="Times New Roman" w:hAnsi="Times New Roman" w:cs="Times New Roman"/>
          <w:i/>
          <w:iCs/>
          <w:color w:val="000000"/>
        </w:rPr>
        <w:t>Chapter 2 Equity</w:t>
      </w:r>
      <w:r w:rsidRPr="001D5A54">
        <w:rPr>
          <w:rFonts w:ascii="Times New Roman" w:hAnsi="Times New Roman" w:cs="Times New Roman"/>
          <w:color w:val="000000"/>
        </w:rPr>
        <w:t>, </w:t>
      </w:r>
      <w:r w:rsidRPr="001D5A54">
        <w:rPr>
          <w:rStyle w:val="large-and-small-caps"/>
          <w:rFonts w:ascii="Times New Roman" w:hAnsi="Times New Roman" w:cs="Times New Roman"/>
          <w:smallCaps/>
          <w:color w:val="000000"/>
        </w:rPr>
        <w:t>UNC School of Government</w:t>
      </w:r>
      <w:r w:rsidRPr="001D5A54">
        <w:rPr>
          <w:rFonts w:ascii="Times New Roman" w:hAnsi="Times New Roman" w:cs="Times New Roman"/>
          <w:color w:val="000000"/>
        </w:rPr>
        <w:t>, </w:t>
      </w:r>
      <w:hyperlink r:id="rId2" w:tgtFrame="_blank" w:history="1">
        <w:r w:rsidRPr="001D5A54">
          <w:rPr>
            <w:rStyle w:val="Hyperlink"/>
            <w:rFonts w:ascii="Times New Roman" w:hAnsi="Times New Roman" w:cs="Times New Roman"/>
            <w:color w:val="000000"/>
          </w:rPr>
          <w:t>https://www.sog.unc.edu/sites/default/files/course_materials/Ch2Equity_Stone_PolicyParadox3rdEdwCover.pdf</w:t>
        </w:r>
      </w:hyperlink>
      <w:r w:rsidRPr="001D5A54">
        <w:rPr>
          <w:rFonts w:ascii="Times New Roman" w:hAnsi="Times New Roman" w:cs="Times New Roman"/>
          <w:color w:val="000000"/>
        </w:rPr>
        <w:t>.</w:t>
      </w:r>
      <w:r>
        <w:rPr>
          <w:rFonts w:ascii="Times New Roman" w:hAnsi="Times New Roman" w:cs="Times New Roman"/>
          <w:color w:val="000000"/>
        </w:rPr>
        <w:t xml:space="preserve"> </w:t>
      </w:r>
    </w:p>
  </w:footnote>
  <w:footnote w:id="7">
    <w:p w14:paraId="27692388" w14:textId="5E333D1B" w:rsidR="001D5A54" w:rsidRPr="001D5A54" w:rsidRDefault="001D5A54">
      <w:pPr>
        <w:pStyle w:val="FootnoteText"/>
        <w:rPr>
          <w:rFonts w:ascii="Times New Roman" w:hAnsi="Times New Roman" w:cs="Times New Roman"/>
        </w:rPr>
      </w:pPr>
      <w:r>
        <w:rPr>
          <w:rStyle w:val="FootnoteReference"/>
        </w:rPr>
        <w:footnoteRef/>
      </w:r>
      <w:r>
        <w:t xml:space="preserve"> </w:t>
      </w:r>
      <w:r w:rsidRPr="001D5A54">
        <w:rPr>
          <w:rFonts w:ascii="Times New Roman" w:hAnsi="Times New Roman" w:cs="Times New Roman"/>
        </w:rPr>
        <w:t xml:space="preserve">Adwaita Chaturvedi, </w:t>
      </w:r>
      <w:r w:rsidRPr="001D5A54">
        <w:rPr>
          <w:rFonts w:ascii="Times New Roman" w:hAnsi="Times New Roman" w:cs="Times New Roman"/>
          <w:i/>
          <w:iCs/>
        </w:rPr>
        <w:t xml:space="preserve">The Paradox </w:t>
      </w:r>
      <w:r w:rsidRPr="001D5A54">
        <w:rPr>
          <w:rFonts w:ascii="Times New Roman" w:hAnsi="Times New Roman" w:cs="Times New Roman"/>
          <w:i/>
          <w:iCs/>
        </w:rPr>
        <w:t>of</w:t>
      </w:r>
      <w:r w:rsidRPr="001D5A54">
        <w:rPr>
          <w:rFonts w:ascii="Times New Roman" w:hAnsi="Times New Roman" w:cs="Times New Roman"/>
          <w:i/>
          <w:iCs/>
        </w:rPr>
        <w:t xml:space="preserve"> Protection: Why India’s Environment Continues </w:t>
      </w:r>
      <w:proofErr w:type="gramStart"/>
      <w:r w:rsidRPr="001D5A54">
        <w:rPr>
          <w:rFonts w:ascii="Times New Roman" w:hAnsi="Times New Roman" w:cs="Times New Roman"/>
          <w:i/>
          <w:iCs/>
        </w:rPr>
        <w:t>To</w:t>
      </w:r>
      <w:proofErr w:type="gramEnd"/>
      <w:r w:rsidRPr="001D5A54">
        <w:rPr>
          <w:rFonts w:ascii="Times New Roman" w:hAnsi="Times New Roman" w:cs="Times New Roman"/>
          <w:i/>
          <w:iCs/>
        </w:rPr>
        <w:t xml:space="preserve"> Suffer Despite Constitutional Guarantees</w:t>
      </w:r>
      <w:r w:rsidRPr="001D5A54">
        <w:rPr>
          <w:rFonts w:ascii="Times New Roman" w:hAnsi="Times New Roman" w:cs="Times New Roman"/>
        </w:rPr>
        <w:t xml:space="preserve">, VII </w:t>
      </w:r>
      <w:r w:rsidRPr="001D5A54">
        <w:rPr>
          <w:rFonts w:ascii="Times New Roman" w:hAnsi="Times New Roman" w:cs="Times New Roman"/>
          <w:smallCaps/>
        </w:rPr>
        <w:t>Indian Journal of Law and Legal Research</w:t>
      </w:r>
      <w:r w:rsidRPr="001D5A54">
        <w:rPr>
          <w:rFonts w:ascii="Times New Roman" w:hAnsi="Times New Roman" w:cs="Times New Roman"/>
        </w:rPr>
        <w:t xml:space="preserve"> 4–4.</w:t>
      </w:r>
      <w:r w:rsidRPr="001D5A54">
        <w:rPr>
          <w:rFonts w:ascii="Times New Roman" w:hAnsi="Times New Roman" w:cs="Times New Roman"/>
        </w:rPr>
        <w:t xml:space="preserve"> </w:t>
      </w:r>
    </w:p>
  </w:footnote>
  <w:footnote w:id="8">
    <w:p w14:paraId="65292C26" w14:textId="68DE37C0" w:rsidR="001D5A54" w:rsidRPr="001D5A54" w:rsidRDefault="001D5A54">
      <w:pPr>
        <w:pStyle w:val="FootnoteText"/>
        <w:rPr>
          <w:rFonts w:ascii="Times New Roman" w:hAnsi="Times New Roman" w:cs="Times New Roman"/>
        </w:rPr>
      </w:pPr>
      <w:r w:rsidRPr="001D5A54">
        <w:rPr>
          <w:rStyle w:val="FootnoteReference"/>
          <w:rFonts w:ascii="Times New Roman" w:hAnsi="Times New Roman" w:cs="Times New Roman"/>
        </w:rPr>
        <w:footnoteRef/>
      </w:r>
      <w:r w:rsidRPr="001D5A54">
        <w:rPr>
          <w:rFonts w:ascii="Times New Roman" w:hAnsi="Times New Roman" w:cs="Times New Roman"/>
        </w:rPr>
        <w:t xml:space="preserve"> 1996 AIR 1446</w:t>
      </w:r>
      <w:r>
        <w:rPr>
          <w:rFonts w:ascii="Times New Roman" w:hAnsi="Times New Roman" w:cs="Times New Roman"/>
        </w:rPr>
        <w:t>.</w:t>
      </w:r>
      <w:r w:rsidRPr="001D5A54">
        <w:rPr>
          <w:rFonts w:ascii="Times New Roman" w:hAnsi="Times New Roman" w:cs="Times New Roman"/>
        </w:rPr>
        <w:t xml:space="preserve"> </w:t>
      </w:r>
    </w:p>
  </w:footnote>
  <w:footnote w:id="9">
    <w:p w14:paraId="1566569E" w14:textId="0E1F7BD4" w:rsidR="001D5A54" w:rsidRPr="001D5A54" w:rsidRDefault="001D5A54">
      <w:pPr>
        <w:pStyle w:val="FootnoteText"/>
        <w:rPr>
          <w:rFonts w:ascii="Times New Roman" w:hAnsi="Times New Roman" w:cs="Times New Roman"/>
        </w:rPr>
      </w:pPr>
      <w:r w:rsidRPr="001D5A54">
        <w:rPr>
          <w:rStyle w:val="FootnoteReference"/>
          <w:rFonts w:ascii="Times New Roman" w:hAnsi="Times New Roman" w:cs="Times New Roman"/>
        </w:rPr>
        <w:footnoteRef/>
      </w:r>
      <w:r w:rsidRPr="001D5A54">
        <w:rPr>
          <w:rFonts w:ascii="Times New Roman" w:hAnsi="Times New Roman" w:cs="Times New Roman"/>
        </w:rPr>
        <w:t xml:space="preserve"> </w:t>
      </w:r>
      <w:r w:rsidRPr="001D5A54">
        <w:rPr>
          <w:rFonts w:ascii="Times New Roman" w:hAnsi="Times New Roman" w:cs="Times New Roman"/>
        </w:rPr>
        <w:t>Writ Petition (c) No.914 of 1991) dated August 28, 1996</w:t>
      </w:r>
      <w:r>
        <w:rPr>
          <w:rFonts w:ascii="Times New Roman" w:hAnsi="Times New Roman" w:cs="Times New Roman"/>
        </w:rPr>
        <w:t>.</w:t>
      </w:r>
      <w:r w:rsidRPr="001D5A54">
        <w:rPr>
          <w:rFonts w:ascii="Times New Roman" w:hAnsi="Times New Roman" w:cs="Times New Roman"/>
        </w:rPr>
        <w:t xml:space="preserve"> </w:t>
      </w:r>
    </w:p>
  </w:footnote>
  <w:footnote w:id="10">
    <w:p w14:paraId="4B132116" w14:textId="10906280" w:rsidR="001D5A54" w:rsidRDefault="001D5A54">
      <w:pPr>
        <w:pStyle w:val="FootnoteText"/>
      </w:pPr>
      <w:r w:rsidRPr="001D5A54">
        <w:rPr>
          <w:rStyle w:val="FootnoteReference"/>
          <w:rFonts w:ascii="Times New Roman" w:hAnsi="Times New Roman" w:cs="Times New Roman"/>
        </w:rPr>
        <w:footnoteRef/>
      </w:r>
      <w:r w:rsidRPr="001D5A54">
        <w:rPr>
          <w:rFonts w:ascii="Times New Roman" w:hAnsi="Times New Roman" w:cs="Times New Roman"/>
        </w:rPr>
        <w:t xml:space="preserve"> AIRONLINE 1996 SC 711</w:t>
      </w:r>
      <w:r>
        <w:rPr>
          <w:rFonts w:ascii="Times New Roman" w:hAnsi="Times New Roman" w:cs="Times New Roman"/>
        </w:rPr>
        <w:t>.</w:t>
      </w:r>
      <w:r>
        <w:t xml:space="preserve"> </w:t>
      </w:r>
    </w:p>
  </w:footnote>
  <w:footnote w:id="11">
    <w:p w14:paraId="6DF22397" w14:textId="2A4B92EC" w:rsidR="001D5A54" w:rsidRDefault="001D5A54">
      <w:pPr>
        <w:pStyle w:val="FootnoteText"/>
      </w:pPr>
      <w:r>
        <w:rPr>
          <w:rStyle w:val="FootnoteReference"/>
        </w:rPr>
        <w:footnoteRef/>
      </w:r>
      <w:r>
        <w:t xml:space="preserve"> </w:t>
      </w:r>
      <w:r w:rsidRPr="009E3E73">
        <w:rPr>
          <w:rFonts w:ascii="Times New Roman" w:hAnsi="Times New Roman" w:cs="Times New Roman"/>
        </w:rPr>
        <w:t xml:space="preserve">Manda &amp; Ben </w:t>
      </w:r>
      <w:proofErr w:type="spellStart"/>
      <w:r w:rsidRPr="009E3E73">
        <w:rPr>
          <w:rFonts w:ascii="Times New Roman" w:hAnsi="Times New Roman" w:cs="Times New Roman"/>
        </w:rPr>
        <w:t>Dhaou</w:t>
      </w:r>
      <w:proofErr w:type="spellEnd"/>
      <w:r w:rsidRPr="009E3E73">
        <w:rPr>
          <w:rFonts w:ascii="Times New Roman" w:hAnsi="Times New Roman" w:cs="Times New Roman"/>
        </w:rPr>
        <w:t xml:space="preserve"> (2019)</w:t>
      </w:r>
      <w:r>
        <w:rPr>
          <w:rFonts w:ascii="Times New Roman" w:hAnsi="Times New Roman" w:cs="Times New Roman"/>
        </w:rPr>
        <w:t xml:space="preserve">. </w:t>
      </w:r>
    </w:p>
  </w:footnote>
  <w:footnote w:id="12">
    <w:p w14:paraId="12F5063F" w14:textId="5E8D8910" w:rsidR="001D5A54" w:rsidRDefault="001D5A54">
      <w:pPr>
        <w:pStyle w:val="FootnoteText"/>
      </w:pPr>
      <w:r>
        <w:rPr>
          <w:rStyle w:val="FootnoteReference"/>
        </w:rPr>
        <w:footnoteRef/>
      </w:r>
      <w:r>
        <w:t xml:space="preserve"> </w:t>
      </w:r>
      <w:r w:rsidRPr="009E3E73">
        <w:rPr>
          <w:rFonts w:ascii="Times New Roman" w:hAnsi="Times New Roman" w:cs="Times New Roman"/>
        </w:rPr>
        <w:t xml:space="preserve">Aaron Wildavsky, Speaking Truth to Power: The Art and Craft </w:t>
      </w:r>
      <w:r>
        <w:rPr>
          <w:rFonts w:ascii="Times New Roman" w:hAnsi="Times New Roman" w:cs="Times New Roman"/>
        </w:rPr>
        <w:t xml:space="preserve">of </w:t>
      </w:r>
      <w:r w:rsidRPr="009E3E73">
        <w:rPr>
          <w:rFonts w:ascii="Times New Roman" w:hAnsi="Times New Roman" w:cs="Times New Roman"/>
        </w:rPr>
        <w:t>Policy Analysis (Boston: Little, Brown, 1979)</w:t>
      </w:r>
      <w:r>
        <w:rPr>
          <w:rFonts w:ascii="Times New Roman" w:hAnsi="Times New Roman" w:cs="Times New Roman"/>
        </w:rPr>
        <w:t xml:space="preserve">. </w:t>
      </w:r>
    </w:p>
  </w:footnote>
  <w:footnote w:id="13">
    <w:p w14:paraId="40AB7122" w14:textId="5AE2E007" w:rsidR="001D5A54" w:rsidRPr="001D5A54" w:rsidRDefault="001D5A54">
      <w:pPr>
        <w:pStyle w:val="FootnoteText"/>
      </w:pPr>
      <w:r>
        <w:rPr>
          <w:rStyle w:val="FootnoteReference"/>
        </w:rPr>
        <w:footnoteRef/>
      </w:r>
      <w:r>
        <w:t xml:space="preserve"> </w:t>
      </w:r>
      <w:r>
        <w:rPr>
          <w:i/>
          <w:iCs/>
        </w:rPr>
        <w:t xml:space="preserve">Id </w:t>
      </w:r>
      <w:r>
        <w:t xml:space="preserve">at 3.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8A1373"/>
    <w:multiLevelType w:val="hybridMultilevel"/>
    <w:tmpl w:val="DDACB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D7428D"/>
    <w:multiLevelType w:val="hybridMultilevel"/>
    <w:tmpl w:val="5E50808C"/>
    <w:lvl w:ilvl="0" w:tplc="0C0477FC">
      <w:start w:val="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0887762">
    <w:abstractNumId w:val="0"/>
  </w:num>
  <w:num w:numId="2" w16cid:durableId="15598288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244"/>
    <w:rsid w:val="00063668"/>
    <w:rsid w:val="00063C2D"/>
    <w:rsid w:val="0006564B"/>
    <w:rsid w:val="001441B3"/>
    <w:rsid w:val="00160357"/>
    <w:rsid w:val="00187BEF"/>
    <w:rsid w:val="001D5A54"/>
    <w:rsid w:val="00251C73"/>
    <w:rsid w:val="00282DB1"/>
    <w:rsid w:val="00285D20"/>
    <w:rsid w:val="002C27C0"/>
    <w:rsid w:val="003A41CE"/>
    <w:rsid w:val="003C0488"/>
    <w:rsid w:val="004853FD"/>
    <w:rsid w:val="004F0185"/>
    <w:rsid w:val="00551D50"/>
    <w:rsid w:val="00561904"/>
    <w:rsid w:val="005F7270"/>
    <w:rsid w:val="00634671"/>
    <w:rsid w:val="00675195"/>
    <w:rsid w:val="00707995"/>
    <w:rsid w:val="007246CA"/>
    <w:rsid w:val="00867BC2"/>
    <w:rsid w:val="008F19DA"/>
    <w:rsid w:val="0091327F"/>
    <w:rsid w:val="009E3E73"/>
    <w:rsid w:val="00AB72E2"/>
    <w:rsid w:val="00B52072"/>
    <w:rsid w:val="00BB0106"/>
    <w:rsid w:val="00BC0795"/>
    <w:rsid w:val="00CA5A2C"/>
    <w:rsid w:val="00CB5244"/>
    <w:rsid w:val="00CC44C6"/>
    <w:rsid w:val="00CF6747"/>
    <w:rsid w:val="00D22973"/>
    <w:rsid w:val="00D461B8"/>
    <w:rsid w:val="00FB2F44"/>
    <w:rsid w:val="00FD6DCB"/>
    <w:rsid w:val="00FF4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A9275"/>
  <w15:chartTrackingRefBased/>
  <w15:docId w15:val="{1F43A482-1BAB-8941-A8F0-73B70C75D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52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52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B52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52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52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52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52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52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52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2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52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B52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52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52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52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52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52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5244"/>
    <w:rPr>
      <w:rFonts w:eastAsiaTheme="majorEastAsia" w:cstheme="majorBidi"/>
      <w:color w:val="272727" w:themeColor="text1" w:themeTint="D8"/>
    </w:rPr>
  </w:style>
  <w:style w:type="paragraph" w:styleId="Title">
    <w:name w:val="Title"/>
    <w:basedOn w:val="Normal"/>
    <w:next w:val="Normal"/>
    <w:link w:val="TitleChar"/>
    <w:uiPriority w:val="10"/>
    <w:qFormat/>
    <w:rsid w:val="00CB52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52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52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52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5244"/>
    <w:pPr>
      <w:spacing w:before="160"/>
      <w:jc w:val="center"/>
    </w:pPr>
    <w:rPr>
      <w:i/>
      <w:iCs/>
      <w:color w:val="404040" w:themeColor="text1" w:themeTint="BF"/>
    </w:rPr>
  </w:style>
  <w:style w:type="character" w:customStyle="1" w:styleId="QuoteChar">
    <w:name w:val="Quote Char"/>
    <w:basedOn w:val="DefaultParagraphFont"/>
    <w:link w:val="Quote"/>
    <w:uiPriority w:val="29"/>
    <w:rsid w:val="00CB5244"/>
    <w:rPr>
      <w:i/>
      <w:iCs/>
      <w:color w:val="404040" w:themeColor="text1" w:themeTint="BF"/>
    </w:rPr>
  </w:style>
  <w:style w:type="paragraph" w:styleId="ListParagraph">
    <w:name w:val="List Paragraph"/>
    <w:basedOn w:val="Normal"/>
    <w:uiPriority w:val="34"/>
    <w:qFormat/>
    <w:rsid w:val="00CB5244"/>
    <w:pPr>
      <w:ind w:left="720"/>
      <w:contextualSpacing/>
    </w:pPr>
  </w:style>
  <w:style w:type="character" w:styleId="IntenseEmphasis">
    <w:name w:val="Intense Emphasis"/>
    <w:basedOn w:val="DefaultParagraphFont"/>
    <w:uiPriority w:val="21"/>
    <w:qFormat/>
    <w:rsid w:val="00CB5244"/>
    <w:rPr>
      <w:i/>
      <w:iCs/>
      <w:color w:val="0F4761" w:themeColor="accent1" w:themeShade="BF"/>
    </w:rPr>
  </w:style>
  <w:style w:type="paragraph" w:styleId="IntenseQuote">
    <w:name w:val="Intense Quote"/>
    <w:basedOn w:val="Normal"/>
    <w:next w:val="Normal"/>
    <w:link w:val="IntenseQuoteChar"/>
    <w:uiPriority w:val="30"/>
    <w:qFormat/>
    <w:rsid w:val="00CB52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5244"/>
    <w:rPr>
      <w:i/>
      <w:iCs/>
      <w:color w:val="0F4761" w:themeColor="accent1" w:themeShade="BF"/>
    </w:rPr>
  </w:style>
  <w:style w:type="character" w:styleId="IntenseReference">
    <w:name w:val="Intense Reference"/>
    <w:basedOn w:val="DefaultParagraphFont"/>
    <w:uiPriority w:val="32"/>
    <w:qFormat/>
    <w:rsid w:val="00CB5244"/>
    <w:rPr>
      <w:b/>
      <w:bCs/>
      <w:smallCaps/>
      <w:color w:val="0F4761" w:themeColor="accent1" w:themeShade="BF"/>
      <w:spacing w:val="5"/>
    </w:rPr>
  </w:style>
  <w:style w:type="paragraph" w:styleId="NormalWeb">
    <w:name w:val="Normal (Web)"/>
    <w:basedOn w:val="Normal"/>
    <w:uiPriority w:val="99"/>
    <w:semiHidden/>
    <w:unhideWhenUsed/>
    <w:rsid w:val="00867BC2"/>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1">
    <w:name w:val="p1"/>
    <w:basedOn w:val="Normal"/>
    <w:rsid w:val="00D22973"/>
    <w:pPr>
      <w:spacing w:after="0" w:line="240" w:lineRule="auto"/>
    </w:pPr>
    <w:rPr>
      <w:rFonts w:ascii="Times New Roman" w:eastAsia="Times New Roman" w:hAnsi="Times New Roman" w:cs="Times New Roman"/>
      <w:color w:val="000000"/>
      <w:kern w:val="0"/>
      <w:sz w:val="18"/>
      <w:szCs w:val="18"/>
      <w14:ligatures w14:val="none"/>
    </w:rPr>
  </w:style>
  <w:style w:type="paragraph" w:styleId="FootnoteText">
    <w:name w:val="footnote text"/>
    <w:basedOn w:val="Normal"/>
    <w:link w:val="FootnoteTextChar"/>
    <w:uiPriority w:val="99"/>
    <w:semiHidden/>
    <w:unhideWhenUsed/>
    <w:rsid w:val="001D5A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5A54"/>
    <w:rPr>
      <w:sz w:val="20"/>
      <w:szCs w:val="20"/>
    </w:rPr>
  </w:style>
  <w:style w:type="character" w:styleId="FootnoteReference">
    <w:name w:val="footnote reference"/>
    <w:basedOn w:val="DefaultParagraphFont"/>
    <w:uiPriority w:val="99"/>
    <w:semiHidden/>
    <w:unhideWhenUsed/>
    <w:rsid w:val="001D5A54"/>
    <w:rPr>
      <w:vertAlign w:val="superscript"/>
    </w:rPr>
  </w:style>
  <w:style w:type="character" w:customStyle="1" w:styleId="large-and-small-caps">
    <w:name w:val="large-and-small-caps"/>
    <w:basedOn w:val="DefaultParagraphFont"/>
    <w:rsid w:val="001D5A54"/>
  </w:style>
  <w:style w:type="character" w:styleId="Hyperlink">
    <w:name w:val="Hyperlink"/>
    <w:basedOn w:val="DefaultParagraphFont"/>
    <w:uiPriority w:val="99"/>
    <w:semiHidden/>
    <w:unhideWhenUsed/>
    <w:rsid w:val="001D5A54"/>
    <w:rPr>
      <w:color w:val="0000FF"/>
      <w:u w:val="single"/>
    </w:rPr>
  </w:style>
  <w:style w:type="paragraph" w:customStyle="1" w:styleId="wp-block-paragraph">
    <w:name w:val="wp-block-paragraph"/>
    <w:basedOn w:val="Normal"/>
    <w:rsid w:val="001D5A54"/>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1D5A5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sog.unc.edu/sites/default/files/course_materials/Ch2Equity_Stone_PolicyParadox3rdEdwCover.pdf" TargetMode="External"/><Relationship Id="rId1" Type="http://schemas.openxmlformats.org/officeDocument/2006/relationships/hyperlink" Target="https://www.sog.unc.edu/sites/default/files/course_materials/Ch2Equity_Stone_PolicyParadox3rdEdwCove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E2BCAF-903F-A141-BCF1-874980BE8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2546</Words>
  <Characters>13192</Characters>
  <Application>Microsoft Office Word</Application>
  <DocSecurity>0</DocSecurity>
  <Lines>293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k18169</dc:creator>
  <cp:keywords/>
  <dc:description/>
  <cp:lastModifiedBy>k18169</cp:lastModifiedBy>
  <cp:revision>19</cp:revision>
  <dcterms:created xsi:type="dcterms:W3CDTF">2026-02-25T15:25:00Z</dcterms:created>
  <dcterms:modified xsi:type="dcterms:W3CDTF">2026-02-25T16:01:00Z</dcterms:modified>
</cp:coreProperties>
</file>