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EA3D9" w14:textId="77777777" w:rsidR="001A32F1" w:rsidRPr="00260B3B" w:rsidRDefault="00D12DEC" w:rsidP="00260B3B">
      <w:pPr>
        <w:pStyle w:val="Title"/>
        <w:spacing w:line="360" w:lineRule="auto"/>
        <w:jc w:val="center"/>
        <w:rPr>
          <w:rFonts w:ascii="Times New Roman" w:eastAsia="Times New Roman" w:hAnsi="Times New Roman" w:cs="Times New Roman"/>
          <w:sz w:val="24"/>
          <w:szCs w:val="24"/>
        </w:rPr>
      </w:pPr>
      <w:r w:rsidRPr="00260B3B">
        <w:rPr>
          <w:rFonts w:ascii="Times New Roman" w:hAnsi="Times New Roman" w:cs="Times New Roman"/>
          <w:sz w:val="24"/>
          <w:szCs w:val="24"/>
        </w:rPr>
        <w:t>The Evolution of Corporate Governance in India: Legal Reforms and Regulatory Milestones</w:t>
      </w:r>
    </w:p>
    <w:p w14:paraId="787EA3DA"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3DB" w14:textId="319F47F6"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Set of rules, processes, practices by which a company is controlled and directed is called as Corporate Governance. A company</w:t>
      </w:r>
      <w:r w:rsidRPr="00260B3B">
        <w:rPr>
          <w:rFonts w:ascii="Times New Roman" w:hAnsi="Times New Roman" w:cs="Times New Roman"/>
          <w:sz w:val="24"/>
          <w:szCs w:val="24"/>
        </w:rPr>
        <w:t>’</w:t>
      </w:r>
      <w:r w:rsidRPr="00260B3B">
        <w:rPr>
          <w:rFonts w:ascii="Times New Roman" w:hAnsi="Times New Roman" w:cs="Times New Roman"/>
          <w:sz w:val="24"/>
          <w:szCs w:val="24"/>
        </w:rPr>
        <w:t>s accountability, fairness, and transparency with its shareholders, customers, management, government, financiers and community is ensured by Corporate Governance. Journey of Corporate Governance in India has been dynamic. It has been shaped by Global influence, economic liberali</w:t>
      </w:r>
      <w:r w:rsidR="00711243" w:rsidRPr="00260B3B">
        <w:rPr>
          <w:rFonts w:ascii="Times New Roman" w:hAnsi="Times New Roman" w:cs="Times New Roman"/>
          <w:sz w:val="24"/>
          <w:szCs w:val="24"/>
        </w:rPr>
        <w:t>z</w:t>
      </w:r>
      <w:r w:rsidRPr="00260B3B">
        <w:rPr>
          <w:rFonts w:ascii="Times New Roman" w:hAnsi="Times New Roman" w:cs="Times New Roman"/>
          <w:sz w:val="24"/>
          <w:szCs w:val="24"/>
        </w:rPr>
        <w:t>ation, increasing demand for investor protection and corporate scandals.</w:t>
      </w:r>
    </w:p>
    <w:p w14:paraId="787EA3DD" w14:textId="46986F40"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This</w:t>
      </w:r>
      <w:r w:rsidR="00711243" w:rsidRPr="00260B3B">
        <w:rPr>
          <w:rFonts w:ascii="Times New Roman" w:hAnsi="Times New Roman" w:cs="Times New Roman"/>
          <w:sz w:val="24"/>
          <w:szCs w:val="24"/>
        </w:rPr>
        <w:t xml:space="preserve"> </w:t>
      </w:r>
      <w:r w:rsidRPr="00260B3B">
        <w:rPr>
          <w:rFonts w:ascii="Times New Roman" w:hAnsi="Times New Roman" w:cs="Times New Roman"/>
          <w:sz w:val="24"/>
          <w:szCs w:val="24"/>
        </w:rPr>
        <w:t>article</w:t>
      </w:r>
      <w:r w:rsidR="00711243" w:rsidRPr="00260B3B">
        <w:rPr>
          <w:rFonts w:ascii="Times New Roman" w:hAnsi="Times New Roman" w:cs="Times New Roman"/>
          <w:sz w:val="24"/>
          <w:szCs w:val="24"/>
        </w:rPr>
        <w:t xml:space="preserve">, </w:t>
      </w:r>
      <w:r w:rsidRPr="00260B3B">
        <w:rPr>
          <w:rFonts w:ascii="Times New Roman" w:hAnsi="Times New Roman" w:cs="Times New Roman"/>
          <w:sz w:val="24"/>
          <w:szCs w:val="24"/>
        </w:rPr>
        <w:t>deals with corporate governance in India through regulatory milestones and legal reforms, outline the major developments that have transformed corporate practices into more transparent, responsible and structured system.</w:t>
      </w:r>
    </w:p>
    <w:p w14:paraId="787EA3DE"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3E0" w14:textId="27EF9022"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Historical background</w:t>
      </w:r>
    </w:p>
    <w:p w14:paraId="787EA3E1" w14:textId="223582AF"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Pre liberali</w:t>
      </w:r>
      <w:r w:rsidR="00711243" w:rsidRPr="00260B3B">
        <w:rPr>
          <w:rFonts w:ascii="Times New Roman" w:hAnsi="Times New Roman" w:cs="Times New Roman"/>
          <w:b/>
          <w:bCs/>
          <w:sz w:val="24"/>
          <w:szCs w:val="24"/>
        </w:rPr>
        <w:t>z</w:t>
      </w:r>
      <w:r w:rsidRPr="00260B3B">
        <w:rPr>
          <w:rFonts w:ascii="Times New Roman" w:hAnsi="Times New Roman" w:cs="Times New Roman"/>
          <w:b/>
          <w:bCs/>
          <w:sz w:val="24"/>
          <w:szCs w:val="24"/>
        </w:rPr>
        <w:t>ation Era</w:t>
      </w:r>
      <w:r w:rsidR="00711243" w:rsidRPr="00260B3B">
        <w:rPr>
          <w:rFonts w:ascii="Times New Roman" w:hAnsi="Times New Roman" w:cs="Times New Roman"/>
          <w:b/>
          <w:bCs/>
          <w:sz w:val="24"/>
          <w:szCs w:val="24"/>
        </w:rPr>
        <w:t xml:space="preserve"> </w:t>
      </w:r>
      <w:r w:rsidRPr="00260B3B">
        <w:rPr>
          <w:rFonts w:ascii="Times New Roman" w:hAnsi="Times New Roman" w:cs="Times New Roman"/>
          <w:b/>
          <w:bCs/>
          <w:sz w:val="24"/>
          <w:szCs w:val="24"/>
        </w:rPr>
        <w:t>(</w:t>
      </w:r>
      <w:r w:rsidRPr="00260B3B">
        <w:rPr>
          <w:rFonts w:ascii="Times New Roman" w:hAnsi="Times New Roman" w:cs="Times New Roman"/>
          <w:b/>
          <w:bCs/>
          <w:sz w:val="24"/>
          <w:szCs w:val="24"/>
        </w:rPr>
        <w:t>before 1991)</w:t>
      </w:r>
    </w:p>
    <w:p w14:paraId="787EA3E3" w14:textId="7107B759"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Pre economic liberali</w:t>
      </w:r>
      <w:r w:rsidR="00711243" w:rsidRPr="00260B3B">
        <w:rPr>
          <w:rFonts w:ascii="Times New Roman" w:hAnsi="Times New Roman" w:cs="Times New Roman"/>
          <w:sz w:val="24"/>
          <w:szCs w:val="24"/>
        </w:rPr>
        <w:t>za</w:t>
      </w:r>
      <w:r w:rsidRPr="00260B3B">
        <w:rPr>
          <w:rFonts w:ascii="Times New Roman" w:hAnsi="Times New Roman" w:cs="Times New Roman"/>
          <w:sz w:val="24"/>
          <w:szCs w:val="24"/>
        </w:rPr>
        <w:t>tion, corporate sector of India was majorly controlled by state with very limited freedom for private sector. With minimal shareholder participation corporate governance was underdeveloped, and often companies had opaque decision making. Rather than corporate governance or accountability the primary focus was on industrial licensing, government oversight, and quotes.</w:t>
      </w:r>
    </w:p>
    <w:p w14:paraId="787EA3E4" w14:textId="0D2680C4"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 xml:space="preserve">Post </w:t>
      </w:r>
      <w:proofErr w:type="spellStart"/>
      <w:r w:rsidR="00260B3B" w:rsidRPr="00260B3B">
        <w:rPr>
          <w:rFonts w:ascii="Times New Roman" w:hAnsi="Times New Roman" w:cs="Times New Roman"/>
          <w:b/>
          <w:bCs/>
          <w:sz w:val="24"/>
          <w:szCs w:val="24"/>
        </w:rPr>
        <w:t>l</w:t>
      </w:r>
      <w:r w:rsidRPr="00260B3B">
        <w:rPr>
          <w:rFonts w:ascii="Times New Roman" w:hAnsi="Times New Roman" w:cs="Times New Roman"/>
          <w:b/>
          <w:bCs/>
          <w:sz w:val="24"/>
          <w:szCs w:val="24"/>
        </w:rPr>
        <w:t>ib</w:t>
      </w:r>
      <w:r w:rsidRPr="00260B3B">
        <w:rPr>
          <w:rFonts w:ascii="Times New Roman" w:hAnsi="Times New Roman" w:cs="Times New Roman"/>
          <w:b/>
          <w:bCs/>
          <w:sz w:val="24"/>
          <w:szCs w:val="24"/>
        </w:rPr>
        <w:t>é</w:t>
      </w:r>
      <w:r w:rsidRPr="00260B3B">
        <w:rPr>
          <w:rFonts w:ascii="Times New Roman" w:hAnsi="Times New Roman" w:cs="Times New Roman"/>
          <w:b/>
          <w:bCs/>
          <w:sz w:val="24"/>
          <w:szCs w:val="24"/>
        </w:rPr>
        <w:t>rali</w:t>
      </w:r>
      <w:r w:rsidR="00711243" w:rsidRPr="00260B3B">
        <w:rPr>
          <w:rFonts w:ascii="Times New Roman" w:hAnsi="Times New Roman" w:cs="Times New Roman"/>
          <w:b/>
          <w:bCs/>
          <w:sz w:val="24"/>
          <w:szCs w:val="24"/>
        </w:rPr>
        <w:t>z</w:t>
      </w:r>
      <w:r w:rsidRPr="00260B3B">
        <w:rPr>
          <w:rFonts w:ascii="Times New Roman" w:hAnsi="Times New Roman" w:cs="Times New Roman"/>
          <w:b/>
          <w:bCs/>
          <w:sz w:val="24"/>
          <w:szCs w:val="24"/>
        </w:rPr>
        <w:t>ation</w:t>
      </w:r>
      <w:proofErr w:type="spellEnd"/>
      <w:r w:rsidRPr="00260B3B">
        <w:rPr>
          <w:rFonts w:ascii="Times New Roman" w:hAnsi="Times New Roman" w:cs="Times New Roman"/>
          <w:b/>
          <w:bCs/>
          <w:sz w:val="24"/>
          <w:szCs w:val="24"/>
        </w:rPr>
        <w:t xml:space="preserve"> Era (</w:t>
      </w:r>
      <w:r w:rsidRPr="00260B3B">
        <w:rPr>
          <w:rFonts w:ascii="Times New Roman" w:hAnsi="Times New Roman" w:cs="Times New Roman"/>
          <w:b/>
          <w:bCs/>
          <w:sz w:val="24"/>
          <w:szCs w:val="24"/>
        </w:rPr>
        <w:t>1991 onwards)</w:t>
      </w:r>
    </w:p>
    <w:p w14:paraId="787EA3E5"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Indian economy has been opened up to global competition, private sector investment, and foreign investment after 1991 economic reforms. Improved corporate governance to enhance investor confidence and to promote sustainable economic growth was necessitated by the shift. </w:t>
      </w:r>
    </w:p>
    <w:p w14:paraId="787EA3E6"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3E7"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Early Regulatory Framework</w:t>
      </w:r>
    </w:p>
    <w:p w14:paraId="787EA3E9"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Companies Act, 1956</w:t>
      </w:r>
      <w:r w:rsidRPr="00260B3B">
        <w:rPr>
          <w:rFonts w:ascii="Times New Roman" w:eastAsia="Times New Roman" w:hAnsi="Times New Roman" w:cs="Times New Roman"/>
          <w:b/>
          <w:bCs/>
          <w:sz w:val="24"/>
          <w:szCs w:val="24"/>
          <w:vertAlign w:val="superscript"/>
        </w:rPr>
        <w:footnoteReference w:id="2"/>
      </w:r>
    </w:p>
    <w:p w14:paraId="787EA3EA"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Foundational legislation governing corporate </w:t>
      </w:r>
      <w:proofErr w:type="spellStart"/>
      <w:r w:rsidRPr="00260B3B">
        <w:rPr>
          <w:rFonts w:ascii="Times New Roman" w:hAnsi="Times New Roman" w:cs="Times New Roman"/>
          <w:sz w:val="24"/>
          <w:szCs w:val="24"/>
        </w:rPr>
        <w:t>behaviour</w:t>
      </w:r>
      <w:proofErr w:type="spellEnd"/>
      <w:r w:rsidRPr="00260B3B">
        <w:rPr>
          <w:rFonts w:ascii="Times New Roman" w:hAnsi="Times New Roman" w:cs="Times New Roman"/>
          <w:sz w:val="24"/>
          <w:szCs w:val="24"/>
        </w:rPr>
        <w:t xml:space="preserve"> in India was governed by the companies act, 1956. This act addressed basic company law aspects like board structure, incorporation, </w:t>
      </w:r>
      <w:r w:rsidRPr="00260B3B">
        <w:rPr>
          <w:rFonts w:ascii="Times New Roman" w:hAnsi="Times New Roman" w:cs="Times New Roman"/>
          <w:sz w:val="24"/>
          <w:szCs w:val="24"/>
        </w:rPr>
        <w:lastRenderedPageBreak/>
        <w:t>shareholders while it lacked in-depth provisions on governance standards like audit committee, risk management or independent directors.</w:t>
      </w:r>
    </w:p>
    <w:p w14:paraId="787EA3EC"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Securities and Exchange Board of India (SEBI) Act, 1992</w:t>
      </w:r>
      <w:r w:rsidRPr="00260B3B">
        <w:rPr>
          <w:rFonts w:ascii="Times New Roman" w:eastAsia="Times New Roman" w:hAnsi="Times New Roman" w:cs="Times New Roman"/>
          <w:b/>
          <w:bCs/>
          <w:sz w:val="24"/>
          <w:szCs w:val="24"/>
          <w:vertAlign w:val="superscript"/>
        </w:rPr>
        <w:footnoteReference w:id="3"/>
      </w:r>
    </w:p>
    <w:p w14:paraId="787EA3EE" w14:textId="0DDE5F81"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Turning point of Indian capital market regulation was marked by the establishment of SEBI. SEBI became the </w:t>
      </w:r>
      <w:proofErr w:type="gramStart"/>
      <w:r w:rsidRPr="00260B3B">
        <w:rPr>
          <w:rFonts w:ascii="Times New Roman" w:hAnsi="Times New Roman" w:cs="Times New Roman"/>
          <w:sz w:val="24"/>
          <w:szCs w:val="24"/>
        </w:rPr>
        <w:t>principle</w:t>
      </w:r>
      <w:proofErr w:type="gramEnd"/>
      <w:r w:rsidRPr="00260B3B">
        <w:rPr>
          <w:rFonts w:ascii="Times New Roman" w:hAnsi="Times New Roman" w:cs="Times New Roman"/>
          <w:sz w:val="24"/>
          <w:szCs w:val="24"/>
        </w:rPr>
        <w:t xml:space="preserve"> regulator for ensuring investor protection, curbing malpractices, listed companies and disclosure norms. It played a major role in strengthening corporate governance listing obligations and issuing guidelines.</w:t>
      </w:r>
    </w:p>
    <w:p w14:paraId="787EA3F0" w14:textId="054E0E35"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b/>
          <w:bCs/>
          <w:sz w:val="24"/>
          <w:szCs w:val="24"/>
        </w:rPr>
        <w:t>Major corporate governance milestones</w:t>
      </w:r>
      <w:r w:rsidR="002425D1" w:rsidRPr="00260B3B">
        <w:rPr>
          <w:rFonts w:ascii="Times New Roman" w:hAnsi="Times New Roman" w:cs="Times New Roman"/>
          <w:sz w:val="24"/>
          <w:szCs w:val="24"/>
        </w:rPr>
        <w:t>:</w:t>
      </w:r>
    </w:p>
    <w:p w14:paraId="787EA3F1"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Kumar Mangalam Birla committee report (1999)</w:t>
      </w:r>
    </w:p>
    <w:p w14:paraId="787EA3F2"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Kumar Mangalam Birla committee was appointed to suggest governance reforms for listed companies by SEBI.</w:t>
      </w:r>
    </w:p>
    <w:p w14:paraId="787EA3F3"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Major recommendations made by the committee were:</w:t>
      </w:r>
    </w:p>
    <w:p w14:paraId="787EA3F4"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Companies board should have latest 50% non-executive directors</w:t>
      </w:r>
    </w:p>
    <w:p w14:paraId="787EA3F5"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Least one third of the directors should be independent directors</w:t>
      </w:r>
    </w:p>
    <w:p w14:paraId="787EA3F6"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There should be a mandatory audit committee</w:t>
      </w:r>
    </w:p>
    <w:p w14:paraId="787EA3F7"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Should have improved disclosure practices</w:t>
      </w:r>
    </w:p>
    <w:p w14:paraId="787EA3F9" w14:textId="7EB0524A"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Recommendations made by this committee </w:t>
      </w:r>
      <w:proofErr w:type="gramStart"/>
      <w:r w:rsidRPr="00260B3B">
        <w:rPr>
          <w:rFonts w:ascii="Times New Roman" w:hAnsi="Times New Roman" w:cs="Times New Roman"/>
          <w:sz w:val="24"/>
          <w:szCs w:val="24"/>
        </w:rPr>
        <w:t>where</w:t>
      </w:r>
      <w:proofErr w:type="gramEnd"/>
      <w:r w:rsidRPr="00260B3B">
        <w:rPr>
          <w:rFonts w:ascii="Times New Roman" w:hAnsi="Times New Roman" w:cs="Times New Roman"/>
          <w:sz w:val="24"/>
          <w:szCs w:val="24"/>
        </w:rPr>
        <w:t xml:space="preserve"> implemented through clause 49 of the listing agreement in 2000, significantly improving transparency and independence of the board.</w:t>
      </w:r>
    </w:p>
    <w:p w14:paraId="58B380A2" w14:textId="77777777" w:rsidR="002425D1" w:rsidRPr="00260B3B" w:rsidRDefault="002425D1" w:rsidP="00260B3B">
      <w:pPr>
        <w:pStyle w:val="Body"/>
        <w:spacing w:line="360" w:lineRule="auto"/>
        <w:jc w:val="both"/>
        <w:rPr>
          <w:rFonts w:ascii="Times New Roman" w:eastAsia="Times New Roman" w:hAnsi="Times New Roman" w:cs="Times New Roman"/>
          <w:sz w:val="24"/>
          <w:szCs w:val="24"/>
        </w:rPr>
      </w:pPr>
    </w:p>
    <w:p w14:paraId="787EA3FA"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Naresh Chandra committee report (2002)</w:t>
      </w:r>
    </w:p>
    <w:p w14:paraId="787EA3FB"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The Naresh Chandra committee was set up by the ministry of corporate affairs after the global scandals like Enron and WorldCom to address auditor independence and corporate governance.</w:t>
      </w:r>
    </w:p>
    <w:p w14:paraId="787EA3FC"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Major recommendations made by the committee were:</w:t>
      </w:r>
    </w:p>
    <w:p w14:paraId="787EA3FD" w14:textId="77777777" w:rsidR="001A32F1" w:rsidRPr="00260B3B" w:rsidRDefault="00D12DEC" w:rsidP="00260B3B">
      <w:pPr>
        <w:pStyle w:val="Body"/>
        <w:numPr>
          <w:ilvl w:val="0"/>
          <w:numId w:val="3"/>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Clear difference in roles of auditor and consultants</w:t>
      </w:r>
    </w:p>
    <w:p w14:paraId="787EA3FE"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Financial statement should by mandatorily certified by CEOs/CFOs</w:t>
      </w:r>
    </w:p>
    <w:p w14:paraId="787EA3FF"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Rotation of audit partners</w:t>
      </w:r>
    </w:p>
    <w:p w14:paraId="787EA400" w14:textId="2EA3967F"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These recommendation</w:t>
      </w:r>
      <w:r w:rsidR="002425D1" w:rsidRPr="00260B3B">
        <w:rPr>
          <w:rFonts w:ascii="Times New Roman" w:hAnsi="Times New Roman" w:cs="Times New Roman"/>
          <w:sz w:val="24"/>
          <w:szCs w:val="24"/>
        </w:rPr>
        <w:t xml:space="preserve">s </w:t>
      </w:r>
      <w:r w:rsidRPr="00260B3B">
        <w:rPr>
          <w:rFonts w:ascii="Times New Roman" w:hAnsi="Times New Roman" w:cs="Times New Roman"/>
          <w:sz w:val="24"/>
          <w:szCs w:val="24"/>
        </w:rPr>
        <w:t>helped in paving the way for better financial oversight.</w:t>
      </w:r>
    </w:p>
    <w:p w14:paraId="787EA401"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402"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Narayana Murthy Committee report (2003)</w:t>
      </w:r>
    </w:p>
    <w:p w14:paraId="787EA403"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SEBI constituted this committee to refine clause 49 of the listing agreement in 2000. </w:t>
      </w:r>
    </w:p>
    <w:p w14:paraId="787EA404"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lastRenderedPageBreak/>
        <w:t>Major recommendations made by this committee were:</w:t>
      </w:r>
    </w:p>
    <w:p w14:paraId="787EA405" w14:textId="77777777" w:rsidR="001A32F1" w:rsidRPr="00260B3B" w:rsidRDefault="00D12DEC" w:rsidP="00260B3B">
      <w:pPr>
        <w:pStyle w:val="Body"/>
        <w:numPr>
          <w:ilvl w:val="0"/>
          <w:numId w:val="4"/>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Establishment of Whistleblower Policy</w:t>
      </w:r>
    </w:p>
    <w:p w14:paraId="787EA406"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Internal records certified by CEO/CFO</w:t>
      </w:r>
    </w:p>
    <w:p w14:paraId="787EA407"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Stronger role of audit committee</w:t>
      </w:r>
    </w:p>
    <w:p w14:paraId="08F3D36C" w14:textId="77777777" w:rsidR="002425D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Recommendations made by this committee were adopted in 2004, reinforcing corporate accountability and ethics.</w:t>
      </w:r>
    </w:p>
    <w:p w14:paraId="787EA40A" w14:textId="63888F71"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b/>
          <w:bCs/>
          <w:sz w:val="24"/>
          <w:szCs w:val="24"/>
        </w:rPr>
        <w:t>The Satyam Scandal and Post 2009 reforms</w:t>
      </w:r>
    </w:p>
    <w:p w14:paraId="787EA40B" w14:textId="0841E746"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Serious lapse in governance, board complicity and audit failure </w:t>
      </w:r>
      <w:proofErr w:type="gramStart"/>
      <w:r w:rsidRPr="00260B3B">
        <w:rPr>
          <w:rFonts w:ascii="Times New Roman" w:hAnsi="Times New Roman" w:cs="Times New Roman"/>
          <w:sz w:val="24"/>
          <w:szCs w:val="24"/>
        </w:rPr>
        <w:t>was</w:t>
      </w:r>
      <w:proofErr w:type="gramEnd"/>
      <w:r w:rsidRPr="00260B3B">
        <w:rPr>
          <w:rFonts w:ascii="Times New Roman" w:hAnsi="Times New Roman" w:cs="Times New Roman"/>
          <w:sz w:val="24"/>
          <w:szCs w:val="24"/>
        </w:rPr>
        <w:t xml:space="preserve"> exposed by </w:t>
      </w:r>
      <w:r w:rsidR="002425D1" w:rsidRPr="00260B3B">
        <w:rPr>
          <w:rFonts w:ascii="Times New Roman" w:hAnsi="Times New Roman" w:cs="Times New Roman"/>
          <w:sz w:val="24"/>
          <w:szCs w:val="24"/>
        </w:rPr>
        <w:t>t</w:t>
      </w:r>
      <w:r w:rsidRPr="00260B3B">
        <w:rPr>
          <w:rFonts w:ascii="Times New Roman" w:hAnsi="Times New Roman" w:cs="Times New Roman"/>
          <w:sz w:val="24"/>
          <w:szCs w:val="24"/>
        </w:rPr>
        <w:t>he 2009 Satyam Scandal. This was a turning point for Indian Corporate Governance.</w:t>
      </w:r>
    </w:p>
    <w:p w14:paraId="787EA40C"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Major reforms initiated include:</w:t>
      </w:r>
    </w:p>
    <w:p w14:paraId="787EA40D" w14:textId="77777777" w:rsidR="001A32F1" w:rsidRPr="00260B3B" w:rsidRDefault="00D12DEC" w:rsidP="00260B3B">
      <w:pPr>
        <w:pStyle w:val="Body"/>
        <w:numPr>
          <w:ilvl w:val="0"/>
          <w:numId w:val="5"/>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Appointment of Independent director is mandatory</w:t>
      </w:r>
    </w:p>
    <w:p w14:paraId="787EA40E"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Strict auditor accountability</w:t>
      </w:r>
    </w:p>
    <w:p w14:paraId="787EA40F"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Increase in disclosure requirements</w:t>
      </w:r>
    </w:p>
    <w:p w14:paraId="787EA410" w14:textId="77777777" w:rsidR="001A32F1" w:rsidRPr="00260B3B" w:rsidRDefault="00D12DEC" w:rsidP="00260B3B">
      <w:pPr>
        <w:pStyle w:val="Body"/>
        <w:numPr>
          <w:ilvl w:val="0"/>
          <w:numId w:val="2"/>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Enhancement of role of regulatory bodies like SEBI and MCA</w:t>
      </w:r>
    </w:p>
    <w:p w14:paraId="787EA411"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412"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Legislative overhaul: Companies Act, 2013</w:t>
      </w:r>
      <w:r w:rsidRPr="00260B3B">
        <w:rPr>
          <w:rFonts w:ascii="Times New Roman" w:eastAsia="Times New Roman" w:hAnsi="Times New Roman" w:cs="Times New Roman"/>
          <w:b/>
          <w:bCs/>
          <w:sz w:val="24"/>
          <w:szCs w:val="24"/>
          <w:vertAlign w:val="superscript"/>
        </w:rPr>
        <w:footnoteReference w:id="4"/>
      </w:r>
    </w:p>
    <w:p w14:paraId="787EA413" w14:textId="22A00F51"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The Companies act, 1956 was replaced by The Companies act, 2013. This act introduced mode</w:t>
      </w:r>
      <w:r w:rsidRPr="00260B3B">
        <w:rPr>
          <w:rFonts w:ascii="Times New Roman" w:hAnsi="Times New Roman" w:cs="Times New Roman"/>
          <w:sz w:val="24"/>
          <w:szCs w:val="24"/>
        </w:rPr>
        <w:t>r</w:t>
      </w:r>
      <w:r w:rsidRPr="00260B3B">
        <w:rPr>
          <w:rFonts w:ascii="Times New Roman" w:hAnsi="Times New Roman" w:cs="Times New Roman"/>
          <w:sz w:val="24"/>
          <w:szCs w:val="24"/>
        </w:rPr>
        <w:t>n</w:t>
      </w:r>
      <w:r w:rsidRPr="00260B3B">
        <w:rPr>
          <w:rFonts w:ascii="Times New Roman" w:hAnsi="Times New Roman" w:cs="Times New Roman"/>
          <w:sz w:val="24"/>
          <w:szCs w:val="24"/>
        </w:rPr>
        <w:t xml:space="preserve"> </w:t>
      </w:r>
      <w:r w:rsidRPr="00260B3B">
        <w:rPr>
          <w:rFonts w:ascii="Times New Roman" w:hAnsi="Times New Roman" w:cs="Times New Roman"/>
          <w:sz w:val="24"/>
          <w:szCs w:val="24"/>
        </w:rPr>
        <w:t>legal framework with comprehensive corporate governance framework.</w:t>
      </w:r>
    </w:p>
    <w:p w14:paraId="787EA415" w14:textId="1E337A28"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Key features of this act include:</w:t>
      </w:r>
    </w:p>
    <w:p w14:paraId="787EA416"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1) Independent directors</w:t>
      </w:r>
    </w:p>
    <w:p w14:paraId="787EA417"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Section 149</w:t>
      </w:r>
      <w:r w:rsidRPr="00260B3B">
        <w:rPr>
          <w:rFonts w:ascii="Times New Roman" w:eastAsia="Times New Roman" w:hAnsi="Times New Roman" w:cs="Times New Roman"/>
          <w:sz w:val="24"/>
          <w:szCs w:val="24"/>
          <w:vertAlign w:val="superscript"/>
        </w:rPr>
        <w:footnoteReference w:id="5"/>
      </w:r>
      <w:r w:rsidRPr="00260B3B">
        <w:rPr>
          <w:rFonts w:ascii="Times New Roman" w:hAnsi="Times New Roman" w:cs="Times New Roman"/>
          <w:sz w:val="24"/>
          <w:szCs w:val="24"/>
        </w:rPr>
        <w:t xml:space="preserve"> mandates that there should be at least one third independent directors in the board.</w:t>
      </w:r>
    </w:p>
    <w:p w14:paraId="787EA419" w14:textId="0F35EDB6"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Roles, responsibilities and code of conduct for independent directors were defined.</w:t>
      </w:r>
    </w:p>
    <w:p w14:paraId="787EA41A"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2) Board committees</w:t>
      </w:r>
    </w:p>
    <w:p w14:paraId="787EA41B"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Formation of an audit committee is mandated by section 177</w:t>
      </w:r>
      <w:r w:rsidRPr="00260B3B">
        <w:rPr>
          <w:rFonts w:ascii="Times New Roman" w:eastAsia="Times New Roman" w:hAnsi="Times New Roman" w:cs="Times New Roman"/>
          <w:sz w:val="24"/>
          <w:szCs w:val="24"/>
          <w:vertAlign w:val="superscript"/>
        </w:rPr>
        <w:footnoteReference w:id="6"/>
      </w:r>
      <w:r w:rsidRPr="00260B3B">
        <w:rPr>
          <w:rFonts w:ascii="Times New Roman" w:hAnsi="Times New Roman" w:cs="Times New Roman"/>
          <w:sz w:val="24"/>
          <w:szCs w:val="24"/>
        </w:rPr>
        <w:t>.</w:t>
      </w:r>
    </w:p>
    <w:p w14:paraId="787EA41C"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Section 178</w:t>
      </w:r>
      <w:r w:rsidRPr="00260B3B">
        <w:rPr>
          <w:rFonts w:ascii="Times New Roman" w:eastAsia="Times New Roman" w:hAnsi="Times New Roman" w:cs="Times New Roman"/>
          <w:sz w:val="24"/>
          <w:szCs w:val="24"/>
          <w:vertAlign w:val="superscript"/>
        </w:rPr>
        <w:footnoteReference w:id="7"/>
      </w:r>
      <w:r w:rsidRPr="00260B3B">
        <w:rPr>
          <w:rFonts w:ascii="Times New Roman" w:hAnsi="Times New Roman" w:cs="Times New Roman"/>
          <w:sz w:val="24"/>
          <w:szCs w:val="24"/>
        </w:rPr>
        <w:t xml:space="preserve"> mandates a nomination and remuneration committee to ensure transparent appointment and remuneration policies.</w:t>
      </w:r>
    </w:p>
    <w:p w14:paraId="46AA60DF" w14:textId="3E6DD249" w:rsidR="002425D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Section 135</w:t>
      </w:r>
      <w:r w:rsidRPr="00260B3B">
        <w:rPr>
          <w:rFonts w:ascii="Times New Roman" w:eastAsia="Times New Roman" w:hAnsi="Times New Roman" w:cs="Times New Roman"/>
          <w:sz w:val="24"/>
          <w:szCs w:val="24"/>
          <w:vertAlign w:val="superscript"/>
        </w:rPr>
        <w:footnoteReference w:id="8"/>
      </w:r>
      <w:r w:rsidRPr="00260B3B">
        <w:rPr>
          <w:rFonts w:ascii="Times New Roman" w:hAnsi="Times New Roman" w:cs="Times New Roman"/>
          <w:sz w:val="24"/>
          <w:szCs w:val="24"/>
        </w:rPr>
        <w:t xml:space="preserve"> mandates a corporate social responsibility committee for certain companies requiring them to contribute 2% of profit on corporate social responsibility activities.</w:t>
      </w:r>
    </w:p>
    <w:p w14:paraId="787EA41F" w14:textId="30032E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3) Board responsibilities</w:t>
      </w:r>
    </w:p>
    <w:p w14:paraId="787EA420"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Fiduciary duties of Directors were codified.</w:t>
      </w:r>
    </w:p>
    <w:p w14:paraId="787EA421"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Accountability and penalties in case of non-compliance were enhanced.</w:t>
      </w:r>
    </w:p>
    <w:p w14:paraId="787EA423" w14:textId="3C47BBB5"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Director evaluation is made mandatory.</w:t>
      </w:r>
    </w:p>
    <w:p w14:paraId="787EA424"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4) Auditor Regulations</w:t>
      </w:r>
    </w:p>
    <w:p w14:paraId="787EA425"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Rotation of auditor every five years is mandatory.</w:t>
      </w:r>
    </w:p>
    <w:p w14:paraId="787EA426"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Disqualification of auditor for conflict of interest.</w:t>
      </w:r>
    </w:p>
    <w:p w14:paraId="787EA427"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Stricter disclosure and audit report norms.</w:t>
      </w:r>
    </w:p>
    <w:p w14:paraId="787EA428"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6C03B60" w14:textId="77777777" w:rsidR="00260B3B" w:rsidRDefault="00260B3B" w:rsidP="00260B3B">
      <w:pPr>
        <w:pStyle w:val="Body"/>
        <w:spacing w:line="360" w:lineRule="auto"/>
        <w:jc w:val="both"/>
        <w:rPr>
          <w:rFonts w:ascii="Times New Roman" w:hAnsi="Times New Roman" w:cs="Times New Roman"/>
          <w:b/>
          <w:bCs/>
          <w:sz w:val="24"/>
          <w:szCs w:val="24"/>
        </w:rPr>
      </w:pPr>
    </w:p>
    <w:p w14:paraId="316EA3CF" w14:textId="77777777" w:rsidR="00260B3B" w:rsidRDefault="00260B3B" w:rsidP="00260B3B">
      <w:pPr>
        <w:pStyle w:val="Body"/>
        <w:spacing w:line="360" w:lineRule="auto"/>
        <w:jc w:val="both"/>
        <w:rPr>
          <w:rFonts w:ascii="Times New Roman" w:hAnsi="Times New Roman" w:cs="Times New Roman"/>
          <w:b/>
          <w:bCs/>
          <w:sz w:val="24"/>
          <w:szCs w:val="24"/>
        </w:rPr>
      </w:pPr>
    </w:p>
    <w:p w14:paraId="787EA429" w14:textId="47B2CCFB"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5) Stakeholder rights</w:t>
      </w:r>
    </w:p>
    <w:p w14:paraId="787EA42A"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Section 245</w:t>
      </w:r>
      <w:r w:rsidRPr="00260B3B">
        <w:rPr>
          <w:rFonts w:ascii="Times New Roman" w:eastAsia="Times New Roman" w:hAnsi="Times New Roman" w:cs="Times New Roman"/>
          <w:sz w:val="24"/>
          <w:szCs w:val="24"/>
          <w:vertAlign w:val="superscript"/>
        </w:rPr>
        <w:footnoteReference w:id="9"/>
      </w:r>
      <w:r w:rsidRPr="00260B3B">
        <w:rPr>
          <w:rFonts w:ascii="Times New Roman" w:hAnsi="Times New Roman" w:cs="Times New Roman"/>
          <w:sz w:val="24"/>
          <w:szCs w:val="24"/>
        </w:rPr>
        <w:t xml:space="preserve"> enables class action suits.</w:t>
      </w:r>
    </w:p>
    <w:p w14:paraId="787EA42B"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Increased protection for minority shareholders.</w:t>
      </w:r>
    </w:p>
    <w:p w14:paraId="787EA42C"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Whistleblower mechanism is encouraged.</w:t>
      </w:r>
    </w:p>
    <w:p w14:paraId="787EA42D"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42F" w14:textId="2134ABC4"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SEBI</w:t>
      </w:r>
      <w:r w:rsidRPr="00260B3B">
        <w:rPr>
          <w:rFonts w:ascii="Times New Roman" w:hAnsi="Times New Roman" w:cs="Times New Roman"/>
          <w:b/>
          <w:bCs/>
          <w:sz w:val="24"/>
          <w:szCs w:val="24"/>
        </w:rPr>
        <w:t>’</w:t>
      </w:r>
      <w:r w:rsidRPr="00260B3B">
        <w:rPr>
          <w:rFonts w:ascii="Times New Roman" w:hAnsi="Times New Roman" w:cs="Times New Roman"/>
          <w:b/>
          <w:bCs/>
          <w:sz w:val="24"/>
          <w:szCs w:val="24"/>
        </w:rPr>
        <w:t>s Role in Strengthening Governance</w:t>
      </w:r>
    </w:p>
    <w:p w14:paraId="787EA430"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Listing obligations and disclosure requirements regulation, 2015 was introduced by SEBI and it played an active role through this regulation. This regulation consolidated all listing requirements into a single framework.</w:t>
      </w:r>
    </w:p>
    <w:p w14:paraId="787EA431"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Important provisions of Listing obligations and disclosure requirements regulation, 2015 are:</w:t>
      </w:r>
    </w:p>
    <w:p w14:paraId="787EA432"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Disclosure of related party transactions.</w:t>
      </w:r>
    </w:p>
    <w:p w14:paraId="787EA433" w14:textId="3CD8CF2F"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Shareholder</w:t>
      </w:r>
      <w:r w:rsidR="002425D1" w:rsidRPr="00260B3B">
        <w:rPr>
          <w:rFonts w:ascii="Times New Roman" w:hAnsi="Times New Roman" w:cs="Times New Roman"/>
          <w:sz w:val="24"/>
          <w:szCs w:val="24"/>
        </w:rPr>
        <w:t>’</w:t>
      </w:r>
      <w:r w:rsidRPr="00260B3B">
        <w:rPr>
          <w:rFonts w:ascii="Times New Roman" w:hAnsi="Times New Roman" w:cs="Times New Roman"/>
          <w:sz w:val="24"/>
          <w:szCs w:val="24"/>
        </w:rPr>
        <w:t>s approval for material transactions.</w:t>
      </w:r>
    </w:p>
    <w:p w14:paraId="787EA434"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Minimum required board composition.</w:t>
      </w:r>
    </w:p>
    <w:p w14:paraId="787EA435"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Stricter compliance requirements,</w:t>
      </w:r>
    </w:p>
    <w:p w14:paraId="787EA436"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Provision related to handling unpublished price sensitive information.</w:t>
      </w:r>
    </w:p>
    <w:p w14:paraId="787EA437"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439" w14:textId="5D860521"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Kotak committee on corporate governance (2017)</w:t>
      </w:r>
    </w:p>
    <w:p w14:paraId="787EA43A"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SEBI formed The Kotak Committee to strengthen corporate governance in listed companies.</w:t>
      </w:r>
    </w:p>
    <w:p w14:paraId="787EA43B"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Important recommendations of The Kotak Committee include:</w:t>
      </w:r>
    </w:p>
    <w:p w14:paraId="787EA43C"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There should be at least one women independent director.</w:t>
      </w:r>
    </w:p>
    <w:p w14:paraId="787EA43D"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lastRenderedPageBreak/>
        <w:t>Role and power of audit committee was enhanced.</w:t>
      </w:r>
    </w:p>
    <w:p w14:paraId="787EA43E"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Listed companies should have at least six indecent directors for top 1000 companies initially but later extended to top 2000 companies.</w:t>
      </w:r>
    </w:p>
    <w:p w14:paraId="787EA43F"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Separation of CEO and Chairperson role to enhance corporate governance.</w:t>
      </w:r>
    </w:p>
    <w:p w14:paraId="787EA440" w14:textId="77777777" w:rsidR="001A32F1" w:rsidRPr="00260B3B" w:rsidRDefault="00D12DEC" w:rsidP="00260B3B">
      <w:pPr>
        <w:pStyle w:val="Body"/>
        <w:numPr>
          <w:ilvl w:val="0"/>
          <w:numId w:val="7"/>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Quarterly disclosure of Consolidated financial results.</w:t>
      </w:r>
    </w:p>
    <w:p w14:paraId="787EA441"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443" w14:textId="2817867E"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Technology and ESG influence</w:t>
      </w:r>
    </w:p>
    <w:p w14:paraId="787EA445" w14:textId="00428110"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Indian companies are being nudged towards integrated sustainability in governance due to increased digitali</w:t>
      </w:r>
      <w:r w:rsidR="002425D1" w:rsidRPr="00260B3B">
        <w:rPr>
          <w:rFonts w:ascii="Times New Roman" w:hAnsi="Times New Roman" w:cs="Times New Roman"/>
          <w:sz w:val="24"/>
          <w:szCs w:val="24"/>
        </w:rPr>
        <w:t>z</w:t>
      </w:r>
      <w:r w:rsidRPr="00260B3B">
        <w:rPr>
          <w:rFonts w:ascii="Times New Roman" w:hAnsi="Times New Roman" w:cs="Times New Roman"/>
          <w:sz w:val="24"/>
          <w:szCs w:val="24"/>
        </w:rPr>
        <w:t>ation and global ESG (</w:t>
      </w:r>
      <w:r w:rsidRPr="00260B3B">
        <w:rPr>
          <w:rFonts w:ascii="Times New Roman" w:hAnsi="Times New Roman" w:cs="Times New Roman"/>
          <w:sz w:val="24"/>
          <w:szCs w:val="24"/>
        </w:rPr>
        <w:t>Environmental, social, and governance</w:t>
      </w:r>
      <w:r w:rsidRPr="00260B3B">
        <w:rPr>
          <w:rFonts w:ascii="Times New Roman" w:hAnsi="Times New Roman" w:cs="Times New Roman"/>
          <w:sz w:val="24"/>
          <w:szCs w:val="24"/>
        </w:rPr>
        <w:t>) focus. Top 1000 listed companies are mandated by SEBI to file Business Responsibility and Sustainability Reports from FY 22-23.</w:t>
      </w:r>
    </w:p>
    <w:p w14:paraId="15481219" w14:textId="77777777" w:rsidR="00260B3B" w:rsidRDefault="00260B3B" w:rsidP="00260B3B">
      <w:pPr>
        <w:pStyle w:val="Body"/>
        <w:spacing w:line="360" w:lineRule="auto"/>
        <w:jc w:val="both"/>
        <w:rPr>
          <w:rFonts w:ascii="Times New Roman" w:hAnsi="Times New Roman" w:cs="Times New Roman"/>
          <w:b/>
          <w:bCs/>
          <w:sz w:val="24"/>
          <w:szCs w:val="24"/>
        </w:rPr>
      </w:pPr>
    </w:p>
    <w:p w14:paraId="787EA447" w14:textId="7C8F01E1"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Recent developments and trends</w:t>
      </w:r>
    </w:p>
    <w:p w14:paraId="787EA448"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Ease of doing business</w:t>
      </w:r>
    </w:p>
    <w:p w14:paraId="787EA449"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t>
      </w:r>
      <w:r w:rsidRPr="00260B3B">
        <w:rPr>
          <w:rFonts w:ascii="Times New Roman" w:hAnsi="Times New Roman" w:cs="Times New Roman"/>
          <w:sz w:val="24"/>
          <w:szCs w:val="24"/>
        </w:rPr>
        <w:t xml:space="preserve">For fast company incorporation MCA has implemented </w:t>
      </w:r>
      <w:proofErr w:type="spellStart"/>
      <w:r w:rsidRPr="00260B3B">
        <w:rPr>
          <w:rFonts w:ascii="Times New Roman" w:hAnsi="Times New Roman" w:cs="Times New Roman"/>
          <w:sz w:val="24"/>
          <w:szCs w:val="24"/>
        </w:rPr>
        <w:t>SPICe</w:t>
      </w:r>
      <w:proofErr w:type="spellEnd"/>
    </w:p>
    <w:p w14:paraId="787EA44A"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t>
      </w:r>
      <w:r w:rsidRPr="00260B3B">
        <w:rPr>
          <w:rFonts w:ascii="Times New Roman" w:hAnsi="Times New Roman" w:cs="Times New Roman"/>
          <w:sz w:val="24"/>
          <w:szCs w:val="24"/>
        </w:rPr>
        <w:t>Online portals like MCA21 for compliance and e-filing</w:t>
      </w:r>
    </w:p>
    <w:p w14:paraId="787EA44C" w14:textId="11EFECA8"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t>
      </w:r>
      <w:r w:rsidRPr="00260B3B">
        <w:rPr>
          <w:rFonts w:ascii="Times New Roman" w:hAnsi="Times New Roman" w:cs="Times New Roman"/>
          <w:sz w:val="24"/>
          <w:szCs w:val="24"/>
        </w:rPr>
        <w:t>Simplified filing of disclosures and returns</w:t>
      </w:r>
    </w:p>
    <w:p w14:paraId="787EA44D"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Insolvency and bankruptcy code,2016</w:t>
      </w:r>
    </w:p>
    <w:p w14:paraId="787EA44E"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t>
      </w:r>
      <w:r w:rsidRPr="00260B3B">
        <w:rPr>
          <w:rFonts w:ascii="Times New Roman" w:hAnsi="Times New Roman" w:cs="Times New Roman"/>
          <w:sz w:val="24"/>
          <w:szCs w:val="24"/>
        </w:rPr>
        <w:t xml:space="preserve">creditors Interest is protected </w:t>
      </w:r>
    </w:p>
    <w:p w14:paraId="787EA44F"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t>
      </w:r>
      <w:r w:rsidRPr="00260B3B">
        <w:rPr>
          <w:rFonts w:ascii="Times New Roman" w:hAnsi="Times New Roman" w:cs="Times New Roman"/>
          <w:sz w:val="24"/>
          <w:szCs w:val="24"/>
        </w:rPr>
        <w:t>financial discipline is promoted</w:t>
      </w:r>
    </w:p>
    <w:p w14:paraId="787EA451" w14:textId="4EE03A62"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t>
      </w:r>
      <w:r w:rsidRPr="00260B3B">
        <w:rPr>
          <w:rFonts w:ascii="Times New Roman" w:hAnsi="Times New Roman" w:cs="Times New Roman"/>
          <w:sz w:val="24"/>
          <w:szCs w:val="24"/>
        </w:rPr>
        <w:t>Resolution of distressed companies is facilitated through structured processes.</w:t>
      </w:r>
    </w:p>
    <w:p w14:paraId="787EA452"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Increased shareholders activism</w:t>
      </w:r>
    </w:p>
    <w:p w14:paraId="787EA453"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t>
      </w:r>
      <w:r w:rsidRPr="00260B3B">
        <w:rPr>
          <w:rFonts w:ascii="Times New Roman" w:hAnsi="Times New Roman" w:cs="Times New Roman"/>
          <w:sz w:val="24"/>
          <w:szCs w:val="24"/>
        </w:rPr>
        <w:t>ESG compliance, transparency, and performance accountability is demanded</w:t>
      </w:r>
    </w:p>
    <w:p w14:paraId="787EA454"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t>
      </w:r>
      <w:r w:rsidRPr="00260B3B">
        <w:rPr>
          <w:rFonts w:ascii="Times New Roman" w:hAnsi="Times New Roman" w:cs="Times New Roman"/>
          <w:sz w:val="24"/>
          <w:szCs w:val="24"/>
        </w:rPr>
        <w:t>Institutional investors and proxy advisory companies are becoming powerful agents of change.</w:t>
      </w:r>
    </w:p>
    <w:p w14:paraId="1E27072E" w14:textId="77777777" w:rsidR="002425D1" w:rsidRPr="00260B3B" w:rsidRDefault="002425D1" w:rsidP="00260B3B">
      <w:pPr>
        <w:pStyle w:val="Body"/>
        <w:spacing w:line="360" w:lineRule="auto"/>
        <w:jc w:val="both"/>
        <w:rPr>
          <w:rFonts w:ascii="Times New Roman" w:hAnsi="Times New Roman" w:cs="Times New Roman"/>
          <w:b/>
          <w:bCs/>
          <w:sz w:val="24"/>
          <w:szCs w:val="24"/>
        </w:rPr>
      </w:pPr>
    </w:p>
    <w:p w14:paraId="787EA457" w14:textId="5DF1BE86"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Challenges in Corporate governance in India</w:t>
      </w:r>
    </w:p>
    <w:p w14:paraId="787EA458"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lang w:val="it-IT"/>
        </w:rPr>
        <w:t>1. Promoter dominance</w:t>
      </w:r>
    </w:p>
    <w:p w14:paraId="787EA459"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Promoters hold significant control in many Indian companies, undermining shareholder rights and board independence.</w:t>
      </w:r>
    </w:p>
    <w:p w14:paraId="787EA45B"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2.</w:t>
      </w:r>
      <w:r w:rsidRPr="00260B3B">
        <w:rPr>
          <w:rFonts w:ascii="Times New Roman" w:hAnsi="Times New Roman" w:cs="Times New Roman"/>
          <w:b/>
          <w:bCs/>
          <w:sz w:val="24"/>
          <w:szCs w:val="24"/>
        </w:rPr>
        <w:t xml:space="preserve"> I</w:t>
      </w:r>
      <w:proofErr w:type="spellStart"/>
      <w:r w:rsidRPr="00260B3B">
        <w:rPr>
          <w:rFonts w:ascii="Times New Roman" w:hAnsi="Times New Roman" w:cs="Times New Roman"/>
          <w:b/>
          <w:bCs/>
          <w:sz w:val="24"/>
          <w:szCs w:val="24"/>
          <w:lang w:val="fr-FR"/>
        </w:rPr>
        <w:t>mplementation</w:t>
      </w:r>
      <w:proofErr w:type="spellEnd"/>
      <w:r w:rsidRPr="00260B3B">
        <w:rPr>
          <w:rFonts w:ascii="Times New Roman" w:hAnsi="Times New Roman" w:cs="Times New Roman"/>
          <w:b/>
          <w:bCs/>
          <w:sz w:val="24"/>
          <w:szCs w:val="24"/>
          <w:lang w:val="fr-FR"/>
        </w:rPr>
        <w:t xml:space="preserve"> gap</w:t>
      </w:r>
    </w:p>
    <w:p w14:paraId="787EA45C"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Independent directors often lack autonomy, many companies only comply in letter, not in spirit. And due to management influence audit committee may be ineffective.</w:t>
      </w:r>
    </w:p>
    <w:p w14:paraId="787EA45E"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3.Whistleblower mechanism</w:t>
      </w:r>
    </w:p>
    <w:p w14:paraId="787EA45F"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Whistleblowers often lack adequate protection even though mechanism exist, discouraging reporting of fraud and unethical practices.</w:t>
      </w:r>
    </w:p>
    <w:p w14:paraId="787EA461"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4.Regulatory overlap and enforcement</w:t>
      </w:r>
    </w:p>
    <w:p w14:paraId="787EA462" w14:textId="77777777"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Multiple regulatory bodies like SEBI, RBI, MCA, </w:t>
      </w:r>
      <w:proofErr w:type="spellStart"/>
      <w:r w:rsidRPr="00260B3B">
        <w:rPr>
          <w:rFonts w:ascii="Times New Roman" w:hAnsi="Times New Roman" w:cs="Times New Roman"/>
          <w:sz w:val="24"/>
          <w:szCs w:val="24"/>
        </w:rPr>
        <w:t>etc</w:t>
      </w:r>
      <w:proofErr w:type="spellEnd"/>
      <w:r w:rsidRPr="00260B3B">
        <w:rPr>
          <w:rFonts w:ascii="Times New Roman" w:hAnsi="Times New Roman" w:cs="Times New Roman"/>
          <w:sz w:val="24"/>
          <w:szCs w:val="24"/>
        </w:rPr>
        <w:t xml:space="preserve"> create compliance complexity. Penalties are often inadequate to deter violations and enforcement remains inconsistent.</w:t>
      </w:r>
    </w:p>
    <w:p w14:paraId="787EA463"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5826C4AC" w14:textId="77777777" w:rsidR="00260B3B" w:rsidRDefault="00260B3B" w:rsidP="00260B3B">
      <w:pPr>
        <w:pStyle w:val="Body"/>
        <w:spacing w:line="360" w:lineRule="auto"/>
        <w:jc w:val="both"/>
        <w:rPr>
          <w:rFonts w:ascii="Times New Roman" w:hAnsi="Times New Roman" w:cs="Times New Roman"/>
          <w:b/>
          <w:bCs/>
          <w:sz w:val="24"/>
          <w:szCs w:val="24"/>
        </w:rPr>
      </w:pPr>
    </w:p>
    <w:p w14:paraId="453BE35E" w14:textId="77777777" w:rsidR="00260B3B" w:rsidRDefault="00260B3B" w:rsidP="00260B3B">
      <w:pPr>
        <w:pStyle w:val="Body"/>
        <w:spacing w:line="360" w:lineRule="auto"/>
        <w:jc w:val="both"/>
        <w:rPr>
          <w:rFonts w:ascii="Times New Roman" w:hAnsi="Times New Roman" w:cs="Times New Roman"/>
          <w:b/>
          <w:bCs/>
          <w:sz w:val="24"/>
          <w:szCs w:val="24"/>
        </w:rPr>
      </w:pPr>
    </w:p>
    <w:p w14:paraId="62C42D12" w14:textId="77777777" w:rsidR="00260B3B" w:rsidRDefault="00260B3B" w:rsidP="00260B3B">
      <w:pPr>
        <w:pStyle w:val="Body"/>
        <w:spacing w:line="360" w:lineRule="auto"/>
        <w:jc w:val="both"/>
        <w:rPr>
          <w:rFonts w:ascii="Times New Roman" w:hAnsi="Times New Roman" w:cs="Times New Roman"/>
          <w:b/>
          <w:bCs/>
          <w:sz w:val="24"/>
          <w:szCs w:val="24"/>
        </w:rPr>
      </w:pPr>
    </w:p>
    <w:p w14:paraId="37E57111" w14:textId="77777777" w:rsidR="00260B3B" w:rsidRDefault="00260B3B" w:rsidP="00260B3B">
      <w:pPr>
        <w:pStyle w:val="Body"/>
        <w:spacing w:line="360" w:lineRule="auto"/>
        <w:jc w:val="both"/>
        <w:rPr>
          <w:rFonts w:ascii="Times New Roman" w:hAnsi="Times New Roman" w:cs="Times New Roman"/>
          <w:b/>
          <w:bCs/>
          <w:sz w:val="24"/>
          <w:szCs w:val="24"/>
        </w:rPr>
      </w:pPr>
    </w:p>
    <w:p w14:paraId="50000AC1" w14:textId="77777777" w:rsidR="00260B3B" w:rsidRDefault="00260B3B" w:rsidP="00260B3B">
      <w:pPr>
        <w:pStyle w:val="Body"/>
        <w:spacing w:line="360" w:lineRule="auto"/>
        <w:jc w:val="both"/>
        <w:rPr>
          <w:rFonts w:ascii="Times New Roman" w:hAnsi="Times New Roman" w:cs="Times New Roman"/>
          <w:b/>
          <w:bCs/>
          <w:sz w:val="24"/>
          <w:szCs w:val="24"/>
        </w:rPr>
      </w:pPr>
    </w:p>
    <w:p w14:paraId="3941131F" w14:textId="77777777" w:rsidR="00260B3B" w:rsidRDefault="00260B3B" w:rsidP="00260B3B">
      <w:pPr>
        <w:pStyle w:val="Body"/>
        <w:spacing w:line="360" w:lineRule="auto"/>
        <w:jc w:val="both"/>
        <w:rPr>
          <w:rFonts w:ascii="Times New Roman" w:hAnsi="Times New Roman" w:cs="Times New Roman"/>
          <w:b/>
          <w:bCs/>
          <w:sz w:val="24"/>
          <w:szCs w:val="24"/>
        </w:rPr>
      </w:pPr>
    </w:p>
    <w:p w14:paraId="36A6B6A2" w14:textId="77777777" w:rsidR="00260B3B" w:rsidRDefault="00260B3B" w:rsidP="00260B3B">
      <w:pPr>
        <w:pStyle w:val="Body"/>
        <w:spacing w:line="360" w:lineRule="auto"/>
        <w:jc w:val="both"/>
        <w:rPr>
          <w:rFonts w:ascii="Times New Roman" w:hAnsi="Times New Roman" w:cs="Times New Roman"/>
          <w:b/>
          <w:bCs/>
          <w:sz w:val="24"/>
          <w:szCs w:val="24"/>
        </w:rPr>
      </w:pPr>
    </w:p>
    <w:p w14:paraId="787EA466" w14:textId="10876E7F"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proofErr w:type="spellStart"/>
      <w:r w:rsidRPr="00260B3B">
        <w:rPr>
          <w:rFonts w:ascii="Times New Roman" w:hAnsi="Times New Roman" w:cs="Times New Roman"/>
          <w:b/>
          <w:bCs/>
          <w:sz w:val="24"/>
          <w:szCs w:val="24"/>
        </w:rPr>
        <w:t>Globalisation</w:t>
      </w:r>
      <w:proofErr w:type="spellEnd"/>
      <w:r w:rsidRPr="00260B3B">
        <w:rPr>
          <w:rFonts w:ascii="Times New Roman" w:hAnsi="Times New Roman" w:cs="Times New Roman"/>
          <w:b/>
          <w:bCs/>
          <w:sz w:val="24"/>
          <w:szCs w:val="24"/>
        </w:rPr>
        <w:t xml:space="preserve"> and cross border governance norms</w:t>
      </w:r>
    </w:p>
    <w:p w14:paraId="787EA468" w14:textId="779BF253"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Indian companies increasing integration with international markets has led to a push for alignment with global best practices. Many Indian companies are now subject to </w:t>
      </w:r>
      <w:r w:rsidRPr="00260B3B">
        <w:rPr>
          <w:rFonts w:ascii="Times New Roman" w:hAnsi="Times New Roman" w:cs="Times New Roman"/>
          <w:sz w:val="24"/>
          <w:szCs w:val="24"/>
        </w:rPr>
        <w:t>dual governance standards (</w:t>
      </w:r>
      <w:r w:rsidRPr="00260B3B">
        <w:rPr>
          <w:rFonts w:ascii="Times New Roman" w:hAnsi="Times New Roman" w:cs="Times New Roman"/>
          <w:sz w:val="24"/>
          <w:szCs w:val="24"/>
        </w:rPr>
        <w:t>domestic and international) which are operating cross bo</w:t>
      </w:r>
      <w:r w:rsidRPr="00260B3B">
        <w:rPr>
          <w:rFonts w:ascii="Times New Roman" w:hAnsi="Times New Roman" w:cs="Times New Roman"/>
          <w:sz w:val="24"/>
          <w:szCs w:val="24"/>
        </w:rPr>
        <w:t>rder and are listed on foreign exchange.</w:t>
      </w:r>
    </w:p>
    <w:p w14:paraId="787EA46C" w14:textId="76B8C6C5"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Global investors expect that the companies adhere to globally recogn</w:t>
      </w:r>
      <w:r w:rsidR="00711243" w:rsidRPr="00260B3B">
        <w:rPr>
          <w:rFonts w:ascii="Times New Roman" w:hAnsi="Times New Roman" w:cs="Times New Roman"/>
          <w:sz w:val="24"/>
          <w:szCs w:val="24"/>
        </w:rPr>
        <w:t>iz</w:t>
      </w:r>
      <w:r w:rsidRPr="00260B3B">
        <w:rPr>
          <w:rFonts w:ascii="Times New Roman" w:hAnsi="Times New Roman" w:cs="Times New Roman"/>
          <w:sz w:val="24"/>
          <w:szCs w:val="24"/>
        </w:rPr>
        <w:t>ed frameworks like the UN global compact and the OCED principles of corporate governance. Because of this Indian boards are more receptive to board diversity, global norms, particularly concerning transparency, ESG disclosure, and shareholder rights.</w:t>
      </w:r>
      <w:r w:rsidR="007F5AF9" w:rsidRPr="00260B3B">
        <w:rPr>
          <w:rFonts w:ascii="Times New Roman" w:eastAsia="Times New Roman" w:hAnsi="Times New Roman" w:cs="Times New Roman"/>
          <w:sz w:val="24"/>
          <w:szCs w:val="24"/>
        </w:rPr>
        <w:t xml:space="preserve"> </w:t>
      </w:r>
      <w:r w:rsidRPr="00260B3B">
        <w:rPr>
          <w:rFonts w:ascii="Times New Roman" w:hAnsi="Times New Roman" w:cs="Times New Roman"/>
          <w:sz w:val="24"/>
          <w:szCs w:val="24"/>
        </w:rPr>
        <w:t>Indian regulators have contribute</w:t>
      </w:r>
      <w:r w:rsidR="00711243" w:rsidRPr="00260B3B">
        <w:rPr>
          <w:rFonts w:ascii="Times New Roman" w:hAnsi="Times New Roman" w:cs="Times New Roman"/>
          <w:sz w:val="24"/>
          <w:szCs w:val="24"/>
        </w:rPr>
        <w:t xml:space="preserve">d </w:t>
      </w:r>
      <w:r w:rsidRPr="00260B3B">
        <w:rPr>
          <w:rFonts w:ascii="Times New Roman" w:hAnsi="Times New Roman" w:cs="Times New Roman"/>
          <w:sz w:val="24"/>
          <w:szCs w:val="24"/>
        </w:rPr>
        <w:t>to the harmoni</w:t>
      </w:r>
      <w:r w:rsidR="00711243" w:rsidRPr="00260B3B">
        <w:rPr>
          <w:rFonts w:ascii="Times New Roman" w:hAnsi="Times New Roman" w:cs="Times New Roman"/>
          <w:sz w:val="24"/>
          <w:szCs w:val="24"/>
        </w:rPr>
        <w:t>za</w:t>
      </w:r>
      <w:r w:rsidRPr="00260B3B">
        <w:rPr>
          <w:rFonts w:ascii="Times New Roman" w:hAnsi="Times New Roman" w:cs="Times New Roman"/>
          <w:sz w:val="24"/>
          <w:szCs w:val="24"/>
        </w:rPr>
        <w:t>tion of standards and learning from international experience especially post 2008 financial crises</w:t>
      </w:r>
      <w:r w:rsidRPr="00260B3B">
        <w:rPr>
          <w:rFonts w:ascii="Times New Roman" w:hAnsi="Times New Roman" w:cs="Times New Roman"/>
          <w:sz w:val="24"/>
          <w:szCs w:val="24"/>
        </w:rPr>
        <w:t>. And they also participated in global regulatory forums, like international organi</w:t>
      </w:r>
      <w:r w:rsidR="00711243" w:rsidRPr="00260B3B">
        <w:rPr>
          <w:rFonts w:ascii="Times New Roman" w:hAnsi="Times New Roman" w:cs="Times New Roman"/>
          <w:sz w:val="24"/>
          <w:szCs w:val="24"/>
        </w:rPr>
        <w:t>z</w:t>
      </w:r>
      <w:r w:rsidRPr="00260B3B">
        <w:rPr>
          <w:rFonts w:ascii="Times New Roman" w:hAnsi="Times New Roman" w:cs="Times New Roman"/>
          <w:sz w:val="24"/>
          <w:szCs w:val="24"/>
        </w:rPr>
        <w:t>ation of securities commission (</w:t>
      </w:r>
      <w:r w:rsidR="00711243" w:rsidRPr="00260B3B">
        <w:rPr>
          <w:rFonts w:ascii="Times New Roman" w:hAnsi="Times New Roman" w:cs="Times New Roman"/>
          <w:sz w:val="24"/>
          <w:szCs w:val="24"/>
        </w:rPr>
        <w:t>I</w:t>
      </w:r>
      <w:r w:rsidRPr="00260B3B">
        <w:rPr>
          <w:rFonts w:ascii="Times New Roman" w:hAnsi="Times New Roman" w:cs="Times New Roman"/>
          <w:sz w:val="24"/>
          <w:szCs w:val="24"/>
        </w:rPr>
        <w:t>OSCO).</w:t>
      </w:r>
    </w:p>
    <w:p w14:paraId="787EA46D"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46E"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Digital governance and cybersecurity</w:t>
      </w:r>
    </w:p>
    <w:p w14:paraId="787EA472" w14:textId="3E8AE590"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Technology is revolutioni</w:t>
      </w:r>
      <w:r w:rsidR="006F4F24" w:rsidRPr="00260B3B">
        <w:rPr>
          <w:rFonts w:ascii="Times New Roman" w:hAnsi="Times New Roman" w:cs="Times New Roman"/>
          <w:sz w:val="24"/>
          <w:szCs w:val="24"/>
        </w:rPr>
        <w:t>z</w:t>
      </w:r>
      <w:r w:rsidRPr="00260B3B">
        <w:rPr>
          <w:rFonts w:ascii="Times New Roman" w:hAnsi="Times New Roman" w:cs="Times New Roman"/>
          <w:sz w:val="24"/>
          <w:szCs w:val="24"/>
        </w:rPr>
        <w:t>ing how companies govern themselves. The rise of digital board meetings, e-disclosures, online meeting, and integrated compliance platforms have increased efficiency and accountability.</w:t>
      </w:r>
      <w:r w:rsidR="007F5AF9" w:rsidRPr="00260B3B">
        <w:rPr>
          <w:rFonts w:ascii="Times New Roman" w:eastAsia="Times New Roman" w:hAnsi="Times New Roman" w:cs="Times New Roman"/>
          <w:sz w:val="24"/>
          <w:szCs w:val="24"/>
        </w:rPr>
        <w:t xml:space="preserve"> </w:t>
      </w:r>
      <w:r w:rsidRPr="00260B3B">
        <w:rPr>
          <w:rFonts w:ascii="Times New Roman" w:hAnsi="Times New Roman" w:cs="Times New Roman"/>
          <w:sz w:val="24"/>
          <w:szCs w:val="24"/>
        </w:rPr>
        <w:t>However, there has been new governance responsibilities due to growing threat of cybersecurity risks. Now cyber risk management, data protection, and digital compliance mechanism are expected to be overseen by boards. Disclosure of cyber incidents by companies have been urged by SEBI, while MCA is exploring legal mandated around digital security governance.</w:t>
      </w:r>
    </w:p>
    <w:p w14:paraId="787EA475" w14:textId="555977F6"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The compan</w:t>
      </w:r>
      <w:r w:rsidR="003C7E46" w:rsidRPr="00260B3B">
        <w:rPr>
          <w:rFonts w:ascii="Times New Roman" w:hAnsi="Times New Roman" w:cs="Times New Roman"/>
          <w:sz w:val="24"/>
          <w:szCs w:val="24"/>
        </w:rPr>
        <w:t>y’</w:t>
      </w:r>
      <w:r w:rsidRPr="00260B3B">
        <w:rPr>
          <w:rFonts w:ascii="Times New Roman" w:hAnsi="Times New Roman" w:cs="Times New Roman"/>
          <w:sz w:val="24"/>
          <w:szCs w:val="24"/>
        </w:rPr>
        <w:t>s ability to combine technology adoption with ethical over is very important in the future of corporate governance in India.</w:t>
      </w:r>
    </w:p>
    <w:p w14:paraId="787EA476" w14:textId="7D443343"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Role of startup</w:t>
      </w:r>
      <w:r w:rsidRPr="00260B3B">
        <w:rPr>
          <w:rFonts w:ascii="Times New Roman" w:hAnsi="Times New Roman" w:cs="Times New Roman"/>
          <w:b/>
          <w:bCs/>
          <w:sz w:val="24"/>
          <w:szCs w:val="24"/>
        </w:rPr>
        <w:t>s and governance innovation</w:t>
      </w:r>
    </w:p>
    <w:p w14:paraId="03475D01" w14:textId="560477C1" w:rsidR="007F5AF9"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Booming startup ecosystem in India is also impacting the governance landscape. Even though </w:t>
      </w:r>
      <w:proofErr w:type="gramStart"/>
      <w:r w:rsidRPr="00260B3B">
        <w:rPr>
          <w:rFonts w:ascii="Times New Roman" w:hAnsi="Times New Roman" w:cs="Times New Roman"/>
          <w:sz w:val="24"/>
          <w:szCs w:val="24"/>
        </w:rPr>
        <w:t>early stage</w:t>
      </w:r>
      <w:proofErr w:type="gramEnd"/>
      <w:r w:rsidRPr="00260B3B">
        <w:rPr>
          <w:rFonts w:ascii="Times New Roman" w:hAnsi="Times New Roman" w:cs="Times New Roman"/>
          <w:sz w:val="24"/>
          <w:szCs w:val="24"/>
        </w:rPr>
        <w:t xml:space="preserve"> start</w:t>
      </w:r>
      <w:r w:rsidR="006F4F24" w:rsidRPr="00260B3B">
        <w:rPr>
          <w:rFonts w:ascii="Times New Roman" w:hAnsi="Times New Roman" w:cs="Times New Roman"/>
          <w:sz w:val="24"/>
          <w:szCs w:val="24"/>
          <w:lang w:val="en-IN"/>
        </w:rPr>
        <w:t>up</w:t>
      </w:r>
      <w:r w:rsidRPr="00260B3B">
        <w:rPr>
          <w:rFonts w:ascii="Times New Roman" w:hAnsi="Times New Roman" w:cs="Times New Roman"/>
          <w:sz w:val="24"/>
          <w:szCs w:val="24"/>
        </w:rPr>
        <w:t>s may lack elaborate board structure, investors are now demanding proper governance even in seed or series A funding rounds.</w:t>
      </w:r>
    </w:p>
    <w:p w14:paraId="787EA47A"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Key governance innovations include:</w:t>
      </w:r>
    </w:p>
    <w:p w14:paraId="787EA47B" w14:textId="53A391F0"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mentorship for founders on compliance and fiduciary duties.</w:t>
      </w:r>
    </w:p>
    <w:p w14:paraId="787EA47C" w14:textId="2A881FEF"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 </w:t>
      </w:r>
      <w:r w:rsidR="00711243" w:rsidRPr="00260B3B">
        <w:rPr>
          <w:rFonts w:ascii="Times New Roman" w:hAnsi="Times New Roman" w:cs="Times New Roman"/>
          <w:sz w:val="24"/>
          <w:szCs w:val="24"/>
        </w:rPr>
        <w:t>F</w:t>
      </w:r>
      <w:r w:rsidRPr="00260B3B">
        <w:rPr>
          <w:rFonts w:ascii="Times New Roman" w:hAnsi="Times New Roman" w:cs="Times New Roman"/>
          <w:sz w:val="24"/>
          <w:szCs w:val="24"/>
        </w:rPr>
        <w:t>ormation of advisory boards</w:t>
      </w:r>
    </w:p>
    <w:p w14:paraId="787EA47D" w14:textId="5C925933"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 </w:t>
      </w:r>
      <w:r w:rsidR="00711243" w:rsidRPr="00260B3B">
        <w:rPr>
          <w:rFonts w:ascii="Times New Roman" w:hAnsi="Times New Roman" w:cs="Times New Roman"/>
          <w:sz w:val="24"/>
          <w:szCs w:val="24"/>
        </w:rPr>
        <w:t>R</w:t>
      </w:r>
      <w:r w:rsidRPr="00260B3B">
        <w:rPr>
          <w:rFonts w:ascii="Times New Roman" w:hAnsi="Times New Roman" w:cs="Times New Roman"/>
          <w:sz w:val="24"/>
          <w:szCs w:val="24"/>
        </w:rPr>
        <w:t>egular reporting and third</w:t>
      </w:r>
      <w:r w:rsidR="00711243" w:rsidRPr="00260B3B">
        <w:rPr>
          <w:rFonts w:ascii="Times New Roman" w:hAnsi="Times New Roman" w:cs="Times New Roman"/>
          <w:sz w:val="24"/>
          <w:szCs w:val="24"/>
        </w:rPr>
        <w:t>-</w:t>
      </w:r>
      <w:r w:rsidRPr="00260B3B">
        <w:rPr>
          <w:rFonts w:ascii="Times New Roman" w:hAnsi="Times New Roman" w:cs="Times New Roman"/>
          <w:sz w:val="24"/>
          <w:szCs w:val="24"/>
        </w:rPr>
        <w:t>party audits.</w:t>
      </w:r>
    </w:p>
    <w:p w14:paraId="787EA47F" w14:textId="02082434"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 </w:t>
      </w:r>
      <w:r w:rsidR="00711243" w:rsidRPr="00260B3B">
        <w:rPr>
          <w:rFonts w:ascii="Times New Roman" w:hAnsi="Times New Roman" w:cs="Times New Roman"/>
          <w:sz w:val="24"/>
          <w:szCs w:val="24"/>
        </w:rPr>
        <w:t>I</w:t>
      </w:r>
      <w:r w:rsidRPr="00260B3B">
        <w:rPr>
          <w:rFonts w:ascii="Times New Roman" w:hAnsi="Times New Roman" w:cs="Times New Roman"/>
          <w:sz w:val="24"/>
          <w:szCs w:val="24"/>
        </w:rPr>
        <w:t>mplementation of employee stock option plan policies with governance safeguards.</w:t>
      </w:r>
    </w:p>
    <w:p w14:paraId="2C6C642F" w14:textId="4F0E77B5" w:rsidR="002425D1"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Governance practices are under close scrutiny as unicorns go public, setting precedents for other startup</w:t>
      </w:r>
      <w:r w:rsidRPr="00260B3B">
        <w:rPr>
          <w:rFonts w:ascii="Times New Roman" w:hAnsi="Times New Roman" w:cs="Times New Roman"/>
          <w:sz w:val="24"/>
          <w:szCs w:val="24"/>
        </w:rPr>
        <w:t>s to follow.</w:t>
      </w:r>
    </w:p>
    <w:p w14:paraId="747BC9DC" w14:textId="77777777" w:rsidR="00260B3B" w:rsidRPr="00260B3B" w:rsidRDefault="00260B3B" w:rsidP="00260B3B">
      <w:pPr>
        <w:pStyle w:val="Body"/>
        <w:spacing w:line="360" w:lineRule="auto"/>
        <w:jc w:val="both"/>
        <w:rPr>
          <w:rFonts w:ascii="Times New Roman" w:eastAsia="Times New Roman" w:hAnsi="Times New Roman" w:cs="Times New Roman"/>
          <w:sz w:val="24"/>
          <w:szCs w:val="24"/>
        </w:rPr>
      </w:pPr>
    </w:p>
    <w:p w14:paraId="7942561A" w14:textId="77777777" w:rsidR="00260B3B" w:rsidRDefault="00260B3B" w:rsidP="00260B3B">
      <w:pPr>
        <w:pStyle w:val="Body"/>
        <w:spacing w:line="360" w:lineRule="auto"/>
        <w:jc w:val="both"/>
        <w:rPr>
          <w:rFonts w:ascii="Times New Roman" w:hAnsi="Times New Roman" w:cs="Times New Roman"/>
          <w:b/>
          <w:bCs/>
          <w:sz w:val="24"/>
          <w:szCs w:val="24"/>
        </w:rPr>
      </w:pPr>
    </w:p>
    <w:p w14:paraId="4C8995A7" w14:textId="77777777" w:rsidR="00260B3B" w:rsidRDefault="00260B3B" w:rsidP="00260B3B">
      <w:pPr>
        <w:pStyle w:val="Body"/>
        <w:spacing w:line="360" w:lineRule="auto"/>
        <w:jc w:val="both"/>
        <w:rPr>
          <w:rFonts w:ascii="Times New Roman" w:hAnsi="Times New Roman" w:cs="Times New Roman"/>
          <w:b/>
          <w:bCs/>
          <w:sz w:val="24"/>
          <w:szCs w:val="24"/>
        </w:rPr>
      </w:pPr>
    </w:p>
    <w:p w14:paraId="787EA482" w14:textId="00EE2EE4"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b/>
          <w:bCs/>
          <w:sz w:val="24"/>
          <w:szCs w:val="24"/>
        </w:rPr>
        <w:t>The Road ahead</w:t>
      </w:r>
      <w:r w:rsidR="007F5AF9" w:rsidRPr="00260B3B">
        <w:rPr>
          <w:rFonts w:ascii="Times New Roman" w:hAnsi="Times New Roman" w:cs="Times New Roman"/>
          <w:b/>
          <w:bCs/>
          <w:sz w:val="24"/>
          <w:szCs w:val="24"/>
        </w:rPr>
        <w:t>:</w:t>
      </w:r>
    </w:p>
    <w:p w14:paraId="787EA484" w14:textId="2EFC1208"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The following steps are recommended to strengthen corporate governance in India:</w:t>
      </w:r>
    </w:p>
    <w:p w14:paraId="787EA485"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Improving regulatory enforcement</w:t>
      </w:r>
    </w:p>
    <w:p w14:paraId="787EA486"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 xml:space="preserve">Fraud cases and complaints should be more swiftly adjudicated through </w:t>
      </w:r>
      <w:proofErr w:type="gramStart"/>
      <w:r w:rsidRPr="00260B3B">
        <w:rPr>
          <w:rFonts w:ascii="Times New Roman" w:hAnsi="Times New Roman" w:cs="Times New Roman"/>
          <w:sz w:val="24"/>
          <w:szCs w:val="24"/>
        </w:rPr>
        <w:t>fast</w:t>
      </w:r>
      <w:r w:rsidRPr="00260B3B">
        <w:rPr>
          <w:rFonts w:ascii="Times New Roman" w:hAnsi="Times New Roman" w:cs="Times New Roman"/>
          <w:sz w:val="24"/>
          <w:szCs w:val="24"/>
        </w:rPr>
        <w:t xml:space="preserve"> </w:t>
      </w:r>
      <w:r w:rsidRPr="00260B3B">
        <w:rPr>
          <w:rFonts w:ascii="Times New Roman" w:hAnsi="Times New Roman" w:cs="Times New Roman"/>
          <w:sz w:val="24"/>
          <w:szCs w:val="24"/>
        </w:rPr>
        <w:t>track</w:t>
      </w:r>
      <w:proofErr w:type="gramEnd"/>
      <w:r w:rsidRPr="00260B3B">
        <w:rPr>
          <w:rFonts w:ascii="Times New Roman" w:hAnsi="Times New Roman" w:cs="Times New Roman"/>
          <w:sz w:val="24"/>
          <w:szCs w:val="24"/>
        </w:rPr>
        <w:t xml:space="preserve"> regulatory processes.</w:t>
      </w:r>
    </w:p>
    <w:p w14:paraId="787EA487" w14:textId="370F4715"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 xml:space="preserve">Early detection of governance failures can be aided by introduction of regulatory sandboxes, real time monitoring </w:t>
      </w:r>
      <w:r w:rsidRPr="00260B3B">
        <w:rPr>
          <w:rFonts w:ascii="Times New Roman" w:hAnsi="Times New Roman" w:cs="Times New Roman"/>
          <w:sz w:val="24"/>
          <w:szCs w:val="24"/>
        </w:rPr>
        <w:t>systems, and enhanced AI powered surveillance.</w:t>
      </w:r>
    </w:p>
    <w:p w14:paraId="787EA489" w14:textId="16C6FD96"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High penalties for violations will act as strong deterrent to corporate misconduct.</w:t>
      </w:r>
    </w:p>
    <w:p w14:paraId="787EA48A"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Enhancing minority shareholders rights</w:t>
      </w:r>
    </w:p>
    <w:p w14:paraId="787EA48B"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Strengthening investor grievance portal and improving redressal mechanism is essential.</w:t>
      </w:r>
    </w:p>
    <w:p w14:paraId="787EA48C"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Steps should be taken to ensure better participation of minority shareholders in AGMs and board decisions through digital platforms and e-voting systems.</w:t>
      </w:r>
    </w:p>
    <w:p w14:paraId="787EA48E" w14:textId="0F2F1AC1"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Investor confidence can be promoted through related party transaction and increased transparency in board decisions.</w:t>
      </w:r>
    </w:p>
    <w:p w14:paraId="787EA48F" w14:textId="77777777"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Strengthening independent oversight</w:t>
      </w:r>
    </w:p>
    <w:p w14:paraId="787EA490"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Independent directors should be empowered with real authority, including access to whistleblower reports, confidential financials, and direct reporting lines to regulators when needed.</w:t>
      </w:r>
    </w:p>
    <w:p w14:paraId="787EA491" w14:textId="17885BE1"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Regular training and performance evaluation should be institutionali</w:t>
      </w:r>
      <w:r w:rsidR="007F5AF9" w:rsidRPr="00260B3B">
        <w:rPr>
          <w:rFonts w:ascii="Times New Roman" w:hAnsi="Times New Roman" w:cs="Times New Roman"/>
          <w:sz w:val="24"/>
          <w:szCs w:val="24"/>
        </w:rPr>
        <w:t>z</w:t>
      </w:r>
      <w:r w:rsidRPr="00260B3B">
        <w:rPr>
          <w:rFonts w:ascii="Times New Roman" w:hAnsi="Times New Roman" w:cs="Times New Roman"/>
          <w:sz w:val="24"/>
          <w:szCs w:val="24"/>
        </w:rPr>
        <w:t>ed for board members.</w:t>
      </w:r>
    </w:p>
    <w:p w14:paraId="7176B109" w14:textId="0F6CB34F" w:rsidR="002425D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To match evolving risk landscape boards should include experts in digital transformation, cybersecurity, and ESG.</w:t>
      </w:r>
    </w:p>
    <w:p w14:paraId="787EA494" w14:textId="7A3229B3"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Encouraging ethical leadership</w:t>
      </w:r>
    </w:p>
    <w:p w14:paraId="787EA495"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 xml:space="preserve">Periodic ethics training and anti-corruption workshops for employees and senior executives can reinforce ethical </w:t>
      </w:r>
      <w:proofErr w:type="spellStart"/>
      <w:r w:rsidRPr="00260B3B">
        <w:rPr>
          <w:rFonts w:ascii="Times New Roman" w:hAnsi="Times New Roman" w:cs="Times New Roman"/>
          <w:sz w:val="24"/>
          <w:szCs w:val="24"/>
        </w:rPr>
        <w:t>behaviou</w:t>
      </w:r>
      <w:r w:rsidRPr="00260B3B">
        <w:rPr>
          <w:rFonts w:ascii="Times New Roman" w:hAnsi="Times New Roman" w:cs="Times New Roman"/>
          <w:sz w:val="24"/>
          <w:szCs w:val="24"/>
        </w:rPr>
        <w:t>r</w:t>
      </w:r>
      <w:proofErr w:type="spellEnd"/>
      <w:r w:rsidRPr="00260B3B">
        <w:rPr>
          <w:rFonts w:ascii="Times New Roman" w:hAnsi="Times New Roman" w:cs="Times New Roman"/>
          <w:sz w:val="24"/>
          <w:szCs w:val="24"/>
        </w:rPr>
        <w:t>.</w:t>
      </w:r>
    </w:p>
    <w:p w14:paraId="787EA496"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 xml:space="preserve">Integrity and ethical </w:t>
      </w:r>
      <w:proofErr w:type="spellStart"/>
      <w:r w:rsidRPr="00260B3B">
        <w:rPr>
          <w:rFonts w:ascii="Times New Roman" w:hAnsi="Times New Roman" w:cs="Times New Roman"/>
          <w:sz w:val="24"/>
          <w:szCs w:val="24"/>
        </w:rPr>
        <w:t>behaviour</w:t>
      </w:r>
      <w:proofErr w:type="spellEnd"/>
      <w:r w:rsidRPr="00260B3B">
        <w:rPr>
          <w:rFonts w:ascii="Times New Roman" w:hAnsi="Times New Roman" w:cs="Times New Roman"/>
          <w:sz w:val="24"/>
          <w:szCs w:val="24"/>
        </w:rPr>
        <w:t xml:space="preserve"> should be promoted at the top through codes of conduct, tone-from-the-top policies, and independent audits.</w:t>
      </w:r>
    </w:p>
    <w:p w14:paraId="787EA497"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A transparent corporate culture should be fostered where accountability flows top-down.</w:t>
      </w:r>
    </w:p>
    <w:p w14:paraId="787EA499" w14:textId="6026B051" w:rsidR="001A32F1" w:rsidRPr="00260B3B" w:rsidRDefault="00D12DEC" w:rsidP="00260B3B">
      <w:pPr>
        <w:pStyle w:val="Body"/>
        <w:spacing w:line="360" w:lineRule="auto"/>
        <w:jc w:val="both"/>
        <w:rPr>
          <w:rFonts w:ascii="Times New Roman" w:eastAsia="Times New Roman" w:hAnsi="Times New Roman" w:cs="Times New Roman"/>
          <w:b/>
          <w:bCs/>
          <w:sz w:val="24"/>
          <w:szCs w:val="24"/>
        </w:rPr>
      </w:pPr>
      <w:r w:rsidRPr="00260B3B">
        <w:rPr>
          <w:rFonts w:ascii="Times New Roman" w:hAnsi="Times New Roman" w:cs="Times New Roman"/>
          <w:b/>
          <w:bCs/>
          <w:sz w:val="24"/>
          <w:szCs w:val="24"/>
        </w:rPr>
        <w:t>Integrated ESG strategy</w:t>
      </w:r>
    </w:p>
    <w:p w14:paraId="787EA49A"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Companies should start adopting Science-Based Targets (SBTs), sustainable supply chain disclosures, and zero-carbon roadmaps to attract global capital and meet stakeholder expectations.</w:t>
      </w:r>
    </w:p>
    <w:p w14:paraId="787EA49B"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For long-term resilience, transparency in sustainable practices is crucial.</w:t>
      </w:r>
    </w:p>
    <w:p w14:paraId="787EA49C" w14:textId="77777777" w:rsidR="001A32F1" w:rsidRPr="00260B3B" w:rsidRDefault="00D12DEC" w:rsidP="00260B3B">
      <w:pPr>
        <w:pStyle w:val="Body"/>
        <w:numPr>
          <w:ilvl w:val="0"/>
          <w:numId w:val="8"/>
        </w:numPr>
        <w:spacing w:line="360" w:lineRule="auto"/>
        <w:jc w:val="both"/>
        <w:rPr>
          <w:rFonts w:ascii="Times New Roman" w:hAnsi="Times New Roman" w:cs="Times New Roman"/>
          <w:sz w:val="24"/>
          <w:szCs w:val="24"/>
        </w:rPr>
      </w:pPr>
      <w:r w:rsidRPr="00260B3B">
        <w:rPr>
          <w:rFonts w:ascii="Times New Roman" w:hAnsi="Times New Roman" w:cs="Times New Roman"/>
          <w:sz w:val="24"/>
          <w:szCs w:val="24"/>
        </w:rPr>
        <w:t>ESG should be integrated by boards into corporate strategy.</w:t>
      </w:r>
    </w:p>
    <w:p w14:paraId="787EA49D" w14:textId="77777777" w:rsidR="001A32F1" w:rsidRPr="00260B3B" w:rsidRDefault="001A32F1" w:rsidP="00260B3B">
      <w:pPr>
        <w:pStyle w:val="Body"/>
        <w:spacing w:line="360" w:lineRule="auto"/>
        <w:jc w:val="both"/>
        <w:rPr>
          <w:rFonts w:ascii="Times New Roman" w:eastAsia="Times New Roman" w:hAnsi="Times New Roman" w:cs="Times New Roman"/>
          <w:sz w:val="24"/>
          <w:szCs w:val="24"/>
        </w:rPr>
      </w:pPr>
    </w:p>
    <w:p w14:paraId="787EA49F" w14:textId="7D3046E2"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In India corporate governance has come a long way from an era of promoter driven, opaque business to a more regulated and transparent framework. Companies act, 2013, SEBI regulations and institutional committee reports are significant reforms which laid strong foundation. </w:t>
      </w:r>
    </w:p>
    <w:p w14:paraId="787EA4A1" w14:textId="553DF2F5"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 xml:space="preserve">However, governance must evolve continuously with changing stake holder expectations, business dynamics, and global trends as it is not a static concept. Emerging </w:t>
      </w:r>
      <w:proofErr w:type="spellStart"/>
      <w:r w:rsidRPr="00260B3B">
        <w:rPr>
          <w:rFonts w:ascii="Times New Roman" w:hAnsi="Times New Roman" w:cs="Times New Roman"/>
          <w:sz w:val="24"/>
          <w:szCs w:val="24"/>
        </w:rPr>
        <w:t>ares</w:t>
      </w:r>
      <w:proofErr w:type="spellEnd"/>
      <w:r w:rsidRPr="00260B3B">
        <w:rPr>
          <w:rFonts w:ascii="Times New Roman" w:hAnsi="Times New Roman" w:cs="Times New Roman"/>
          <w:sz w:val="24"/>
          <w:szCs w:val="24"/>
        </w:rPr>
        <w:t xml:space="preserve"> such as green finance, digital inclusivity, artificial intelligence governance, and data ethics will also be required to be integrated into future governance framework.</w:t>
      </w:r>
    </w:p>
    <w:p w14:paraId="787EA4A2" w14:textId="2206179A" w:rsidR="001A32F1" w:rsidRPr="00260B3B" w:rsidRDefault="00D12DEC" w:rsidP="00260B3B">
      <w:pPr>
        <w:pStyle w:val="Body"/>
        <w:spacing w:line="360" w:lineRule="auto"/>
        <w:jc w:val="both"/>
        <w:rPr>
          <w:rFonts w:ascii="Times New Roman" w:eastAsia="Times New Roman" w:hAnsi="Times New Roman" w:cs="Times New Roman"/>
          <w:sz w:val="24"/>
          <w:szCs w:val="24"/>
        </w:rPr>
      </w:pPr>
      <w:r w:rsidRPr="00260B3B">
        <w:rPr>
          <w:rFonts w:ascii="Times New Roman" w:hAnsi="Times New Roman" w:cs="Times New Roman"/>
          <w:sz w:val="24"/>
          <w:szCs w:val="24"/>
        </w:rPr>
        <w:t>The future of corporate governance in India depends on</w:t>
      </w:r>
      <w:r w:rsidRPr="00260B3B">
        <w:rPr>
          <w:rFonts w:ascii="Times New Roman" w:hAnsi="Times New Roman" w:cs="Times New Roman"/>
          <w:sz w:val="24"/>
          <w:szCs w:val="24"/>
        </w:rPr>
        <w:t xml:space="preserve"> the active participation of shareholders, commitment of boards, and the vigilance of regulators. Sound corporate governance will be indispensable to fostering trust, ensuring sustainable growth, and </w:t>
      </w:r>
      <w:r w:rsidRPr="00260B3B">
        <w:rPr>
          <w:rFonts w:ascii="Times New Roman" w:hAnsi="Times New Roman" w:cs="Times New Roman"/>
          <w:sz w:val="24"/>
          <w:szCs w:val="24"/>
        </w:rPr>
        <w:t>attracting investment as India aspires to become a $5 trillion economy.</w:t>
      </w:r>
    </w:p>
    <w:p w14:paraId="787EA4A3" w14:textId="77777777" w:rsidR="001A32F1" w:rsidRPr="00260B3B" w:rsidRDefault="001A32F1" w:rsidP="00260B3B">
      <w:pPr>
        <w:pStyle w:val="Body"/>
        <w:spacing w:line="360" w:lineRule="auto"/>
        <w:jc w:val="both"/>
        <w:rPr>
          <w:rFonts w:ascii="Times New Roman" w:hAnsi="Times New Roman" w:cs="Times New Roman"/>
          <w:sz w:val="24"/>
          <w:szCs w:val="24"/>
        </w:rPr>
      </w:pPr>
    </w:p>
    <w:p w14:paraId="787EA4A4" w14:textId="77777777" w:rsidR="001A32F1" w:rsidRPr="00260B3B" w:rsidRDefault="001A32F1" w:rsidP="00260B3B">
      <w:pPr>
        <w:pStyle w:val="Body"/>
        <w:spacing w:line="360" w:lineRule="auto"/>
        <w:jc w:val="both"/>
        <w:rPr>
          <w:rFonts w:ascii="Times New Roman" w:hAnsi="Times New Roman" w:cs="Times New Roman"/>
          <w:sz w:val="24"/>
          <w:szCs w:val="24"/>
        </w:rPr>
      </w:pPr>
    </w:p>
    <w:p w14:paraId="787EA4A5" w14:textId="77777777" w:rsidR="001A32F1" w:rsidRPr="00260B3B" w:rsidRDefault="001A32F1" w:rsidP="00260B3B">
      <w:pPr>
        <w:pStyle w:val="Body"/>
        <w:spacing w:line="360" w:lineRule="auto"/>
        <w:jc w:val="both"/>
        <w:rPr>
          <w:rFonts w:ascii="Times New Roman" w:hAnsi="Times New Roman" w:cs="Times New Roman"/>
          <w:sz w:val="24"/>
          <w:szCs w:val="24"/>
        </w:rPr>
      </w:pPr>
    </w:p>
    <w:sectPr w:rsidR="001A32F1" w:rsidRPr="00260B3B" w:rsidSect="005E525A">
      <w:headerReference w:type="default" r:id="rId7"/>
      <w:footerReference w:type="default" r:id="rId8"/>
      <w:pgSz w:w="11906" w:h="16838"/>
      <w:pgMar w:top="1440" w:right="1080" w:bottom="1440" w:left="1080" w:header="709" w:footer="850" w:gutter="0"/>
      <w:pgBorders w:offsetFrom="page">
        <w:top w:val="single" w:sz="4" w:space="24" w:color="auto"/>
        <w:left w:val="single" w:sz="4" w:space="24" w:color="auto"/>
        <w:bottom w:val="single" w:sz="4" w:space="24" w:color="auto"/>
        <w:right w:val="single" w:sz="4" w:space="24" w:color="auto"/>
      </w:pgBorder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EA4AE" w14:textId="77777777" w:rsidR="00D12DEC" w:rsidRDefault="00D12DEC">
      <w:r>
        <w:separator/>
      </w:r>
    </w:p>
  </w:endnote>
  <w:endnote w:type="continuationSeparator" w:id="0">
    <w:p w14:paraId="787EA4B0" w14:textId="77777777" w:rsidR="00D12DEC" w:rsidRDefault="00D12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EA4AA" w14:textId="77777777" w:rsidR="001A32F1" w:rsidRDefault="001A32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EA4A6" w14:textId="77777777" w:rsidR="001A32F1" w:rsidRDefault="00D12DEC">
      <w:r>
        <w:separator/>
      </w:r>
    </w:p>
  </w:footnote>
  <w:footnote w:type="continuationSeparator" w:id="0">
    <w:p w14:paraId="787EA4A7" w14:textId="77777777" w:rsidR="001A32F1" w:rsidRDefault="00D12DEC">
      <w:r>
        <w:continuationSeparator/>
      </w:r>
    </w:p>
  </w:footnote>
  <w:footnote w:type="continuationNotice" w:id="1">
    <w:p w14:paraId="787EA4A8" w14:textId="77777777" w:rsidR="001A32F1" w:rsidRDefault="001A32F1"/>
  </w:footnote>
  <w:footnote w:id="2">
    <w:p w14:paraId="787EA4AB" w14:textId="77777777" w:rsidR="001A32F1" w:rsidRPr="00DA5DF4" w:rsidRDefault="00D12DEC">
      <w:pPr>
        <w:pStyle w:val="Footnote"/>
        <w:rPr>
          <w:rFonts w:ascii="Times New Roman" w:hAnsi="Times New Roman" w:cs="Times New Roman"/>
          <w:sz w:val="20"/>
          <w:szCs w:val="20"/>
        </w:rPr>
      </w:pPr>
      <w:r w:rsidRPr="00DA5DF4">
        <w:rPr>
          <w:rFonts w:ascii="Times New Roman" w:hAnsi="Times New Roman" w:cs="Times New Roman"/>
          <w:sz w:val="20"/>
          <w:szCs w:val="20"/>
          <w:vertAlign w:val="superscript"/>
        </w:rPr>
        <w:footnoteRef/>
      </w:r>
      <w:r w:rsidRPr="00DA5DF4">
        <w:rPr>
          <w:rFonts w:ascii="Times New Roman" w:eastAsia="Arial Unicode MS" w:hAnsi="Times New Roman" w:cs="Times New Roman"/>
          <w:sz w:val="20"/>
          <w:szCs w:val="20"/>
          <w:lang w:val="en-US"/>
        </w:rPr>
        <w:t xml:space="preserve"> The Companies Act </w:t>
      </w:r>
      <w:r w:rsidRPr="00DA5DF4">
        <w:rPr>
          <w:rFonts w:ascii="Times New Roman" w:eastAsia="Arial Unicode MS" w:hAnsi="Times New Roman" w:cs="Times New Roman"/>
          <w:sz w:val="20"/>
          <w:szCs w:val="20"/>
        </w:rPr>
        <w:t>1956</w:t>
      </w:r>
      <w:r w:rsidRPr="00DA5DF4">
        <w:rPr>
          <w:rFonts w:ascii="Times New Roman" w:eastAsia="Arial Unicode MS" w:hAnsi="Times New Roman" w:cs="Times New Roman"/>
          <w:sz w:val="20"/>
          <w:szCs w:val="20"/>
          <w:lang w:val="en-US"/>
        </w:rPr>
        <w:t>, Acts of Parliament, 1956(India)</w:t>
      </w:r>
    </w:p>
  </w:footnote>
  <w:footnote w:id="3">
    <w:p w14:paraId="787EA4AC" w14:textId="77777777" w:rsidR="001A32F1" w:rsidRDefault="00D12DEC">
      <w:pPr>
        <w:pStyle w:val="Footnote"/>
      </w:pPr>
      <w:r w:rsidRPr="00DA5DF4">
        <w:rPr>
          <w:rFonts w:ascii="Times New Roman" w:hAnsi="Times New Roman" w:cs="Times New Roman"/>
          <w:sz w:val="20"/>
          <w:szCs w:val="20"/>
          <w:vertAlign w:val="superscript"/>
        </w:rPr>
        <w:footnoteRef/>
      </w:r>
      <w:r w:rsidRPr="00DA5DF4">
        <w:rPr>
          <w:rFonts w:ascii="Times New Roman" w:eastAsia="Arial Unicode MS" w:hAnsi="Times New Roman" w:cs="Times New Roman"/>
          <w:sz w:val="20"/>
          <w:szCs w:val="20"/>
          <w:lang w:val="en-US"/>
        </w:rPr>
        <w:t xml:space="preserve"> </w:t>
      </w:r>
      <w:r w:rsidRPr="00DA5DF4">
        <w:rPr>
          <w:rFonts w:ascii="Times New Roman" w:eastAsia="Arial Unicode MS" w:hAnsi="Times New Roman" w:cs="Times New Roman"/>
          <w:sz w:val="20"/>
          <w:szCs w:val="20"/>
          <w:lang w:val="en-US"/>
        </w:rPr>
        <w:t xml:space="preserve">Securities and Exchange Board of India (SEBI) Act </w:t>
      </w:r>
      <w:r w:rsidRPr="00DA5DF4">
        <w:rPr>
          <w:rFonts w:ascii="Times New Roman" w:eastAsia="Arial Unicode MS" w:hAnsi="Times New Roman" w:cs="Times New Roman"/>
          <w:sz w:val="20"/>
          <w:szCs w:val="20"/>
        </w:rPr>
        <w:t>1992</w:t>
      </w:r>
      <w:r w:rsidRPr="00DA5DF4">
        <w:rPr>
          <w:rFonts w:ascii="Times New Roman" w:eastAsia="Arial Unicode MS" w:hAnsi="Times New Roman" w:cs="Times New Roman"/>
          <w:sz w:val="20"/>
          <w:szCs w:val="20"/>
          <w:lang w:val="en-US"/>
        </w:rPr>
        <w:t>, Acts of Parliament, 1992(India</w:t>
      </w:r>
      <w:r w:rsidRPr="00DA5DF4">
        <w:rPr>
          <w:rFonts w:eastAsia="Arial Unicode MS" w:cs="Arial Unicode MS"/>
          <w:sz w:val="20"/>
          <w:szCs w:val="20"/>
          <w:lang w:val="en-US"/>
        </w:rPr>
        <w:t>)</w:t>
      </w:r>
    </w:p>
  </w:footnote>
  <w:footnote w:id="4">
    <w:p w14:paraId="787EA4AD" w14:textId="77777777" w:rsidR="001A32F1" w:rsidRPr="00711243" w:rsidRDefault="00D12DEC">
      <w:pPr>
        <w:pStyle w:val="Footnote"/>
        <w:rPr>
          <w:rFonts w:ascii="Times New Roman" w:hAnsi="Times New Roman" w:cs="Times New Roman"/>
          <w:sz w:val="20"/>
          <w:szCs w:val="20"/>
        </w:rPr>
      </w:pPr>
      <w:r w:rsidRPr="00711243">
        <w:rPr>
          <w:rFonts w:ascii="Times New Roman" w:hAnsi="Times New Roman" w:cs="Times New Roman"/>
          <w:sz w:val="20"/>
          <w:szCs w:val="20"/>
          <w:vertAlign w:val="superscript"/>
        </w:rPr>
        <w:footnoteRef/>
      </w:r>
      <w:r w:rsidRPr="00711243">
        <w:rPr>
          <w:rFonts w:ascii="Times New Roman" w:eastAsia="Arial Unicode MS" w:hAnsi="Times New Roman" w:cs="Times New Roman"/>
          <w:sz w:val="20"/>
          <w:szCs w:val="20"/>
          <w:lang w:val="en-US"/>
        </w:rPr>
        <w:t xml:space="preserve"> The Companies Act </w:t>
      </w:r>
      <w:r w:rsidRPr="00711243">
        <w:rPr>
          <w:rFonts w:ascii="Times New Roman" w:eastAsia="Arial Unicode MS" w:hAnsi="Times New Roman" w:cs="Times New Roman"/>
          <w:sz w:val="20"/>
          <w:szCs w:val="20"/>
        </w:rPr>
        <w:t>2013</w:t>
      </w:r>
      <w:r w:rsidRPr="00711243">
        <w:rPr>
          <w:rFonts w:ascii="Times New Roman" w:eastAsia="Arial Unicode MS" w:hAnsi="Times New Roman" w:cs="Times New Roman"/>
          <w:sz w:val="20"/>
          <w:szCs w:val="20"/>
          <w:lang w:val="en-US"/>
        </w:rPr>
        <w:t>, Acts of Parliament, 2013(India)</w:t>
      </w:r>
    </w:p>
  </w:footnote>
  <w:footnote w:id="5">
    <w:p w14:paraId="787EA4AE" w14:textId="77777777" w:rsidR="001A32F1" w:rsidRPr="00711243" w:rsidRDefault="00D12DEC">
      <w:pPr>
        <w:pStyle w:val="Footnote"/>
        <w:rPr>
          <w:rFonts w:ascii="Times New Roman" w:hAnsi="Times New Roman" w:cs="Times New Roman"/>
          <w:sz w:val="20"/>
          <w:szCs w:val="20"/>
        </w:rPr>
      </w:pPr>
      <w:r w:rsidRPr="00711243">
        <w:rPr>
          <w:rFonts w:ascii="Times New Roman" w:hAnsi="Times New Roman" w:cs="Times New Roman"/>
          <w:sz w:val="20"/>
          <w:szCs w:val="20"/>
          <w:vertAlign w:val="superscript"/>
        </w:rPr>
        <w:footnoteRef/>
      </w:r>
      <w:r w:rsidRPr="00711243">
        <w:rPr>
          <w:rFonts w:ascii="Times New Roman" w:eastAsia="Arial Unicode MS" w:hAnsi="Times New Roman" w:cs="Times New Roman"/>
          <w:sz w:val="20"/>
          <w:szCs w:val="20"/>
          <w:lang w:val="en-US"/>
        </w:rPr>
        <w:t xml:space="preserve"> The Companies Act 2013</w:t>
      </w:r>
      <w:r w:rsidRPr="00711243">
        <w:rPr>
          <w:rFonts w:ascii="Times New Roman" w:eastAsia="Arial Unicode MS" w:hAnsi="Times New Roman" w:cs="Times New Roman"/>
          <w:sz w:val="20"/>
          <w:szCs w:val="20"/>
        </w:rPr>
        <w:t xml:space="preserve">, </w:t>
      </w:r>
      <w:r w:rsidRPr="00711243">
        <w:rPr>
          <w:rFonts w:ascii="Times New Roman" w:eastAsia="Arial Unicode MS" w:hAnsi="Times New Roman" w:cs="Times New Roman"/>
          <w:sz w:val="20"/>
          <w:szCs w:val="20"/>
        </w:rPr>
        <w:t>§</w:t>
      </w:r>
      <w:r w:rsidRPr="00711243">
        <w:rPr>
          <w:rFonts w:ascii="Times New Roman" w:eastAsia="Arial Unicode MS" w:hAnsi="Times New Roman" w:cs="Times New Roman"/>
          <w:sz w:val="20"/>
          <w:szCs w:val="20"/>
          <w:lang w:val="en-US"/>
        </w:rPr>
        <w:t>149, Acts of Parliament, 2013</w:t>
      </w:r>
      <w:r w:rsidRPr="00711243">
        <w:rPr>
          <w:rFonts w:ascii="Times New Roman" w:eastAsia="Arial Unicode MS" w:hAnsi="Times New Roman" w:cs="Times New Roman"/>
          <w:sz w:val="20"/>
          <w:szCs w:val="20"/>
          <w:lang w:val="it-IT"/>
        </w:rPr>
        <w:t>(India).</w:t>
      </w:r>
    </w:p>
  </w:footnote>
  <w:footnote w:id="6">
    <w:p w14:paraId="787EA4AF" w14:textId="77777777" w:rsidR="001A32F1" w:rsidRPr="00711243" w:rsidRDefault="00D12DEC">
      <w:pPr>
        <w:pStyle w:val="Footnote"/>
        <w:rPr>
          <w:rFonts w:ascii="Times New Roman" w:hAnsi="Times New Roman" w:cs="Times New Roman"/>
          <w:sz w:val="20"/>
          <w:szCs w:val="20"/>
        </w:rPr>
      </w:pPr>
      <w:r w:rsidRPr="00711243">
        <w:rPr>
          <w:rFonts w:ascii="Times New Roman" w:hAnsi="Times New Roman" w:cs="Times New Roman"/>
          <w:sz w:val="20"/>
          <w:szCs w:val="20"/>
          <w:vertAlign w:val="superscript"/>
        </w:rPr>
        <w:footnoteRef/>
      </w:r>
      <w:r w:rsidRPr="00711243">
        <w:rPr>
          <w:rFonts w:ascii="Times New Roman" w:eastAsia="Arial Unicode MS" w:hAnsi="Times New Roman" w:cs="Times New Roman"/>
          <w:sz w:val="20"/>
          <w:szCs w:val="20"/>
          <w:lang w:val="en-US"/>
        </w:rPr>
        <w:t xml:space="preserve"> The Companies Act 2013</w:t>
      </w:r>
      <w:r w:rsidRPr="00711243">
        <w:rPr>
          <w:rFonts w:ascii="Times New Roman" w:eastAsia="Arial Unicode MS" w:hAnsi="Times New Roman" w:cs="Times New Roman"/>
          <w:sz w:val="20"/>
          <w:szCs w:val="20"/>
        </w:rPr>
        <w:t xml:space="preserve">, </w:t>
      </w:r>
      <w:r w:rsidRPr="00711243">
        <w:rPr>
          <w:rFonts w:ascii="Times New Roman" w:eastAsia="Arial Unicode MS" w:hAnsi="Times New Roman" w:cs="Times New Roman"/>
          <w:sz w:val="20"/>
          <w:szCs w:val="20"/>
        </w:rPr>
        <w:t>§</w:t>
      </w:r>
      <w:r w:rsidRPr="00711243">
        <w:rPr>
          <w:rFonts w:ascii="Times New Roman" w:eastAsia="Arial Unicode MS" w:hAnsi="Times New Roman" w:cs="Times New Roman"/>
          <w:sz w:val="20"/>
          <w:szCs w:val="20"/>
          <w:lang w:val="en-US"/>
        </w:rPr>
        <w:t>177</w:t>
      </w:r>
      <w:r w:rsidRPr="00711243">
        <w:rPr>
          <w:rFonts w:ascii="Times New Roman" w:eastAsia="Arial Unicode MS" w:hAnsi="Times New Roman" w:cs="Times New Roman"/>
          <w:sz w:val="20"/>
          <w:szCs w:val="20"/>
          <w:lang w:val="en-US"/>
        </w:rPr>
        <w:t>, Acts of Parliament, 2013</w:t>
      </w:r>
      <w:r w:rsidRPr="00711243">
        <w:rPr>
          <w:rFonts w:ascii="Times New Roman" w:eastAsia="Arial Unicode MS" w:hAnsi="Times New Roman" w:cs="Times New Roman"/>
          <w:sz w:val="20"/>
          <w:szCs w:val="20"/>
          <w:lang w:val="it-IT"/>
        </w:rPr>
        <w:t>(India).</w:t>
      </w:r>
    </w:p>
  </w:footnote>
  <w:footnote w:id="7">
    <w:p w14:paraId="787EA4B0" w14:textId="77777777" w:rsidR="001A32F1" w:rsidRPr="00711243" w:rsidRDefault="00D12DEC">
      <w:pPr>
        <w:pStyle w:val="Footnote"/>
        <w:rPr>
          <w:rFonts w:ascii="Times New Roman" w:hAnsi="Times New Roman" w:cs="Times New Roman"/>
          <w:sz w:val="20"/>
          <w:szCs w:val="20"/>
        </w:rPr>
      </w:pPr>
      <w:r w:rsidRPr="00711243">
        <w:rPr>
          <w:rFonts w:ascii="Times New Roman" w:hAnsi="Times New Roman" w:cs="Times New Roman"/>
          <w:sz w:val="20"/>
          <w:szCs w:val="20"/>
          <w:vertAlign w:val="superscript"/>
        </w:rPr>
        <w:footnoteRef/>
      </w:r>
      <w:r w:rsidRPr="00711243">
        <w:rPr>
          <w:rFonts w:ascii="Times New Roman" w:eastAsia="Arial Unicode MS" w:hAnsi="Times New Roman" w:cs="Times New Roman"/>
          <w:sz w:val="20"/>
          <w:szCs w:val="20"/>
          <w:lang w:val="en-US"/>
        </w:rPr>
        <w:t xml:space="preserve"> The Companies Act 2013</w:t>
      </w:r>
      <w:r w:rsidRPr="00711243">
        <w:rPr>
          <w:rFonts w:ascii="Times New Roman" w:eastAsia="Arial Unicode MS" w:hAnsi="Times New Roman" w:cs="Times New Roman"/>
          <w:sz w:val="20"/>
          <w:szCs w:val="20"/>
        </w:rPr>
        <w:t xml:space="preserve">, </w:t>
      </w:r>
      <w:r w:rsidRPr="00711243">
        <w:rPr>
          <w:rFonts w:ascii="Times New Roman" w:eastAsia="Arial Unicode MS" w:hAnsi="Times New Roman" w:cs="Times New Roman"/>
          <w:sz w:val="20"/>
          <w:szCs w:val="20"/>
        </w:rPr>
        <w:t>§</w:t>
      </w:r>
      <w:r w:rsidRPr="00711243">
        <w:rPr>
          <w:rFonts w:ascii="Times New Roman" w:eastAsia="Arial Unicode MS" w:hAnsi="Times New Roman" w:cs="Times New Roman"/>
          <w:sz w:val="20"/>
          <w:szCs w:val="20"/>
          <w:lang w:val="en-US"/>
        </w:rPr>
        <w:t>178, Acts of Parliament, 2013</w:t>
      </w:r>
      <w:r w:rsidRPr="00711243">
        <w:rPr>
          <w:rFonts w:ascii="Times New Roman" w:eastAsia="Arial Unicode MS" w:hAnsi="Times New Roman" w:cs="Times New Roman"/>
          <w:sz w:val="20"/>
          <w:szCs w:val="20"/>
          <w:lang w:val="it-IT"/>
        </w:rPr>
        <w:t>(India).</w:t>
      </w:r>
    </w:p>
  </w:footnote>
  <w:footnote w:id="8">
    <w:p w14:paraId="787EA4B1" w14:textId="77777777" w:rsidR="001A32F1" w:rsidRDefault="00D12DEC">
      <w:pPr>
        <w:pStyle w:val="Footnote"/>
      </w:pPr>
      <w:r w:rsidRPr="00711243">
        <w:rPr>
          <w:rFonts w:ascii="Times New Roman" w:hAnsi="Times New Roman" w:cs="Times New Roman"/>
          <w:sz w:val="20"/>
          <w:szCs w:val="20"/>
          <w:vertAlign w:val="superscript"/>
        </w:rPr>
        <w:footnoteRef/>
      </w:r>
      <w:r w:rsidRPr="00711243">
        <w:rPr>
          <w:rFonts w:ascii="Times New Roman" w:eastAsia="Arial Unicode MS" w:hAnsi="Times New Roman" w:cs="Times New Roman"/>
          <w:sz w:val="20"/>
          <w:szCs w:val="20"/>
          <w:lang w:val="en-US"/>
        </w:rPr>
        <w:t xml:space="preserve"> The Companies Act 2013</w:t>
      </w:r>
      <w:r w:rsidRPr="00711243">
        <w:rPr>
          <w:rFonts w:ascii="Times New Roman" w:eastAsia="Arial Unicode MS" w:hAnsi="Times New Roman" w:cs="Times New Roman"/>
          <w:sz w:val="20"/>
          <w:szCs w:val="20"/>
        </w:rPr>
        <w:t xml:space="preserve">, </w:t>
      </w:r>
      <w:r w:rsidRPr="00711243">
        <w:rPr>
          <w:rFonts w:ascii="Times New Roman" w:eastAsia="Arial Unicode MS" w:hAnsi="Times New Roman" w:cs="Times New Roman"/>
          <w:sz w:val="20"/>
          <w:szCs w:val="20"/>
        </w:rPr>
        <w:t>§</w:t>
      </w:r>
      <w:r w:rsidRPr="00711243">
        <w:rPr>
          <w:rFonts w:ascii="Times New Roman" w:eastAsia="Arial Unicode MS" w:hAnsi="Times New Roman" w:cs="Times New Roman"/>
          <w:sz w:val="20"/>
          <w:szCs w:val="20"/>
          <w:lang w:val="en-US"/>
        </w:rPr>
        <w:t>135, Acts of Parliament, 2013</w:t>
      </w:r>
      <w:r w:rsidRPr="00711243">
        <w:rPr>
          <w:rFonts w:ascii="Times New Roman" w:eastAsia="Arial Unicode MS" w:hAnsi="Times New Roman" w:cs="Times New Roman"/>
          <w:sz w:val="20"/>
          <w:szCs w:val="20"/>
          <w:lang w:val="it-IT"/>
        </w:rPr>
        <w:t>(India).</w:t>
      </w:r>
    </w:p>
  </w:footnote>
  <w:footnote w:id="9">
    <w:p w14:paraId="787EA4B2" w14:textId="77777777" w:rsidR="001A32F1" w:rsidRPr="00711243" w:rsidRDefault="00D12DEC">
      <w:pPr>
        <w:pStyle w:val="Footnote"/>
        <w:rPr>
          <w:rFonts w:ascii="Times New Roman" w:hAnsi="Times New Roman" w:cs="Times New Roman"/>
          <w:sz w:val="20"/>
          <w:szCs w:val="20"/>
        </w:rPr>
      </w:pPr>
      <w:r w:rsidRPr="00711243">
        <w:rPr>
          <w:rFonts w:ascii="Times New Roman" w:hAnsi="Times New Roman" w:cs="Times New Roman"/>
          <w:sz w:val="20"/>
          <w:szCs w:val="20"/>
          <w:vertAlign w:val="superscript"/>
        </w:rPr>
        <w:footnoteRef/>
      </w:r>
      <w:r w:rsidRPr="00711243">
        <w:rPr>
          <w:rFonts w:ascii="Times New Roman" w:eastAsia="Arial Unicode MS" w:hAnsi="Times New Roman" w:cs="Times New Roman"/>
          <w:sz w:val="20"/>
          <w:szCs w:val="20"/>
          <w:lang w:val="en-US"/>
        </w:rPr>
        <w:t xml:space="preserve"> The Companies Act 2013</w:t>
      </w:r>
      <w:r w:rsidRPr="00711243">
        <w:rPr>
          <w:rFonts w:ascii="Times New Roman" w:eastAsia="Arial Unicode MS" w:hAnsi="Times New Roman" w:cs="Times New Roman"/>
          <w:sz w:val="20"/>
          <w:szCs w:val="20"/>
        </w:rPr>
        <w:t xml:space="preserve">, </w:t>
      </w:r>
      <w:r w:rsidRPr="00711243">
        <w:rPr>
          <w:rFonts w:ascii="Times New Roman" w:eastAsia="Arial Unicode MS" w:hAnsi="Times New Roman" w:cs="Times New Roman"/>
          <w:sz w:val="20"/>
          <w:szCs w:val="20"/>
        </w:rPr>
        <w:t>§</w:t>
      </w:r>
      <w:r w:rsidRPr="00711243">
        <w:rPr>
          <w:rFonts w:ascii="Times New Roman" w:eastAsia="Arial Unicode MS" w:hAnsi="Times New Roman" w:cs="Times New Roman"/>
          <w:sz w:val="20"/>
          <w:szCs w:val="20"/>
          <w:lang w:val="en-US"/>
        </w:rPr>
        <w:t>245, Acts of Parliament, 2013</w:t>
      </w:r>
      <w:r w:rsidRPr="00711243">
        <w:rPr>
          <w:rFonts w:ascii="Times New Roman" w:eastAsia="Arial Unicode MS" w:hAnsi="Times New Roman" w:cs="Times New Roman"/>
          <w:sz w:val="20"/>
          <w:szCs w:val="20"/>
          <w:lang w:val="it-IT"/>
        </w:rPr>
        <w:t>(India).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EA4A9" w14:textId="77777777" w:rsidR="001A32F1" w:rsidRDefault="001A32F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95109"/>
    <w:multiLevelType w:val="hybridMultilevel"/>
    <w:tmpl w:val="22AC9828"/>
    <w:styleLink w:val="Bullet"/>
    <w:lvl w:ilvl="0" w:tplc="BF5A86D2">
      <w:start w:val="1"/>
      <w:numFmt w:val="bullet"/>
      <w:lvlText w:val="•"/>
      <w:lvlJc w:val="left"/>
      <w:pPr>
        <w:ind w:left="180" w:hanging="180"/>
      </w:pPr>
      <w:rPr>
        <w:rFonts w:hAnsi="Arial Unicode MS"/>
        <w:caps w:val="0"/>
        <w:smallCaps w:val="0"/>
        <w:strike w:val="0"/>
        <w:dstrike w:val="0"/>
        <w:outline w:val="0"/>
        <w:emboss w:val="0"/>
        <w:imprint w:val="0"/>
        <w:spacing w:val="0"/>
        <w:w w:val="100"/>
        <w:kern w:val="0"/>
        <w:position w:val="0"/>
        <w:highlight w:val="none"/>
        <w:vertAlign w:val="baseline"/>
      </w:rPr>
    </w:lvl>
    <w:lvl w:ilvl="1" w:tplc="9E20AD86">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 w:ilvl="2" w:tplc="684C8A52">
      <w:start w:val="1"/>
      <w:numFmt w:val="bullet"/>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 w:ilvl="3" w:tplc="E2BCFD4E">
      <w:start w:val="1"/>
      <w:numFmt w:val="bullet"/>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 w:ilvl="4" w:tplc="5B96E8D6">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 w:ilvl="5" w:tplc="072A2B00">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 w:ilvl="6" w:tplc="F5869AC8">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 w:ilvl="7" w:tplc="739EE2D8">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 w:ilvl="8" w:tplc="09CAC4E6">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1" w15:restartNumberingAfterBreak="0">
    <w:nsid w:val="2D60747D"/>
    <w:multiLevelType w:val="hybridMultilevel"/>
    <w:tmpl w:val="A940AFAA"/>
    <w:numStyleLink w:val="Lettered"/>
  </w:abstractNum>
  <w:abstractNum w:abstractNumId="2" w15:restartNumberingAfterBreak="0">
    <w:nsid w:val="58BE3EE3"/>
    <w:multiLevelType w:val="hybridMultilevel"/>
    <w:tmpl w:val="22AC9828"/>
    <w:numStyleLink w:val="Bullet"/>
  </w:abstractNum>
  <w:abstractNum w:abstractNumId="3" w15:restartNumberingAfterBreak="0">
    <w:nsid w:val="5DA5582F"/>
    <w:multiLevelType w:val="hybridMultilevel"/>
    <w:tmpl w:val="A940AFAA"/>
    <w:styleLink w:val="Lettered"/>
    <w:lvl w:ilvl="0" w:tplc="B2A4E764">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7C0CE5C">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2D1275EA">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2C7CD808">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68CE2472">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8FBCC7EE">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6A56DD44">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06B0D422">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CBD8B9BA">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16cid:durableId="294799558">
    <w:abstractNumId w:val="3"/>
  </w:num>
  <w:num w:numId="2" w16cid:durableId="787511137">
    <w:abstractNumId w:val="1"/>
  </w:num>
  <w:num w:numId="3" w16cid:durableId="510334706">
    <w:abstractNumId w:val="1"/>
    <w:lvlOverride w:ilvl="0">
      <w:startOverride w:val="1"/>
    </w:lvlOverride>
  </w:num>
  <w:num w:numId="4" w16cid:durableId="538201644">
    <w:abstractNumId w:val="1"/>
    <w:lvlOverride w:ilvl="0">
      <w:startOverride w:val="1"/>
    </w:lvlOverride>
  </w:num>
  <w:num w:numId="5" w16cid:durableId="203906625">
    <w:abstractNumId w:val="1"/>
    <w:lvlOverride w:ilvl="0">
      <w:startOverride w:val="1"/>
    </w:lvlOverride>
  </w:num>
  <w:num w:numId="6" w16cid:durableId="69155562">
    <w:abstractNumId w:val="0"/>
  </w:num>
  <w:num w:numId="7" w16cid:durableId="627471541">
    <w:abstractNumId w:val="2"/>
  </w:num>
  <w:num w:numId="8" w16cid:durableId="923608603">
    <w:abstractNumId w:val="2"/>
    <w:lvlOverride w:ilvl="0">
      <w:lvl w:ilvl="0" w:tplc="67EE7412">
        <w:start w:val="1"/>
        <w:numFmt w:val="bullet"/>
        <w:lvlText w:val="•"/>
        <w:lvlJc w:val="left"/>
        <w:pPr>
          <w:ind w:left="196" w:hanging="19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6ED09DC0">
        <w:start w:val="1"/>
        <w:numFmt w:val="bullet"/>
        <w:lvlText w:val="•"/>
        <w:lvlJc w:val="left"/>
        <w:pPr>
          <w:ind w:left="3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475264DE">
        <w:start w:val="1"/>
        <w:numFmt w:val="bullet"/>
        <w:lvlText w:val="•"/>
        <w:lvlJc w:val="left"/>
        <w:pPr>
          <w:ind w:left="55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F5E4E242">
        <w:start w:val="1"/>
        <w:numFmt w:val="bullet"/>
        <w:lvlText w:val="•"/>
        <w:lvlJc w:val="left"/>
        <w:pPr>
          <w:ind w:left="73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A656D80A">
        <w:start w:val="1"/>
        <w:numFmt w:val="bullet"/>
        <w:lvlText w:val="•"/>
        <w:lvlJc w:val="left"/>
        <w:pPr>
          <w:ind w:left="91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72824814">
        <w:start w:val="1"/>
        <w:numFmt w:val="bullet"/>
        <w:lvlText w:val="•"/>
        <w:lvlJc w:val="left"/>
        <w:pPr>
          <w:ind w:left="109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73FE61F6">
        <w:start w:val="1"/>
        <w:numFmt w:val="bullet"/>
        <w:lvlText w:val="•"/>
        <w:lvlJc w:val="left"/>
        <w:pPr>
          <w:ind w:left="127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B83A1980">
        <w:start w:val="1"/>
        <w:numFmt w:val="bullet"/>
        <w:lvlText w:val="•"/>
        <w:lvlJc w:val="left"/>
        <w:pPr>
          <w:ind w:left="1456" w:hanging="196"/>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A0E26F60">
        <w:start w:val="1"/>
        <w:numFmt w:val="bullet"/>
        <w:lvlText w:val="•"/>
        <w:lvlJc w:val="left"/>
        <w:pPr>
          <w:ind w:left="1636" w:hanging="196"/>
        </w:pPr>
        <w:rPr>
          <w:rFonts w:hAnsi="Arial Unicode MS"/>
          <w:caps w:val="0"/>
          <w:smallCaps w:val="0"/>
          <w:strike w:val="0"/>
          <w:dstrike w:val="0"/>
          <w:outline w:val="0"/>
          <w:emboss w:val="0"/>
          <w:imprint w:val="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displayBackgroundShape/>
  <w:proofState w:spelling="clean" w:grammar="clean"/>
  <w:defaultTabStop w:val="720"/>
  <w:characterSpacingControl w:val="doNotCompres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2F1"/>
    <w:rsid w:val="001A32F1"/>
    <w:rsid w:val="002425D1"/>
    <w:rsid w:val="00260B3B"/>
    <w:rsid w:val="003C7E46"/>
    <w:rsid w:val="004E7E86"/>
    <w:rsid w:val="005B0CCD"/>
    <w:rsid w:val="005E525A"/>
    <w:rsid w:val="006F4F24"/>
    <w:rsid w:val="00711243"/>
    <w:rsid w:val="007F5AF9"/>
    <w:rsid w:val="00D12DEC"/>
    <w:rsid w:val="00DA5DF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EA3D9"/>
  <w15:docId w15:val="{7AEDF3AB-A50D-4860-A180-2B0DF97B9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IN" w:eastAsia="en-I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next w:val="Body"/>
    <w:uiPriority w:val="10"/>
    <w:qFormat/>
    <w:pPr>
      <w:keepNext/>
    </w:pPr>
    <w:rPr>
      <w:rFonts w:ascii="Helvetica Neue" w:hAnsi="Helvetica Neue" w:cs="Arial Unicode MS"/>
      <w:b/>
      <w:bCs/>
      <w:color w:val="000000"/>
      <w:sz w:val="60"/>
      <w:szCs w:val="60"/>
      <w:lang w:val="en-US"/>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Footnote">
    <w:name w:val="Footnote"/>
    <w:rPr>
      <w:rFonts w:ascii="Helvetica Neue" w:eastAsia="Helvetica Neue" w:hAnsi="Helvetica Neue" w:cs="Helvetica Neue"/>
      <w:color w:val="000000"/>
      <w:sz w:val="22"/>
      <w:szCs w:val="22"/>
      <w14:textOutline w14:w="0" w14:cap="flat" w14:cmpd="sng" w14:algn="ctr">
        <w14:noFill/>
        <w14:prstDash w14:val="solid"/>
        <w14:bevel/>
      </w14:textOutline>
    </w:rPr>
  </w:style>
  <w:style w:type="numbering" w:customStyle="1" w:styleId="Lettered">
    <w:name w:val="Lettered"/>
    <w:pPr>
      <w:numPr>
        <w:numId w:val="1"/>
      </w:numPr>
    </w:pPr>
  </w:style>
  <w:style w:type="numbering" w:customStyle="1" w:styleId="Bullet">
    <w:name w:val="Bullet"/>
    <w:pPr>
      <w:numPr>
        <w:numId w:val="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8</Pages>
  <Words>2047</Words>
  <Characters>11673</Characters>
  <Application>Microsoft Office Word</Application>
  <DocSecurity>0</DocSecurity>
  <Lines>97</Lines>
  <Paragraphs>27</Paragraphs>
  <ScaleCrop>false</ScaleCrop>
  <Company/>
  <LinksUpToDate>false</LinksUpToDate>
  <CharactersWithSpaces>13693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Divya polisetty</cp:lastModifiedBy>
  <cp:revision>11</cp:revision>
  <dcterms:created xsi:type="dcterms:W3CDTF">2025-07-25T12:52:00Z</dcterms:created>
  <dcterms:modified xsi:type="dcterms:W3CDTF">2025-07-25T13:13:00Z</dcterms:modified>
</cp:coreProperties>
</file>