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B03" w:rsidRPr="000412CA" w:rsidRDefault="000412CA" w:rsidP="000412CA">
      <w:pPr>
        <w:pStyle w:val="Heading1"/>
        <w:jc w:val="center"/>
        <w:rPr>
          <w:rFonts w:ascii="Times New Roman" w:eastAsia="Times New Roman" w:hAnsi="Times New Roman" w:cs="Times New Roman"/>
          <w:sz w:val="24"/>
          <w:szCs w:val="24"/>
        </w:rPr>
      </w:pPr>
      <w:r w:rsidRPr="000412CA">
        <w:rPr>
          <w:rFonts w:ascii="Times New Roman" w:eastAsia="Times New Roman" w:hAnsi="Times New Roman" w:cs="Times New Roman"/>
          <w:sz w:val="24"/>
          <w:szCs w:val="24"/>
        </w:rPr>
        <w:t>State of Tamil Nadu v. Governor of Tamil Nadu, 2025: Reining in the Governor's Veto</w:t>
      </w:r>
      <w:r>
        <w:rPr>
          <w:rFonts w:ascii="Times New Roman" w:eastAsia="Times New Roman" w:hAnsi="Times New Roman" w:cs="Times New Roman"/>
          <w:sz w:val="24"/>
          <w:szCs w:val="24"/>
        </w:rPr>
        <w:t xml:space="preserve"> Power</w:t>
      </w:r>
    </w:p>
    <w:p w:rsidR="000412CA" w:rsidRPr="00115FD9" w:rsidRDefault="00DA7B03" w:rsidP="000412CA">
      <w:pPr>
        <w:spacing w:before="100" w:beforeAutospacing="1" w:after="100" w:afterAutospacing="1" w:line="360" w:lineRule="auto"/>
        <w:rPr>
          <w:rFonts w:ascii="Times New Roman" w:eastAsia="Times New Roman" w:hAnsi="Times New Roman" w:cs="Times New Roman"/>
          <w:b/>
          <w:sz w:val="25"/>
          <w:szCs w:val="25"/>
        </w:rPr>
      </w:pPr>
      <w:r w:rsidRPr="00115FD9">
        <w:rPr>
          <w:rFonts w:ascii="Times New Roman" w:eastAsia="Times New Roman" w:hAnsi="Times New Roman" w:cs="Times New Roman"/>
          <w:b/>
          <w:sz w:val="25"/>
          <w:szCs w:val="25"/>
        </w:rPr>
        <w:t>INTRODUCTION</w:t>
      </w:r>
    </w:p>
    <w:p w:rsid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 xml:space="preserve">The recent judgment of the Supreme Court in </w:t>
      </w:r>
      <w:r w:rsidRPr="00DA7B03">
        <w:rPr>
          <w:rFonts w:ascii="Times New Roman" w:eastAsia="Times New Roman" w:hAnsi="Times New Roman" w:cs="Times New Roman"/>
          <w:i/>
          <w:iCs/>
          <w:sz w:val="24"/>
          <w:szCs w:val="24"/>
        </w:rPr>
        <w:t>State of Tamil Nadu v. Governor of Tamil Nadu</w:t>
      </w:r>
      <w:r w:rsidR="00824306">
        <w:rPr>
          <w:rFonts w:ascii="Times New Roman" w:eastAsia="Times New Roman" w:hAnsi="Times New Roman" w:cs="Times New Roman"/>
          <w:sz w:val="24"/>
          <w:szCs w:val="24"/>
        </w:rPr>
        <w:t>, 2025</w:t>
      </w:r>
      <w:r w:rsidRPr="00DA7B03">
        <w:rPr>
          <w:rFonts w:ascii="Times New Roman" w:eastAsia="Times New Roman" w:hAnsi="Times New Roman" w:cs="Times New Roman"/>
          <w:sz w:val="24"/>
          <w:szCs w:val="24"/>
        </w:rPr>
        <w:t xml:space="preserve"> has reaffirmed the sanctity of constitutional processes and the federal structure of India. The case revolved around the delayed assent of bills passed by the Tamil Nadu Legislative Assembly, which had raised critical concerns over the discretionary powers of Governors in the Indian constitutional scheme. The verdict brought clarity to the interpretation of Articles 153, 155, 163, 200, 201, 142 and 143 of the Constitution, marking a significant development in Centre-State relations.</w:t>
      </w:r>
    </w:p>
    <w:p w:rsidR="00B81811" w:rsidRPr="00115FD9" w:rsidRDefault="00B81811" w:rsidP="00B81811">
      <w:pPr>
        <w:pStyle w:val="NormalWeb"/>
        <w:spacing w:line="360" w:lineRule="auto"/>
        <w:rPr>
          <w:b/>
        </w:rPr>
      </w:pPr>
      <w:r w:rsidRPr="00115FD9">
        <w:rPr>
          <w:b/>
        </w:rPr>
        <w:t xml:space="preserve">OBJECTIVE OF THE ARTICLE </w:t>
      </w:r>
    </w:p>
    <w:p w:rsidR="00B81811" w:rsidRPr="00B81811" w:rsidRDefault="00B81811" w:rsidP="00B81811">
      <w:pPr>
        <w:pStyle w:val="NormalWeb"/>
        <w:spacing w:line="360" w:lineRule="auto"/>
      </w:pPr>
      <w:r w:rsidRPr="00B81811">
        <w:t>This article aims to critically examine the Supreme Court's ruling in this case, with an emphasis on the evolving interpretation of gubernatorial discretion under Articles 200 and 201. It analyzes the implications of the Court's directives for federal governance, legislative functioning, and constitutional accountability in India. It also seeks to evaluate whether the decision strikes an appropriate balance between legal restraint and necessary judicial intervention</w:t>
      </w:r>
      <w:r>
        <w:t>.</w:t>
      </w:r>
    </w:p>
    <w:p w:rsidR="00DA7B03" w:rsidRPr="00115FD9" w:rsidRDefault="00DA7B03" w:rsidP="000412CA">
      <w:pPr>
        <w:spacing w:before="100" w:beforeAutospacing="1" w:after="100" w:afterAutospacing="1" w:line="360" w:lineRule="auto"/>
        <w:rPr>
          <w:rFonts w:ascii="Times New Roman" w:eastAsia="Times New Roman" w:hAnsi="Times New Roman" w:cs="Times New Roman"/>
          <w:b/>
          <w:sz w:val="24"/>
          <w:szCs w:val="24"/>
        </w:rPr>
      </w:pPr>
      <w:r w:rsidRPr="00115FD9">
        <w:rPr>
          <w:rFonts w:ascii="Times New Roman" w:eastAsia="Times New Roman" w:hAnsi="Times New Roman" w:cs="Times New Roman"/>
          <w:b/>
          <w:sz w:val="24"/>
          <w:szCs w:val="24"/>
        </w:rPr>
        <w:t>CONTEXT OF THE DISPUTE</w:t>
      </w:r>
    </w:p>
    <w:p w:rsidR="00DA7B03" w:rsidRP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In 2022–2023, several bills passed by the Tamil Nadu Legislative Assembly remained pending with the Governor without any definitive action. This inaction prompted the State to approach the Supreme Court, arguing that the Governor's delay undermined the democratic mandate and legislative authority of the State.</w:t>
      </w:r>
    </w:p>
    <w:p w:rsid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The core issue was whether the Governor had an unfettered right to delay or deny assent to bills, and if so, for how long. This raised broader concerns about the constitutional role of the Governor, the principles of representative democracy, and federal balance.</w:t>
      </w:r>
    </w:p>
    <w:p w:rsidR="00B81811" w:rsidRPr="00FE2499" w:rsidRDefault="00AC78AB" w:rsidP="00FE2499">
      <w:pPr>
        <w:spacing w:before="100" w:beforeAutospacing="1" w:after="100" w:afterAutospacing="1" w:line="360" w:lineRule="auto"/>
        <w:rPr>
          <w:rFonts w:ascii="Times New Roman" w:eastAsia="Times New Roman" w:hAnsi="Times New Roman" w:cs="Times New Roman"/>
          <w:sz w:val="24"/>
          <w:szCs w:val="24"/>
        </w:rPr>
      </w:pPr>
      <w:r w:rsidRPr="00AC78AB">
        <w:rPr>
          <w:rFonts w:ascii="Times New Roman" w:hAnsi="Times New Roman" w:cs="Times New Roman"/>
          <w:sz w:val="24"/>
          <w:szCs w:val="24"/>
        </w:rPr>
        <w:t xml:space="preserve">[8] “SC Verdict on Governor’s Powers </w:t>
      </w:r>
      <w:proofErr w:type="gramStart"/>
      <w:r w:rsidRPr="00AC78AB">
        <w:rPr>
          <w:rFonts w:ascii="Times New Roman" w:hAnsi="Times New Roman" w:cs="Times New Roman"/>
          <w:sz w:val="24"/>
          <w:szCs w:val="24"/>
        </w:rPr>
        <w:t>Over</w:t>
      </w:r>
      <w:proofErr w:type="gramEnd"/>
      <w:r w:rsidRPr="00AC78AB">
        <w:rPr>
          <w:rFonts w:ascii="Times New Roman" w:hAnsi="Times New Roman" w:cs="Times New Roman"/>
          <w:sz w:val="24"/>
          <w:szCs w:val="24"/>
        </w:rPr>
        <w:t xml:space="preserve"> State Bills”, </w:t>
      </w:r>
      <w:proofErr w:type="spellStart"/>
      <w:r w:rsidRPr="00AC78AB">
        <w:rPr>
          <w:rStyle w:val="Emphasis"/>
          <w:rFonts w:ascii="Times New Roman" w:hAnsi="Times New Roman" w:cs="Times New Roman"/>
          <w:sz w:val="24"/>
          <w:szCs w:val="24"/>
        </w:rPr>
        <w:t>Drishti</w:t>
      </w:r>
      <w:proofErr w:type="spellEnd"/>
      <w:r w:rsidRPr="00AC78AB">
        <w:rPr>
          <w:rStyle w:val="Emphasis"/>
          <w:rFonts w:ascii="Times New Roman" w:hAnsi="Times New Roman" w:cs="Times New Roman"/>
          <w:sz w:val="24"/>
          <w:szCs w:val="24"/>
        </w:rPr>
        <w:t xml:space="preserve"> IAS</w:t>
      </w:r>
      <w:r w:rsidRPr="00AC78AB">
        <w:rPr>
          <w:rFonts w:ascii="Times New Roman" w:hAnsi="Times New Roman" w:cs="Times New Roman"/>
          <w:sz w:val="24"/>
          <w:szCs w:val="24"/>
        </w:rPr>
        <w:t>, Apr. 2025.</w:t>
      </w:r>
    </w:p>
    <w:p w:rsidR="00B81811" w:rsidRPr="00115FD9" w:rsidRDefault="00B81811" w:rsidP="00B81811">
      <w:pPr>
        <w:pStyle w:val="NormalWeb"/>
        <w:spacing w:line="360" w:lineRule="auto"/>
        <w:rPr>
          <w:b/>
        </w:rPr>
      </w:pPr>
      <w:r w:rsidRPr="00115FD9">
        <w:rPr>
          <w:b/>
        </w:rPr>
        <w:lastRenderedPageBreak/>
        <w:t>ISSUES RAISED BEFORE THE COURT</w:t>
      </w:r>
    </w:p>
    <w:p w:rsidR="00B81811" w:rsidRDefault="00B81811" w:rsidP="00B81811">
      <w:pPr>
        <w:pStyle w:val="NormalWeb"/>
        <w:numPr>
          <w:ilvl w:val="0"/>
          <w:numId w:val="6"/>
        </w:numPr>
        <w:spacing w:line="360" w:lineRule="auto"/>
      </w:pPr>
      <w:r>
        <w:t>Whether the Governor has an unfettered right to delay or deny assent to state bills under Article 200.</w:t>
      </w:r>
    </w:p>
    <w:p w:rsidR="00B81811" w:rsidRDefault="00B81811" w:rsidP="00B81811">
      <w:pPr>
        <w:pStyle w:val="NormalWeb"/>
        <w:numPr>
          <w:ilvl w:val="0"/>
          <w:numId w:val="6"/>
        </w:numPr>
        <w:spacing w:line="360" w:lineRule="auto"/>
      </w:pPr>
      <w:r>
        <w:t>Whether the lack of a timeline under Articles 200 and 201 implies absolute discretion.</w:t>
      </w:r>
    </w:p>
    <w:p w:rsidR="00B81811" w:rsidRDefault="00B81811" w:rsidP="00B81811">
      <w:pPr>
        <w:pStyle w:val="NormalWeb"/>
        <w:numPr>
          <w:ilvl w:val="0"/>
          <w:numId w:val="6"/>
        </w:numPr>
        <w:spacing w:line="360" w:lineRule="auto"/>
      </w:pPr>
      <w:r>
        <w:t>Whether such delay constitutes a breakdown of constitutional machinery under Article 356.</w:t>
      </w:r>
    </w:p>
    <w:p w:rsidR="00B81811" w:rsidRPr="00B81811" w:rsidRDefault="00B81811" w:rsidP="000412CA">
      <w:pPr>
        <w:pStyle w:val="NormalWeb"/>
        <w:numPr>
          <w:ilvl w:val="0"/>
          <w:numId w:val="6"/>
        </w:numPr>
        <w:spacing w:line="360" w:lineRule="auto"/>
      </w:pPr>
      <w:r>
        <w:t>Whether judicial directions imposing time-bound action encroach upon the executive's constitutional space.</w:t>
      </w:r>
    </w:p>
    <w:p w:rsidR="00B81811" w:rsidRPr="00115FD9" w:rsidRDefault="00B81811" w:rsidP="00B81811">
      <w:pPr>
        <w:pStyle w:val="NormalWeb"/>
        <w:ind w:left="360"/>
        <w:rPr>
          <w:b/>
        </w:rPr>
      </w:pPr>
      <w:r w:rsidRPr="00115FD9">
        <w:rPr>
          <w:b/>
        </w:rPr>
        <w:t xml:space="preserve">CONSTITUTIONAL PROVISIONS INVOLVED </w:t>
      </w:r>
    </w:p>
    <w:p w:rsidR="00DA7B03" w:rsidRPr="00DA7B03" w:rsidRDefault="00DA7B03" w:rsidP="000412CA">
      <w:pPr>
        <w:numPr>
          <w:ilvl w:val="0"/>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Article 153 and 155</w:t>
      </w:r>
      <w:r w:rsidRPr="00DA7B03">
        <w:rPr>
          <w:rFonts w:ascii="Times New Roman" w:eastAsia="Times New Roman" w:hAnsi="Times New Roman" w:cs="Times New Roman"/>
          <w:sz w:val="24"/>
          <w:szCs w:val="24"/>
        </w:rPr>
        <w:t>: These articles establish the Governor as the constitutional head of the state and outline their appointment by the President. While these provisions lay the foundation of the office, they do not grant legislative veto powers.</w:t>
      </w:r>
    </w:p>
    <w:p w:rsidR="00DA7B03" w:rsidRPr="00DA7B03" w:rsidRDefault="00DA7B03" w:rsidP="000412CA">
      <w:pPr>
        <w:numPr>
          <w:ilvl w:val="0"/>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Article 163</w:t>
      </w:r>
      <w:r w:rsidRPr="00DA7B03">
        <w:rPr>
          <w:rFonts w:ascii="Times New Roman" w:eastAsia="Times New Roman" w:hAnsi="Times New Roman" w:cs="Times New Roman"/>
          <w:sz w:val="24"/>
          <w:szCs w:val="24"/>
        </w:rPr>
        <w:t>: This article states that the Governor shall act on the aid and advice of the Council of Ministers, except in cases where discretion is permitted. The Court emphasized that discretionary powers must be interpreted narrowly and cannot be extended to legislative delays.</w:t>
      </w:r>
    </w:p>
    <w:p w:rsidR="00DA7B03" w:rsidRPr="00DA7B03" w:rsidRDefault="00DA7B03" w:rsidP="000412CA">
      <w:pPr>
        <w:numPr>
          <w:ilvl w:val="0"/>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Article 200</w:t>
      </w:r>
      <w:r w:rsidRPr="00DA7B03">
        <w:rPr>
          <w:rFonts w:ascii="Times New Roman" w:eastAsia="Times New Roman" w:hAnsi="Times New Roman" w:cs="Times New Roman"/>
          <w:sz w:val="24"/>
          <w:szCs w:val="24"/>
        </w:rPr>
        <w:t>: This was the focal point of the case. It provides the Governor with three options when a bill is presented: grant assent, withhold assent, or return the bill for reconsideration. Additionally, the Governor may reserve the bill for the President's consideration. The Court ruled that indefinite delays violate constitutional morality and established a framework:</w:t>
      </w:r>
    </w:p>
    <w:p w:rsidR="00DA7B03" w:rsidRPr="00DA7B03" w:rsidRDefault="00DA7B03" w:rsidP="000412CA">
      <w:pPr>
        <w:numPr>
          <w:ilvl w:val="1"/>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One month for granting or withholding assent.</w:t>
      </w:r>
    </w:p>
    <w:p w:rsidR="00DA7B03" w:rsidRPr="00DA7B03" w:rsidRDefault="00DA7B03" w:rsidP="000412CA">
      <w:pPr>
        <w:numPr>
          <w:ilvl w:val="1"/>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Three months if the Governor intends to act contrary to Cabinet advice.</w:t>
      </w:r>
    </w:p>
    <w:p w:rsidR="00DA7B03" w:rsidRPr="00DA7B03" w:rsidRDefault="00DA7B03" w:rsidP="000412CA">
      <w:pPr>
        <w:numPr>
          <w:ilvl w:val="1"/>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One month to assent a bill that has been re-passed after reconsideration.</w:t>
      </w:r>
    </w:p>
    <w:p w:rsidR="00DA7B03" w:rsidRPr="00DA7B03" w:rsidRDefault="00DA7B03" w:rsidP="000412CA">
      <w:pPr>
        <w:numPr>
          <w:ilvl w:val="0"/>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Article 201</w:t>
      </w:r>
      <w:r w:rsidRPr="00DA7B03">
        <w:rPr>
          <w:rFonts w:ascii="Times New Roman" w:eastAsia="Times New Roman" w:hAnsi="Times New Roman" w:cs="Times New Roman"/>
          <w:sz w:val="24"/>
          <w:szCs w:val="24"/>
        </w:rPr>
        <w:t>: This article governs the process when a bill is reserved for the President. The Court ruled that the President must decide within three months, thus ending the practice of indefinite reservation.</w:t>
      </w:r>
    </w:p>
    <w:p w:rsidR="00DA7B03" w:rsidRPr="00DA7B03" w:rsidRDefault="00DA7B03" w:rsidP="000412CA">
      <w:pPr>
        <w:numPr>
          <w:ilvl w:val="0"/>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lastRenderedPageBreak/>
        <w:t>Article 142</w:t>
      </w:r>
      <w:r w:rsidRPr="00DA7B03">
        <w:rPr>
          <w:rFonts w:ascii="Times New Roman" w:eastAsia="Times New Roman" w:hAnsi="Times New Roman" w:cs="Times New Roman"/>
          <w:sz w:val="24"/>
          <w:szCs w:val="24"/>
        </w:rPr>
        <w:t>: Invoked by the Supreme Court to ensure "complete justice," this provision allowed the Court to direct that assent be deemed granted to bills which had been unjustifiably delayed.</w:t>
      </w:r>
    </w:p>
    <w:p w:rsidR="00DA7B03" w:rsidRDefault="00DA7B03" w:rsidP="00115FD9">
      <w:pPr>
        <w:numPr>
          <w:ilvl w:val="0"/>
          <w:numId w:val="1"/>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Article 143</w:t>
      </w:r>
      <w:r w:rsidRPr="00DA7B03">
        <w:rPr>
          <w:rFonts w:ascii="Times New Roman" w:eastAsia="Times New Roman" w:hAnsi="Times New Roman" w:cs="Times New Roman"/>
          <w:sz w:val="24"/>
          <w:szCs w:val="24"/>
        </w:rPr>
        <w:t>: The aftermath of the verdict led the President to seek an advisory opinion under this Article, questioning the Court's imposition of time limits. The Court, however, reiterated its constitutional duty to uphold legislative supremacy within the framework of judicial review.</w:t>
      </w:r>
    </w:p>
    <w:p w:rsidR="00AC78AB" w:rsidRPr="00AC78AB" w:rsidRDefault="00AC78AB" w:rsidP="00AC78AB">
      <w:pPr>
        <w:spacing w:before="100" w:beforeAutospacing="1" w:after="100" w:afterAutospacing="1" w:line="360" w:lineRule="auto"/>
        <w:ind w:left="720"/>
        <w:rPr>
          <w:rFonts w:ascii="Times New Roman" w:eastAsia="Times New Roman" w:hAnsi="Times New Roman" w:cs="Times New Roman"/>
          <w:sz w:val="24"/>
          <w:szCs w:val="24"/>
        </w:rPr>
      </w:pPr>
      <w:r w:rsidRPr="00AC78AB">
        <w:rPr>
          <w:rFonts w:ascii="Times New Roman" w:eastAsia="Times New Roman" w:hAnsi="Times New Roman" w:cs="Times New Roman"/>
          <w:bCs/>
          <w:sz w:val="24"/>
          <w:szCs w:val="24"/>
        </w:rPr>
        <w:t>[1]</w:t>
      </w:r>
      <w:r w:rsidRPr="00AC78AB">
        <w:rPr>
          <w:rFonts w:ascii="Times New Roman" w:hAnsi="Times New Roman" w:cs="Times New Roman"/>
          <w:sz w:val="24"/>
          <w:szCs w:val="24"/>
        </w:rPr>
        <w:t xml:space="preserve"> Constitution of India, arts. </w:t>
      </w:r>
      <w:proofErr w:type="gramStart"/>
      <w:r w:rsidRPr="00AC78AB">
        <w:rPr>
          <w:rFonts w:ascii="Times New Roman" w:hAnsi="Times New Roman" w:cs="Times New Roman"/>
          <w:sz w:val="24"/>
          <w:szCs w:val="24"/>
        </w:rPr>
        <w:t>153, 155, 163, 200, 201, 142, 143.</w:t>
      </w:r>
      <w:proofErr w:type="gramEnd"/>
    </w:p>
    <w:p w:rsidR="00115FD9" w:rsidRPr="00115FD9" w:rsidRDefault="00115FD9" w:rsidP="00115FD9">
      <w:pPr>
        <w:pStyle w:val="NormalWeb"/>
        <w:spacing w:line="360" w:lineRule="auto"/>
      </w:pPr>
      <w:r w:rsidRPr="00115FD9">
        <w:rPr>
          <w:rStyle w:val="Strong"/>
        </w:rPr>
        <w:t>TIMELINE OF EVENTS</w:t>
      </w:r>
    </w:p>
    <w:p w:rsidR="00115FD9" w:rsidRDefault="00115FD9" w:rsidP="00115FD9">
      <w:pPr>
        <w:pStyle w:val="NormalWeb"/>
        <w:numPr>
          <w:ilvl w:val="0"/>
          <w:numId w:val="9"/>
        </w:numPr>
        <w:spacing w:line="360" w:lineRule="auto"/>
      </w:pPr>
      <w:r>
        <w:rPr>
          <w:rStyle w:val="Strong"/>
        </w:rPr>
        <w:t>Oct 2022–May 2023</w:t>
      </w:r>
      <w:r>
        <w:t>: 12 bills passed by Tamil Nadu Assembly</w:t>
      </w:r>
    </w:p>
    <w:p w:rsidR="00115FD9" w:rsidRDefault="00115FD9" w:rsidP="00115FD9">
      <w:pPr>
        <w:pStyle w:val="NormalWeb"/>
        <w:numPr>
          <w:ilvl w:val="0"/>
          <w:numId w:val="9"/>
        </w:numPr>
        <w:spacing w:line="360" w:lineRule="auto"/>
      </w:pPr>
      <w:r>
        <w:rPr>
          <w:rStyle w:val="Strong"/>
        </w:rPr>
        <w:t>June–Dec 2023</w:t>
      </w:r>
      <w:r>
        <w:t>: No action from the Governor</w:t>
      </w:r>
    </w:p>
    <w:p w:rsidR="00115FD9" w:rsidRDefault="00115FD9" w:rsidP="00115FD9">
      <w:pPr>
        <w:pStyle w:val="NormalWeb"/>
        <w:numPr>
          <w:ilvl w:val="0"/>
          <w:numId w:val="9"/>
        </w:numPr>
        <w:spacing w:line="360" w:lineRule="auto"/>
      </w:pPr>
      <w:r>
        <w:rPr>
          <w:rStyle w:val="Strong"/>
        </w:rPr>
        <w:t>Jan 2024</w:t>
      </w:r>
      <w:r>
        <w:t>: Writ petition filed under Article 32</w:t>
      </w:r>
    </w:p>
    <w:p w:rsidR="00115FD9" w:rsidRDefault="00115FD9" w:rsidP="00115FD9">
      <w:pPr>
        <w:pStyle w:val="NormalWeb"/>
        <w:numPr>
          <w:ilvl w:val="0"/>
          <w:numId w:val="9"/>
        </w:numPr>
        <w:spacing w:line="360" w:lineRule="auto"/>
      </w:pPr>
      <w:r>
        <w:rPr>
          <w:rStyle w:val="Strong"/>
        </w:rPr>
        <w:t>Feb–Mar 2025</w:t>
      </w:r>
      <w:r>
        <w:t>: Constitution Bench hears the matter</w:t>
      </w:r>
    </w:p>
    <w:p w:rsidR="00115FD9" w:rsidRDefault="00115FD9" w:rsidP="00115FD9">
      <w:pPr>
        <w:pStyle w:val="NormalWeb"/>
        <w:numPr>
          <w:ilvl w:val="0"/>
          <w:numId w:val="9"/>
        </w:numPr>
        <w:spacing w:line="360" w:lineRule="auto"/>
      </w:pPr>
      <w:r>
        <w:rPr>
          <w:rStyle w:val="Strong"/>
        </w:rPr>
        <w:t>April 2025</w:t>
      </w:r>
      <w:r>
        <w:t>: Judgment delivered</w:t>
      </w:r>
    </w:p>
    <w:p w:rsidR="00115FD9" w:rsidRDefault="00115FD9" w:rsidP="00115FD9">
      <w:pPr>
        <w:pStyle w:val="NormalWeb"/>
        <w:numPr>
          <w:ilvl w:val="0"/>
          <w:numId w:val="9"/>
        </w:numPr>
        <w:spacing w:line="360" w:lineRule="auto"/>
      </w:pPr>
      <w:r>
        <w:rPr>
          <w:rStyle w:val="Strong"/>
        </w:rPr>
        <w:t>May 2025</w:t>
      </w:r>
      <w:r>
        <w:t>: Presidential reference made under Article 143</w:t>
      </w:r>
    </w:p>
    <w:p w:rsidR="00DA7B03" w:rsidRPr="00115FD9" w:rsidRDefault="00DA7B03" w:rsidP="000412CA">
      <w:pPr>
        <w:spacing w:before="100" w:beforeAutospacing="1" w:after="100" w:afterAutospacing="1" w:line="360" w:lineRule="auto"/>
        <w:rPr>
          <w:rFonts w:ascii="Times New Roman" w:eastAsia="Times New Roman" w:hAnsi="Times New Roman" w:cs="Times New Roman"/>
          <w:b/>
          <w:sz w:val="24"/>
          <w:szCs w:val="24"/>
        </w:rPr>
      </w:pPr>
      <w:r w:rsidRPr="00115FD9">
        <w:rPr>
          <w:rFonts w:ascii="Times New Roman" w:eastAsia="Times New Roman" w:hAnsi="Times New Roman" w:cs="Times New Roman"/>
          <w:b/>
          <w:sz w:val="24"/>
          <w:szCs w:val="24"/>
        </w:rPr>
        <w:t>SUPREME COURT'S VERDICT</w:t>
      </w:r>
    </w:p>
    <w:p w:rsidR="00DA7B03" w:rsidRP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In its landmark ruling, the Supreme Court held that the Governor does not enjoy an absolute veto power. It clarified that Articles 200 and 201, although silent on specific timelines, must be interpreted in a manner consistent with democratic principles and accountability. The judgment stated:</w:t>
      </w:r>
    </w:p>
    <w:p w:rsidR="00DA7B03" w:rsidRPr="00DA7B03" w:rsidRDefault="00DA7B03" w:rsidP="000412CA">
      <w:pPr>
        <w:numPr>
          <w:ilvl w:val="0"/>
          <w:numId w:val="2"/>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The Governor must act on the advice of the Council of Ministers.</w:t>
      </w:r>
    </w:p>
    <w:p w:rsidR="00DA7B03" w:rsidRPr="00DA7B03" w:rsidRDefault="00DA7B03" w:rsidP="000412CA">
      <w:pPr>
        <w:numPr>
          <w:ilvl w:val="0"/>
          <w:numId w:val="2"/>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The discretionary power under Article 163 is limited to extraordinary circumstances.</w:t>
      </w:r>
    </w:p>
    <w:p w:rsidR="00DA7B03" w:rsidRPr="00DA7B03" w:rsidRDefault="00DA7B03" w:rsidP="000412CA">
      <w:pPr>
        <w:numPr>
          <w:ilvl w:val="0"/>
          <w:numId w:val="2"/>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Delays in assenting bills amount to a breakdown of constitutional machinery.</w:t>
      </w:r>
    </w:p>
    <w:p w:rsidR="00AC78AB" w:rsidRDefault="00DA7B03" w:rsidP="00AC78AB">
      <w:pPr>
        <w:spacing w:before="100" w:beforeAutospacing="1" w:after="100" w:afterAutospacing="1" w:line="360" w:lineRule="auto"/>
        <w:ind w:left="720"/>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 xml:space="preserve">The Court directed that the concerned bills be deemed assented using its powers under Article 142 and laid down timelines for future assent processes. It also opened the doors </w:t>
      </w:r>
      <w:r w:rsidRPr="00DA7B03">
        <w:rPr>
          <w:rFonts w:ascii="Times New Roman" w:eastAsia="Times New Roman" w:hAnsi="Times New Roman" w:cs="Times New Roman"/>
          <w:sz w:val="24"/>
          <w:szCs w:val="24"/>
        </w:rPr>
        <w:lastRenderedPageBreak/>
        <w:t xml:space="preserve">for judicial review in cases where the President </w:t>
      </w:r>
      <w:proofErr w:type="gramStart"/>
      <w:r w:rsidRPr="00DA7B03">
        <w:rPr>
          <w:rFonts w:ascii="Times New Roman" w:eastAsia="Times New Roman" w:hAnsi="Times New Roman" w:cs="Times New Roman"/>
          <w:sz w:val="24"/>
          <w:szCs w:val="24"/>
        </w:rPr>
        <w:t>delays</w:t>
      </w:r>
      <w:proofErr w:type="gramEnd"/>
      <w:r w:rsidRPr="00DA7B03">
        <w:rPr>
          <w:rFonts w:ascii="Times New Roman" w:eastAsia="Times New Roman" w:hAnsi="Times New Roman" w:cs="Times New Roman"/>
          <w:sz w:val="24"/>
          <w:szCs w:val="24"/>
        </w:rPr>
        <w:t xml:space="preserve"> action on bills reserved under</w:t>
      </w:r>
      <w:r w:rsidR="00AC78AB">
        <w:rPr>
          <w:rFonts w:ascii="Times New Roman" w:eastAsia="Times New Roman" w:hAnsi="Times New Roman" w:cs="Times New Roman"/>
          <w:sz w:val="24"/>
          <w:szCs w:val="24"/>
        </w:rPr>
        <w:t xml:space="preserve"> </w:t>
      </w:r>
      <w:r w:rsidRPr="00DA7B03">
        <w:rPr>
          <w:rFonts w:ascii="Times New Roman" w:eastAsia="Times New Roman" w:hAnsi="Times New Roman" w:cs="Times New Roman"/>
          <w:sz w:val="24"/>
          <w:szCs w:val="24"/>
        </w:rPr>
        <w:t>Article 201.</w:t>
      </w:r>
      <w:r w:rsidR="00AC78AB">
        <w:rPr>
          <w:rFonts w:ascii="Times New Roman" w:eastAsia="Times New Roman" w:hAnsi="Times New Roman" w:cs="Times New Roman"/>
          <w:sz w:val="24"/>
          <w:szCs w:val="24"/>
        </w:rPr>
        <w:t xml:space="preserve"> </w:t>
      </w:r>
    </w:p>
    <w:p w:rsidR="00AC78AB" w:rsidRDefault="00AC78AB" w:rsidP="00AC78AB">
      <w:pPr>
        <w:spacing w:before="100" w:beforeAutospacing="1" w:after="100" w:afterAutospacing="1"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Pr="00AC78AB">
        <w:rPr>
          <w:rFonts w:ascii="Times New Roman" w:eastAsia="Times New Roman" w:hAnsi="Times New Roman" w:cs="Times New Roman"/>
          <w:sz w:val="24"/>
          <w:szCs w:val="24"/>
        </w:rPr>
        <w:t xml:space="preserve"> </w:t>
      </w:r>
      <w:r w:rsidRPr="00DA7B03">
        <w:rPr>
          <w:rFonts w:ascii="Times New Roman" w:eastAsia="Times New Roman" w:hAnsi="Times New Roman" w:cs="Times New Roman"/>
          <w:sz w:val="24"/>
          <w:szCs w:val="24"/>
        </w:rPr>
        <w:t xml:space="preserve">S.P. </w:t>
      </w:r>
      <w:proofErr w:type="spellStart"/>
      <w:r w:rsidRPr="00DA7B03">
        <w:rPr>
          <w:rFonts w:ascii="Times New Roman" w:eastAsia="Times New Roman" w:hAnsi="Times New Roman" w:cs="Times New Roman"/>
          <w:sz w:val="24"/>
          <w:szCs w:val="24"/>
        </w:rPr>
        <w:t>Sathe</w:t>
      </w:r>
      <w:proofErr w:type="spellEnd"/>
      <w:r w:rsidRPr="00DA7B03">
        <w:rPr>
          <w:rFonts w:ascii="Times New Roman" w:eastAsia="Times New Roman" w:hAnsi="Times New Roman" w:cs="Times New Roman"/>
          <w:sz w:val="24"/>
          <w:szCs w:val="24"/>
        </w:rPr>
        <w:t xml:space="preserve">, </w:t>
      </w:r>
      <w:r w:rsidRPr="00DA7B03">
        <w:rPr>
          <w:rFonts w:ascii="Times New Roman" w:eastAsia="Times New Roman" w:hAnsi="Times New Roman" w:cs="Times New Roman"/>
          <w:i/>
          <w:iCs/>
          <w:sz w:val="24"/>
          <w:szCs w:val="24"/>
        </w:rPr>
        <w:t>Judicial Activism in India: Transgressing Borders and Enforcing Limits</w:t>
      </w:r>
      <w:r w:rsidRPr="00DA7B03">
        <w:rPr>
          <w:rFonts w:ascii="Times New Roman" w:eastAsia="Times New Roman" w:hAnsi="Times New Roman" w:cs="Times New Roman"/>
          <w:sz w:val="24"/>
          <w:szCs w:val="24"/>
        </w:rPr>
        <w:t>, Oxford University Press, 2002.</w:t>
      </w:r>
    </w:p>
    <w:p w:rsidR="00AC78AB" w:rsidRDefault="00AC78AB" w:rsidP="00AC78AB">
      <w:pPr>
        <w:spacing w:before="100" w:beforeAutospacing="1" w:after="100" w:afterAutospacing="1"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AC78AB">
        <w:rPr>
          <w:rFonts w:ascii="Times New Roman" w:eastAsia="Times New Roman" w:hAnsi="Times New Roman" w:cs="Times New Roman"/>
          <w:sz w:val="24"/>
          <w:szCs w:val="24"/>
        </w:rPr>
        <w:t xml:space="preserve"> </w:t>
      </w:r>
      <w:r w:rsidRPr="00DA7B03">
        <w:rPr>
          <w:rFonts w:ascii="Times New Roman" w:eastAsia="Times New Roman" w:hAnsi="Times New Roman" w:cs="Times New Roman"/>
          <w:sz w:val="24"/>
          <w:szCs w:val="24"/>
        </w:rPr>
        <w:t xml:space="preserve">SC Verdict on Governor's Powers Over State Bills", </w:t>
      </w:r>
      <w:proofErr w:type="spellStart"/>
      <w:r w:rsidRPr="00DA7B03">
        <w:rPr>
          <w:rFonts w:ascii="Times New Roman" w:eastAsia="Times New Roman" w:hAnsi="Times New Roman" w:cs="Times New Roman"/>
          <w:i/>
          <w:iCs/>
          <w:sz w:val="24"/>
          <w:szCs w:val="24"/>
        </w:rPr>
        <w:t>Drishti</w:t>
      </w:r>
      <w:proofErr w:type="spellEnd"/>
      <w:r w:rsidRPr="00DA7B03">
        <w:rPr>
          <w:rFonts w:ascii="Times New Roman" w:eastAsia="Times New Roman" w:hAnsi="Times New Roman" w:cs="Times New Roman"/>
          <w:i/>
          <w:iCs/>
          <w:sz w:val="24"/>
          <w:szCs w:val="24"/>
        </w:rPr>
        <w:t xml:space="preserve"> IAS</w:t>
      </w:r>
      <w:r w:rsidRPr="00DA7B03">
        <w:rPr>
          <w:rFonts w:ascii="Times New Roman" w:eastAsia="Times New Roman" w:hAnsi="Times New Roman" w:cs="Times New Roman"/>
          <w:sz w:val="24"/>
          <w:szCs w:val="24"/>
        </w:rPr>
        <w:t>, Apr. 2025.</w:t>
      </w:r>
    </w:p>
    <w:p w:rsidR="00B81811" w:rsidRPr="00115FD9" w:rsidRDefault="00B81811" w:rsidP="00B81811">
      <w:pPr>
        <w:pStyle w:val="NormalWeb"/>
        <w:spacing w:line="360" w:lineRule="auto"/>
        <w:rPr>
          <w:b/>
        </w:rPr>
      </w:pPr>
      <w:r w:rsidRPr="00115FD9">
        <w:rPr>
          <w:b/>
        </w:rPr>
        <w:t>TIMEFRAME LAID DOWN BY THE COURT</w:t>
      </w:r>
    </w:p>
    <w:p w:rsidR="00B81811" w:rsidRDefault="00B81811" w:rsidP="00B81811">
      <w:pPr>
        <w:pStyle w:val="NormalWeb"/>
        <w:spacing w:line="360" w:lineRule="auto"/>
      </w:pPr>
      <w:r>
        <w:t xml:space="preserve"> The Court laid down specific timeframes:</w:t>
      </w:r>
    </w:p>
    <w:p w:rsidR="00B81811" w:rsidRDefault="00B81811" w:rsidP="00B81811">
      <w:pPr>
        <w:pStyle w:val="NormalWeb"/>
        <w:numPr>
          <w:ilvl w:val="0"/>
          <w:numId w:val="7"/>
        </w:numPr>
        <w:spacing w:line="360" w:lineRule="auto"/>
      </w:pPr>
      <w:r>
        <w:t>One month to grant or withhold assent.</w:t>
      </w:r>
    </w:p>
    <w:p w:rsidR="00B81811" w:rsidRDefault="00B81811" w:rsidP="00B81811">
      <w:pPr>
        <w:pStyle w:val="NormalWeb"/>
        <w:numPr>
          <w:ilvl w:val="0"/>
          <w:numId w:val="7"/>
        </w:numPr>
        <w:spacing w:line="360" w:lineRule="auto"/>
      </w:pPr>
      <w:r>
        <w:t>Three months if the Governor seeks to reserve the bill.</w:t>
      </w:r>
    </w:p>
    <w:p w:rsidR="00B81811" w:rsidRDefault="00B81811" w:rsidP="00B81811">
      <w:pPr>
        <w:pStyle w:val="NormalWeb"/>
        <w:numPr>
          <w:ilvl w:val="0"/>
          <w:numId w:val="7"/>
        </w:numPr>
        <w:spacing w:line="360" w:lineRule="auto"/>
      </w:pPr>
      <w:r>
        <w:t>One month to assent to bills re-enacted by the legislature.</w:t>
      </w:r>
    </w:p>
    <w:p w:rsidR="00B81811" w:rsidRDefault="00B81811" w:rsidP="00B81811">
      <w:pPr>
        <w:pStyle w:val="NormalWeb"/>
        <w:numPr>
          <w:ilvl w:val="0"/>
          <w:numId w:val="7"/>
        </w:numPr>
        <w:spacing w:line="360" w:lineRule="auto"/>
      </w:pPr>
      <w:r>
        <w:t>Three months for the President to act under Article 201.</w:t>
      </w:r>
    </w:p>
    <w:p w:rsidR="00B81811" w:rsidRDefault="00B81811" w:rsidP="00B81811">
      <w:pPr>
        <w:pStyle w:val="NormalWeb"/>
        <w:spacing w:line="360" w:lineRule="auto"/>
      </w:pPr>
      <w:r>
        <w:t>These were framed as judicial guidelines until Parliament enacts statutory timelines.</w:t>
      </w:r>
    </w:p>
    <w:p w:rsidR="00115FD9" w:rsidRDefault="00115FD9" w:rsidP="00115FD9">
      <w:pPr>
        <w:pStyle w:val="NormalWeb"/>
        <w:spacing w:line="360" w:lineRule="auto"/>
      </w:pPr>
      <w:r>
        <w:rPr>
          <w:rStyle w:val="Strong"/>
        </w:rPr>
        <w:t>DOCTRINAL AND INTERPRETIVE FRAMEWORK</w:t>
      </w:r>
    </w:p>
    <w:p w:rsidR="00115FD9" w:rsidRDefault="00115FD9" w:rsidP="00115FD9">
      <w:pPr>
        <w:pStyle w:val="NormalWeb"/>
        <w:spacing w:line="360" w:lineRule="auto"/>
      </w:pPr>
      <w:r>
        <w:t xml:space="preserve">The Court employed the doctrine of </w:t>
      </w:r>
      <w:r>
        <w:rPr>
          <w:rStyle w:val="Strong"/>
        </w:rPr>
        <w:t xml:space="preserve">constitutional </w:t>
      </w:r>
      <w:proofErr w:type="spellStart"/>
      <w:r>
        <w:rPr>
          <w:rStyle w:val="Strong"/>
        </w:rPr>
        <w:t>purposivism</w:t>
      </w:r>
      <w:proofErr w:type="spellEnd"/>
      <w:r>
        <w:t>, reading the Constitution in a manner that furthers democratic governance. The purposive interpretation considers the intent and spirit behind constitutional provisions rather than relying solely on literal meanings. This approach ensured that the powers vested in the Governor under Article 200 do not override the democratic will of elected legislatures.</w:t>
      </w:r>
    </w:p>
    <w:p w:rsidR="00115FD9" w:rsidRDefault="00115FD9" w:rsidP="00115FD9">
      <w:pPr>
        <w:pStyle w:val="NormalWeb"/>
        <w:spacing w:line="360" w:lineRule="auto"/>
      </w:pPr>
      <w:r>
        <w:t xml:space="preserve">Additionally, the Court invoked the doctrine of </w:t>
      </w:r>
      <w:r>
        <w:rPr>
          <w:rStyle w:val="Strong"/>
        </w:rPr>
        <w:t>constitutional morality</w:t>
      </w:r>
      <w:r>
        <w:t xml:space="preserve">, emphasizing that all constitutional actors must uphold democratic values and not abuse procedural silence to stall governance. This interpretive stance built upon precedents such as </w:t>
      </w:r>
      <w:r>
        <w:rPr>
          <w:rStyle w:val="Emphasis"/>
        </w:rPr>
        <w:t xml:space="preserve">S.R. </w:t>
      </w:r>
      <w:proofErr w:type="spellStart"/>
      <w:r>
        <w:rPr>
          <w:rStyle w:val="Emphasis"/>
        </w:rPr>
        <w:t>Bommai</w:t>
      </w:r>
      <w:proofErr w:type="spellEnd"/>
      <w:r>
        <w:rPr>
          <w:rStyle w:val="Emphasis"/>
        </w:rPr>
        <w:t xml:space="preserve"> v. Union of India</w:t>
      </w:r>
      <w:r>
        <w:t xml:space="preserve">, (1994) 3 SCC 1, which underscored the primacy of democratic legitimacy over formal authority, and </w:t>
      </w:r>
      <w:proofErr w:type="spellStart"/>
      <w:r>
        <w:rPr>
          <w:rStyle w:val="Emphasis"/>
        </w:rPr>
        <w:t>Rameshwar</w:t>
      </w:r>
      <w:proofErr w:type="spellEnd"/>
      <w:r>
        <w:rPr>
          <w:rStyle w:val="Emphasis"/>
        </w:rPr>
        <w:t xml:space="preserve"> Prasad v. Union of India</w:t>
      </w:r>
      <w:r>
        <w:t>, (2006) 2 SCC 1, where the Court warned against mala fide use of constitutional discretion.</w:t>
      </w:r>
    </w:p>
    <w:p w:rsidR="00115FD9" w:rsidRDefault="00115FD9" w:rsidP="00115FD9">
      <w:pPr>
        <w:pStyle w:val="NormalWeb"/>
        <w:spacing w:line="360" w:lineRule="auto"/>
      </w:pPr>
      <w:r>
        <w:lastRenderedPageBreak/>
        <w:t xml:space="preserve">The Court further reiterated the doctrine of </w:t>
      </w:r>
      <w:r>
        <w:rPr>
          <w:rStyle w:val="Strong"/>
        </w:rPr>
        <w:t>functional interpretation</w:t>
      </w:r>
      <w:r>
        <w:t>, where constitutional offices are understood in light of their institutional role and accountability. Here, the Governor is positioned not as an autonomous power center but as a constitutional conduit bound by democratic governance.</w:t>
      </w:r>
    </w:p>
    <w:p w:rsidR="00115FD9" w:rsidRDefault="00115FD9" w:rsidP="00B81811">
      <w:pPr>
        <w:pStyle w:val="NormalWeb"/>
        <w:spacing w:line="360" w:lineRule="auto"/>
      </w:pPr>
      <w:r>
        <w:t>Thus, the Court bridged textual silences using a tripartite interpretive framework—</w:t>
      </w:r>
      <w:proofErr w:type="spellStart"/>
      <w:r>
        <w:t>purposivism</w:t>
      </w:r>
      <w:proofErr w:type="spellEnd"/>
      <w:r>
        <w:t>, morality, and functionalism—to reinforce the supremacy of constitutional governance.</w:t>
      </w:r>
    </w:p>
    <w:p w:rsidR="00AC78AB" w:rsidRDefault="00AC78AB" w:rsidP="00B81811">
      <w:pPr>
        <w:pStyle w:val="NormalWeb"/>
        <w:spacing w:line="360" w:lineRule="auto"/>
      </w:pPr>
      <w:proofErr w:type="gramStart"/>
      <w:r>
        <w:t>[18]</w:t>
      </w:r>
      <w:r w:rsidRPr="00AC78AB">
        <w:t xml:space="preserve"> </w:t>
      </w:r>
      <w:proofErr w:type="spellStart"/>
      <w:r>
        <w:t>Arvind</w:t>
      </w:r>
      <w:proofErr w:type="spellEnd"/>
      <w:r>
        <w:t xml:space="preserve"> P. </w:t>
      </w:r>
      <w:proofErr w:type="spellStart"/>
      <w:r>
        <w:t>Datar</w:t>
      </w:r>
      <w:proofErr w:type="spellEnd"/>
      <w:r>
        <w:t>, “The Evolution of Constitutional Interpretation in India” (2024) 2 SCC J-23.</w:t>
      </w:r>
      <w:proofErr w:type="gramEnd"/>
      <w:r>
        <w:rPr>
          <w:rStyle w:val="Emphasis"/>
        </w:rPr>
        <w:t xml:space="preserve"> </w:t>
      </w:r>
    </w:p>
    <w:p w:rsidR="00DA7B03" w:rsidRPr="00115FD9" w:rsidRDefault="00DA7B03" w:rsidP="00B81811">
      <w:pPr>
        <w:pStyle w:val="NormalWeb"/>
        <w:spacing w:line="360" w:lineRule="auto"/>
        <w:rPr>
          <w:b/>
        </w:rPr>
      </w:pPr>
      <w:r w:rsidRPr="00115FD9">
        <w:rPr>
          <w:b/>
        </w:rPr>
        <w:t>IMPLICATIONS ON FEDERALISM AND GOVERNOR'S ROLE</w:t>
      </w:r>
    </w:p>
    <w:p w:rsidR="00DA7B03" w:rsidRP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The judgment has several significant implications:</w:t>
      </w:r>
    </w:p>
    <w:p w:rsidR="00DA7B03" w:rsidRPr="00DA7B03" w:rsidRDefault="00DA7B03" w:rsidP="000412CA">
      <w:pPr>
        <w:numPr>
          <w:ilvl w:val="0"/>
          <w:numId w:val="3"/>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Restoring Federal Balance</w:t>
      </w:r>
      <w:r w:rsidRPr="00DA7B03">
        <w:rPr>
          <w:rFonts w:ascii="Times New Roman" w:eastAsia="Times New Roman" w:hAnsi="Times New Roman" w:cs="Times New Roman"/>
          <w:sz w:val="24"/>
          <w:szCs w:val="24"/>
        </w:rPr>
        <w:t>: By limiting the Governor’s discretion, the Court has reaffirmed the principle of cooperative federalism.</w:t>
      </w:r>
    </w:p>
    <w:p w:rsidR="00DA7B03" w:rsidRPr="00DA7B03" w:rsidRDefault="00DA7B03" w:rsidP="000412CA">
      <w:pPr>
        <w:numPr>
          <w:ilvl w:val="0"/>
          <w:numId w:val="3"/>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Legislative Primacy</w:t>
      </w:r>
      <w:r w:rsidRPr="00DA7B03">
        <w:rPr>
          <w:rFonts w:ascii="Times New Roman" w:eastAsia="Times New Roman" w:hAnsi="Times New Roman" w:cs="Times New Roman"/>
          <w:sz w:val="24"/>
          <w:szCs w:val="24"/>
        </w:rPr>
        <w:t>: The ruling strengthens the role of elected assemblies and shields them from executive overreach.</w:t>
      </w:r>
    </w:p>
    <w:p w:rsidR="00DA7B03" w:rsidRPr="00DA7B03" w:rsidRDefault="00DA7B03" w:rsidP="000412CA">
      <w:pPr>
        <w:numPr>
          <w:ilvl w:val="0"/>
          <w:numId w:val="3"/>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Judicial Oversight</w:t>
      </w:r>
      <w:r w:rsidRPr="00DA7B03">
        <w:rPr>
          <w:rFonts w:ascii="Times New Roman" w:eastAsia="Times New Roman" w:hAnsi="Times New Roman" w:cs="Times New Roman"/>
          <w:sz w:val="24"/>
          <w:szCs w:val="24"/>
        </w:rPr>
        <w:t>: Courts now have greater leeway to intervene in cases of inaction by constitutional authorities.</w:t>
      </w:r>
    </w:p>
    <w:p w:rsidR="00DA7B03" w:rsidRDefault="00DA7B03" w:rsidP="000412CA">
      <w:pPr>
        <w:numPr>
          <w:ilvl w:val="0"/>
          <w:numId w:val="3"/>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b/>
          <w:bCs/>
          <w:sz w:val="24"/>
          <w:szCs w:val="24"/>
        </w:rPr>
        <w:t>Governor’s Accountability</w:t>
      </w:r>
      <w:r w:rsidRPr="00DA7B03">
        <w:rPr>
          <w:rFonts w:ascii="Times New Roman" w:eastAsia="Times New Roman" w:hAnsi="Times New Roman" w:cs="Times New Roman"/>
          <w:sz w:val="24"/>
          <w:szCs w:val="24"/>
        </w:rPr>
        <w:t>: The verdict implicitly calls for reconsideration of the appointment process and tenure of Governors, who are often viewed as political appointees.</w:t>
      </w:r>
    </w:p>
    <w:p w:rsidR="00AC78AB" w:rsidRDefault="00AC78AB" w:rsidP="00AC78AB">
      <w:pPr>
        <w:spacing w:before="100" w:beforeAutospacing="1" w:after="100" w:afterAutospacing="1" w:line="360" w:lineRule="auto"/>
        <w:ind w:left="36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[10]</w:t>
      </w:r>
      <w:r w:rsidRPr="00AC78AB">
        <w:rPr>
          <w:rFonts w:ascii="Times New Roman" w:eastAsia="Times New Roman" w:hAnsi="Times New Roman" w:cs="Times New Roman"/>
          <w:sz w:val="24"/>
          <w:szCs w:val="24"/>
        </w:rPr>
        <w:t xml:space="preserve"> </w:t>
      </w:r>
      <w:r w:rsidRPr="00DA7B03">
        <w:rPr>
          <w:rFonts w:ascii="Times New Roman" w:eastAsia="Times New Roman" w:hAnsi="Times New Roman" w:cs="Times New Roman"/>
          <w:sz w:val="24"/>
          <w:szCs w:val="24"/>
        </w:rPr>
        <w:t>SCC Online, "Explained: SC Decision on Tamil Nadu Governor and Article 200", Apr. 2025.</w:t>
      </w:r>
    </w:p>
    <w:p w:rsidR="00115FD9" w:rsidRPr="00115FD9" w:rsidRDefault="00115FD9" w:rsidP="00115FD9">
      <w:pPr>
        <w:pStyle w:val="NormalWeb"/>
        <w:spacing w:line="360" w:lineRule="auto"/>
      </w:pPr>
      <w:r w:rsidRPr="00115FD9">
        <w:rPr>
          <w:rStyle w:val="Strong"/>
        </w:rPr>
        <w:t>PRESIDENTIAL REFERENCE UNDER ARTICLE 143</w:t>
      </w:r>
    </w:p>
    <w:p w:rsidR="00115FD9" w:rsidRDefault="00115FD9" w:rsidP="00115FD9">
      <w:pPr>
        <w:pStyle w:val="NormalWeb"/>
        <w:spacing w:line="360" w:lineRule="auto"/>
      </w:pPr>
      <w:r>
        <w:t xml:space="preserve">Following the April 2025 judgment, the Union Government submitted a reference under </w:t>
      </w:r>
      <w:r>
        <w:rPr>
          <w:rStyle w:val="Strong"/>
        </w:rPr>
        <w:t>Article 143</w:t>
      </w:r>
      <w:r>
        <w:t xml:space="preserve"> of the Constitution seeking an </w:t>
      </w:r>
      <w:r>
        <w:rPr>
          <w:rStyle w:val="Strong"/>
        </w:rPr>
        <w:t>advisory opinion</w:t>
      </w:r>
      <w:r>
        <w:t xml:space="preserve"> from the Supreme Court. The reference raised three core issues:</w:t>
      </w:r>
    </w:p>
    <w:p w:rsidR="00115FD9" w:rsidRDefault="00115FD9" w:rsidP="00115FD9">
      <w:pPr>
        <w:pStyle w:val="NormalWeb"/>
        <w:numPr>
          <w:ilvl w:val="0"/>
          <w:numId w:val="10"/>
        </w:numPr>
        <w:spacing w:line="360" w:lineRule="auto"/>
      </w:pPr>
      <w:r>
        <w:rPr>
          <w:rStyle w:val="Strong"/>
        </w:rPr>
        <w:lastRenderedPageBreak/>
        <w:t>Legality of Court-Imposed Timelines</w:t>
      </w:r>
      <w:r>
        <w:t>: Can the Supreme Court prescribe specific timeframes for constitutional functionaries like the Governor when such timelines are not textually mentioned in the Constitution?</w:t>
      </w:r>
    </w:p>
    <w:p w:rsidR="00115FD9" w:rsidRDefault="00115FD9" w:rsidP="00115FD9">
      <w:pPr>
        <w:pStyle w:val="NormalWeb"/>
        <w:numPr>
          <w:ilvl w:val="0"/>
          <w:numId w:val="10"/>
        </w:numPr>
        <w:spacing w:line="360" w:lineRule="auto"/>
      </w:pPr>
      <w:r>
        <w:rPr>
          <w:rStyle w:val="Strong"/>
        </w:rPr>
        <w:t>Judicial Use of Article 142</w:t>
      </w:r>
      <w:r>
        <w:t>: Does invoking Article 142 to direct "deemed assent" encroach upon the legislative domain?</w:t>
      </w:r>
    </w:p>
    <w:p w:rsidR="00115FD9" w:rsidRDefault="00115FD9" w:rsidP="00115FD9">
      <w:pPr>
        <w:pStyle w:val="NormalWeb"/>
        <w:numPr>
          <w:ilvl w:val="0"/>
          <w:numId w:val="10"/>
        </w:numPr>
        <w:spacing w:line="360" w:lineRule="auto"/>
      </w:pPr>
      <w:r>
        <w:rPr>
          <w:rStyle w:val="Strong"/>
        </w:rPr>
        <w:t xml:space="preserve">Balance </w:t>
      </w:r>
      <w:proofErr w:type="gramStart"/>
      <w:r>
        <w:rPr>
          <w:rStyle w:val="Strong"/>
        </w:rPr>
        <w:t>Between</w:t>
      </w:r>
      <w:proofErr w:type="gramEnd"/>
      <w:r>
        <w:rPr>
          <w:rStyle w:val="Strong"/>
        </w:rPr>
        <w:t xml:space="preserve"> Judicial Directions and Executive Autonomy</w:t>
      </w:r>
      <w:r>
        <w:t>: Where should the line be drawn between legitimate constitutional interpretation and judicial legislation?</w:t>
      </w:r>
    </w:p>
    <w:p w:rsidR="00115FD9" w:rsidRDefault="00115FD9" w:rsidP="00115FD9">
      <w:pPr>
        <w:pStyle w:val="NormalWeb"/>
        <w:spacing w:line="360" w:lineRule="auto"/>
      </w:pPr>
      <w:r>
        <w:t xml:space="preserve">In response, the Court drew upon its earlier advisory opinions in </w:t>
      </w:r>
      <w:r>
        <w:rPr>
          <w:rStyle w:val="Emphasis"/>
        </w:rPr>
        <w:t>Re: Special Courts Bill, 1979</w:t>
      </w:r>
      <w:r>
        <w:t xml:space="preserve"> AIR 1979 SC 478 and </w:t>
      </w:r>
      <w:r>
        <w:rPr>
          <w:rStyle w:val="Emphasis"/>
        </w:rPr>
        <w:t xml:space="preserve">In Re: </w:t>
      </w:r>
      <w:proofErr w:type="spellStart"/>
      <w:r>
        <w:rPr>
          <w:rStyle w:val="Emphasis"/>
        </w:rPr>
        <w:t>Berubari</w:t>
      </w:r>
      <w:proofErr w:type="spellEnd"/>
      <w:r>
        <w:rPr>
          <w:rStyle w:val="Emphasis"/>
        </w:rPr>
        <w:t xml:space="preserve"> Union</w:t>
      </w:r>
      <w:r>
        <w:t>, AIR 1960 SC 845. It reaffirmed that Article 143 enables the President to seek clarification on substantial constitutional matters and that the Supreme Court’s advisory opinions—though not binding—carry persuasive constitutional authority.</w:t>
      </w:r>
    </w:p>
    <w:p w:rsidR="00115FD9" w:rsidRDefault="00115FD9" w:rsidP="00115FD9">
      <w:pPr>
        <w:pStyle w:val="NormalWeb"/>
        <w:spacing w:line="360" w:lineRule="auto"/>
      </w:pPr>
      <w:r>
        <w:t>The Court emphasized that while timelines are not explicitly embedded in Article 200, the absence of constraints should not enable institutional paralysis. Rather, timelines introduced by judicial interpretation help prevent abuse and uphold democratic accountability.</w:t>
      </w:r>
    </w:p>
    <w:p w:rsidR="00115FD9" w:rsidRDefault="00115FD9" w:rsidP="00115FD9">
      <w:pPr>
        <w:pStyle w:val="NormalWeb"/>
        <w:spacing w:line="360" w:lineRule="auto"/>
      </w:pPr>
      <w:r>
        <w:t>The Court also clarified that Article 142 serves as a constitutional safety valve, permitting it to evolve procedural mechanisms to ensure substantive justice. As such, the doctrine of "deemed assent" was justified as a proportionate response to unconstitutional delay.</w:t>
      </w:r>
    </w:p>
    <w:p w:rsidR="00115FD9" w:rsidRDefault="00115FD9" w:rsidP="00115FD9">
      <w:pPr>
        <w:pStyle w:val="NormalWeb"/>
        <w:spacing w:line="360" w:lineRule="auto"/>
      </w:pPr>
      <w:r>
        <w:t>By navigating the reference with doctrinal sensitivity, the Court reinforced its interpretive authority while assuring the executive that its autonomy would not be diluted without compelling constitutional necessity.</w:t>
      </w:r>
    </w:p>
    <w:p w:rsidR="00AC78AB" w:rsidRDefault="00AC78AB" w:rsidP="00AC78AB">
      <w:pPr>
        <w:pStyle w:val="NormalWeb"/>
        <w:spacing w:line="360" w:lineRule="auto"/>
      </w:pPr>
      <w:r>
        <w:t>[19]</w:t>
      </w:r>
      <w:r w:rsidRPr="00AC78AB">
        <w:t xml:space="preserve"> </w:t>
      </w:r>
      <w:r>
        <w:t xml:space="preserve">H.M. </w:t>
      </w:r>
      <w:proofErr w:type="spellStart"/>
      <w:r>
        <w:t>Seervai</w:t>
      </w:r>
      <w:proofErr w:type="spellEnd"/>
      <w:r>
        <w:t xml:space="preserve">, </w:t>
      </w:r>
      <w:r>
        <w:rPr>
          <w:rStyle w:val="Emphasis"/>
        </w:rPr>
        <w:t>Constitutional Law of India</w:t>
      </w:r>
      <w:r>
        <w:t xml:space="preserve">, 4th </w:t>
      </w:r>
      <w:proofErr w:type="spellStart"/>
      <w:proofErr w:type="gramStart"/>
      <w:r>
        <w:t>edn</w:t>
      </w:r>
      <w:proofErr w:type="spellEnd"/>
      <w:r>
        <w:t>.,</w:t>
      </w:r>
      <w:proofErr w:type="gramEnd"/>
      <w:r>
        <w:t xml:space="preserve"> Vol. II, Universal Law Publishing</w:t>
      </w:r>
    </w:p>
    <w:p w:rsidR="00DA7B03" w:rsidRPr="00115FD9" w:rsidRDefault="00DA7B03" w:rsidP="000412CA">
      <w:pPr>
        <w:spacing w:before="100" w:beforeAutospacing="1" w:after="100" w:afterAutospacing="1" w:line="360" w:lineRule="auto"/>
        <w:rPr>
          <w:rFonts w:ascii="Times New Roman" w:eastAsia="Times New Roman" w:hAnsi="Times New Roman" w:cs="Times New Roman"/>
          <w:b/>
          <w:sz w:val="24"/>
          <w:szCs w:val="24"/>
        </w:rPr>
      </w:pPr>
      <w:r w:rsidRPr="00115FD9">
        <w:rPr>
          <w:rFonts w:ascii="Times New Roman" w:eastAsia="Times New Roman" w:hAnsi="Times New Roman" w:cs="Times New Roman"/>
          <w:b/>
          <w:sz w:val="24"/>
          <w:szCs w:val="24"/>
        </w:rPr>
        <w:t>DEBATE AND CRITICISM</w:t>
      </w:r>
    </w:p>
    <w:p w:rsidR="00DA7B03" w:rsidRP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While the judgment has been widely hailed as progressive, it has also sparked political and legal debates:</w:t>
      </w:r>
    </w:p>
    <w:p w:rsidR="00DA7B03" w:rsidRPr="00DA7B03" w:rsidRDefault="00DA7B03" w:rsidP="000412CA">
      <w:pPr>
        <w:numPr>
          <w:ilvl w:val="0"/>
          <w:numId w:val="4"/>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lastRenderedPageBreak/>
        <w:t>The Union Government and several legal scholars argue that the judiciary has overstepped by prescribing timelines not explicitly mentioned in the Constitution.</w:t>
      </w:r>
    </w:p>
    <w:p w:rsidR="00DA7B03" w:rsidRPr="00DA7B03" w:rsidRDefault="00DA7B03" w:rsidP="000412CA">
      <w:pPr>
        <w:numPr>
          <w:ilvl w:val="0"/>
          <w:numId w:val="4"/>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The Presidential reference under Article 143 is viewed as a pushback, raising concerns over separation of powers.</w:t>
      </w:r>
    </w:p>
    <w:p w:rsidR="00DA7B03" w:rsidRPr="00DA7B03" w:rsidRDefault="00DA7B03" w:rsidP="000412CA">
      <w:pPr>
        <w:numPr>
          <w:ilvl w:val="0"/>
          <w:numId w:val="4"/>
        </w:num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Some commentators warn of judicial encroachment into the domain of constitutional conventions.</w:t>
      </w:r>
    </w:p>
    <w:p w:rsid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Nevertheless, the ruling is seen as a much-needed check on potential abuse of gubernatorial power and aligns with the spirit of responsible government.</w:t>
      </w:r>
    </w:p>
    <w:p w:rsidR="00AC78AB" w:rsidRDefault="00AC78AB" w:rsidP="000412CA">
      <w:pPr>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Pr="00AC78AB">
        <w:rPr>
          <w:rFonts w:ascii="Times New Roman" w:eastAsia="Times New Roman" w:hAnsi="Times New Roman" w:cs="Times New Roman"/>
          <w:sz w:val="24"/>
          <w:szCs w:val="24"/>
        </w:rPr>
        <w:t xml:space="preserve"> </w:t>
      </w:r>
      <w:proofErr w:type="spellStart"/>
      <w:r w:rsidRPr="00DA7B03">
        <w:rPr>
          <w:rFonts w:ascii="Times New Roman" w:eastAsia="Times New Roman" w:hAnsi="Times New Roman" w:cs="Times New Roman"/>
          <w:sz w:val="24"/>
          <w:szCs w:val="24"/>
        </w:rPr>
        <w:t>ICONnect</w:t>
      </w:r>
      <w:proofErr w:type="spellEnd"/>
      <w:r w:rsidRPr="00DA7B03">
        <w:rPr>
          <w:rFonts w:ascii="Times New Roman" w:eastAsia="Times New Roman" w:hAnsi="Times New Roman" w:cs="Times New Roman"/>
          <w:sz w:val="24"/>
          <w:szCs w:val="24"/>
        </w:rPr>
        <w:t xml:space="preserve"> Blog, "Clarifying Gubernatorial Powers in the Legislative Process", Apr. 2025.</w:t>
      </w:r>
    </w:p>
    <w:p w:rsidR="00E7048F" w:rsidRPr="00115FD9" w:rsidRDefault="00E7048F" w:rsidP="00E7048F">
      <w:pPr>
        <w:spacing w:before="100" w:beforeAutospacing="1" w:after="100" w:afterAutospacing="1" w:line="360" w:lineRule="auto"/>
        <w:rPr>
          <w:rFonts w:ascii="Times New Roman" w:eastAsia="Times New Roman" w:hAnsi="Times New Roman" w:cs="Times New Roman"/>
          <w:b/>
          <w:sz w:val="24"/>
          <w:szCs w:val="24"/>
        </w:rPr>
      </w:pPr>
      <w:r w:rsidRPr="00115FD9">
        <w:rPr>
          <w:rFonts w:ascii="Times New Roman" w:eastAsia="Times New Roman" w:hAnsi="Times New Roman" w:cs="Times New Roman"/>
          <w:b/>
          <w:sz w:val="24"/>
          <w:szCs w:val="24"/>
        </w:rPr>
        <w:t>COMPARATIVE PERSPECTIVES</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 xml:space="preserve">The role of Governors in India is often compared with similar positions in other parliamentary </w:t>
      </w:r>
      <w:proofErr w:type="gramStart"/>
      <w:r w:rsidRPr="00E7048F">
        <w:rPr>
          <w:rFonts w:ascii="Times New Roman" w:eastAsia="Times New Roman" w:hAnsi="Times New Roman" w:cs="Times New Roman"/>
          <w:sz w:val="24"/>
          <w:szCs w:val="24"/>
        </w:rPr>
        <w:t>democracies</w:t>
      </w:r>
      <w:proofErr w:type="gramEnd"/>
      <w:r w:rsidRPr="00E7048F">
        <w:rPr>
          <w:rFonts w:ascii="Times New Roman" w:eastAsia="Times New Roman" w:hAnsi="Times New Roman" w:cs="Times New Roman"/>
          <w:sz w:val="24"/>
          <w:szCs w:val="24"/>
        </w:rPr>
        <w:t>:</w:t>
      </w:r>
    </w:p>
    <w:p w:rsidR="00115FD9"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 xml:space="preserve">In Australia and Canada, the Governor-General or Lieutenant Governors act </w:t>
      </w:r>
      <w:r>
        <w:rPr>
          <w:rFonts w:ascii="Times New Roman" w:eastAsia="Times New Roman" w:hAnsi="Times New Roman" w:cs="Times New Roman"/>
          <w:sz w:val="24"/>
          <w:szCs w:val="24"/>
        </w:rPr>
        <w:t>strictly on ministerial advice.</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UK constitutional conventions leave no room for discretionary delay.</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 xml:space="preserve">India’s model, though quasi-federal, is expected to align with the principle of responsible government. The judgment moves Indian constitutional practice closer </w:t>
      </w:r>
      <w:r>
        <w:rPr>
          <w:rFonts w:ascii="Times New Roman" w:eastAsia="Times New Roman" w:hAnsi="Times New Roman" w:cs="Times New Roman"/>
          <w:sz w:val="24"/>
          <w:szCs w:val="24"/>
        </w:rPr>
        <w:t>to global democratic standards.</w:t>
      </w:r>
    </w:p>
    <w:p w:rsidR="00E7048F" w:rsidRPr="00115FD9" w:rsidRDefault="00E7048F" w:rsidP="00E7048F">
      <w:pPr>
        <w:spacing w:before="100" w:beforeAutospacing="1" w:after="100" w:afterAutospacing="1" w:line="360" w:lineRule="auto"/>
        <w:rPr>
          <w:rFonts w:ascii="Times New Roman" w:eastAsia="Times New Roman" w:hAnsi="Times New Roman" w:cs="Times New Roman"/>
          <w:b/>
          <w:sz w:val="24"/>
          <w:szCs w:val="24"/>
        </w:rPr>
      </w:pPr>
      <w:r w:rsidRPr="00115FD9">
        <w:rPr>
          <w:rFonts w:ascii="Times New Roman" w:eastAsia="Times New Roman" w:hAnsi="Times New Roman" w:cs="Times New Roman"/>
          <w:b/>
          <w:sz w:val="24"/>
          <w:szCs w:val="24"/>
        </w:rPr>
        <w:t>JUDICIAL EVOLUTION OF GUBERNATORIAL DISCRETION</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 xml:space="preserve">Historically, the Indian judiciary has taken a cautious approach in defining the discretionary powers of Governors. In </w:t>
      </w:r>
      <w:proofErr w:type="spellStart"/>
      <w:r w:rsidRPr="00E7048F">
        <w:rPr>
          <w:rFonts w:ascii="Times New Roman" w:eastAsia="Times New Roman" w:hAnsi="Times New Roman" w:cs="Times New Roman"/>
          <w:sz w:val="24"/>
          <w:szCs w:val="24"/>
        </w:rPr>
        <w:t>Samsher</w:t>
      </w:r>
      <w:proofErr w:type="spellEnd"/>
      <w:r w:rsidRPr="00E7048F">
        <w:rPr>
          <w:rFonts w:ascii="Times New Roman" w:eastAsia="Times New Roman" w:hAnsi="Times New Roman" w:cs="Times New Roman"/>
          <w:sz w:val="24"/>
          <w:szCs w:val="24"/>
        </w:rPr>
        <w:t xml:space="preserve"> Singh v. State of Punjab (1974), the Supreme Court emphasized that the Governor must act on the aid and advice of the Council of Ministers, barring exceptional circumstances. Similarly, in </w:t>
      </w:r>
      <w:proofErr w:type="spellStart"/>
      <w:r w:rsidRPr="00E7048F">
        <w:rPr>
          <w:rFonts w:ascii="Times New Roman" w:eastAsia="Times New Roman" w:hAnsi="Times New Roman" w:cs="Times New Roman"/>
          <w:sz w:val="24"/>
          <w:szCs w:val="24"/>
        </w:rPr>
        <w:t>Nabam</w:t>
      </w:r>
      <w:proofErr w:type="spellEnd"/>
      <w:r w:rsidRPr="00E7048F">
        <w:rPr>
          <w:rFonts w:ascii="Times New Roman" w:eastAsia="Times New Roman" w:hAnsi="Times New Roman" w:cs="Times New Roman"/>
          <w:sz w:val="24"/>
          <w:szCs w:val="24"/>
        </w:rPr>
        <w:t xml:space="preserve"> </w:t>
      </w:r>
      <w:proofErr w:type="spellStart"/>
      <w:r w:rsidRPr="00E7048F">
        <w:rPr>
          <w:rFonts w:ascii="Times New Roman" w:eastAsia="Times New Roman" w:hAnsi="Times New Roman" w:cs="Times New Roman"/>
          <w:sz w:val="24"/>
          <w:szCs w:val="24"/>
        </w:rPr>
        <w:t>Rebia</w:t>
      </w:r>
      <w:proofErr w:type="spellEnd"/>
      <w:r w:rsidRPr="00E7048F">
        <w:rPr>
          <w:rFonts w:ascii="Times New Roman" w:eastAsia="Times New Roman" w:hAnsi="Times New Roman" w:cs="Times New Roman"/>
          <w:sz w:val="24"/>
          <w:szCs w:val="24"/>
        </w:rPr>
        <w:t xml:space="preserve"> v. Deputy Speaker (2016), the Court underscored that discretion c</w:t>
      </w:r>
      <w:r>
        <w:rPr>
          <w:rFonts w:ascii="Times New Roman" w:eastAsia="Times New Roman" w:hAnsi="Times New Roman" w:cs="Times New Roman"/>
          <w:sz w:val="24"/>
          <w:szCs w:val="24"/>
        </w:rPr>
        <w:t>annot be exercised arbitrarily.</w:t>
      </w:r>
    </w:p>
    <w:p w:rsid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lastRenderedPageBreak/>
        <w:t>The 2025 verdict builds upon these precedents by reinforcing the principle that discretion must be constitutionally limited and exercised in good faith. It further clarifies that constitutional silence cannot be misused as a license for inaction.</w:t>
      </w:r>
    </w:p>
    <w:p w:rsidR="00211612" w:rsidRPr="00115FD9" w:rsidRDefault="00211612" w:rsidP="00211612">
      <w:pPr>
        <w:rPr>
          <w:rFonts w:ascii="Times New Roman" w:hAnsi="Times New Roman" w:cs="Times New Roman"/>
          <w:b/>
          <w:sz w:val="24"/>
          <w:szCs w:val="24"/>
        </w:rPr>
      </w:pPr>
      <w:r w:rsidRPr="00115FD9">
        <w:rPr>
          <w:rFonts w:ascii="Times New Roman" w:hAnsi="Times New Roman" w:cs="Times New Roman"/>
          <w:b/>
          <w:sz w:val="24"/>
          <w:szCs w:val="24"/>
        </w:rPr>
        <w:t>EXPERT OPINIONS AND COMMENTARIES</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Prominent constitutional experts h</w:t>
      </w:r>
      <w:r>
        <w:rPr>
          <w:rFonts w:ascii="Times New Roman" w:eastAsia="Times New Roman" w:hAnsi="Times New Roman" w:cs="Times New Roman"/>
          <w:sz w:val="24"/>
          <w:szCs w:val="24"/>
        </w:rPr>
        <w:t>ave weighed in on the decision:</w:t>
      </w:r>
    </w:p>
    <w:p w:rsid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proofErr w:type="spellStart"/>
      <w:r w:rsidRPr="00E7048F">
        <w:rPr>
          <w:rFonts w:ascii="Times New Roman" w:eastAsia="Times New Roman" w:hAnsi="Times New Roman" w:cs="Times New Roman"/>
          <w:b/>
          <w:sz w:val="24"/>
          <w:szCs w:val="24"/>
        </w:rPr>
        <w:t>Faizan</w:t>
      </w:r>
      <w:proofErr w:type="spellEnd"/>
      <w:r w:rsidRPr="00E7048F">
        <w:rPr>
          <w:rFonts w:ascii="Times New Roman" w:eastAsia="Times New Roman" w:hAnsi="Times New Roman" w:cs="Times New Roman"/>
          <w:b/>
          <w:sz w:val="24"/>
          <w:szCs w:val="24"/>
        </w:rPr>
        <w:t xml:space="preserve"> Mustafa</w:t>
      </w:r>
      <w:r w:rsidRPr="00E7048F">
        <w:rPr>
          <w:rFonts w:ascii="Times New Roman" w:eastAsia="Times New Roman" w:hAnsi="Times New Roman" w:cs="Times New Roman"/>
          <w:sz w:val="24"/>
          <w:szCs w:val="24"/>
        </w:rPr>
        <w:t xml:space="preserve"> remarked that the decision realigns gubernatorial roles with constitutional </w:t>
      </w:r>
      <w:proofErr w:type="spellStart"/>
      <w:r w:rsidRPr="00E7048F">
        <w:rPr>
          <w:rFonts w:ascii="Times New Roman" w:eastAsia="Times New Roman" w:hAnsi="Times New Roman" w:cs="Times New Roman"/>
          <w:sz w:val="24"/>
          <w:szCs w:val="24"/>
        </w:rPr>
        <w:t>morality.</w:t>
      </w:r>
      <w:proofErr w:type="spellEnd"/>
    </w:p>
    <w:p w:rsid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proofErr w:type="spellStart"/>
      <w:r w:rsidRPr="00E7048F">
        <w:rPr>
          <w:rFonts w:ascii="Times New Roman" w:eastAsia="Times New Roman" w:hAnsi="Times New Roman" w:cs="Times New Roman"/>
          <w:b/>
          <w:sz w:val="24"/>
          <w:szCs w:val="24"/>
        </w:rPr>
        <w:t>Gautam</w:t>
      </w:r>
      <w:proofErr w:type="spellEnd"/>
      <w:r w:rsidRPr="00E7048F">
        <w:rPr>
          <w:rFonts w:ascii="Times New Roman" w:eastAsia="Times New Roman" w:hAnsi="Times New Roman" w:cs="Times New Roman"/>
          <w:b/>
          <w:sz w:val="24"/>
          <w:szCs w:val="24"/>
        </w:rPr>
        <w:t xml:space="preserve"> Bhatia</w:t>
      </w:r>
      <w:r w:rsidRPr="00E7048F">
        <w:rPr>
          <w:rFonts w:ascii="Times New Roman" w:eastAsia="Times New Roman" w:hAnsi="Times New Roman" w:cs="Times New Roman"/>
          <w:sz w:val="24"/>
          <w:szCs w:val="24"/>
        </w:rPr>
        <w:t xml:space="preserve"> argued that the judgment marks a new phase in </w:t>
      </w:r>
      <w:proofErr w:type="spellStart"/>
      <w:r w:rsidRPr="00E7048F">
        <w:rPr>
          <w:rFonts w:ascii="Times New Roman" w:eastAsia="Times New Roman" w:hAnsi="Times New Roman" w:cs="Times New Roman"/>
          <w:sz w:val="24"/>
          <w:szCs w:val="24"/>
        </w:rPr>
        <w:t>justiciability</w:t>
      </w:r>
      <w:proofErr w:type="spellEnd"/>
      <w:r>
        <w:rPr>
          <w:rFonts w:ascii="Times New Roman" w:eastAsia="Times New Roman" w:hAnsi="Times New Roman" w:cs="Times New Roman"/>
          <w:sz w:val="24"/>
          <w:szCs w:val="24"/>
        </w:rPr>
        <w:t xml:space="preserve"> of constitutional conventions.</w:t>
      </w:r>
    </w:p>
    <w:p w:rsidR="00211612" w:rsidRDefault="00E7048F" w:rsidP="00211612">
      <w:pPr>
        <w:pStyle w:val="NormalWeb"/>
      </w:pPr>
      <w:proofErr w:type="spellStart"/>
      <w:r>
        <w:rPr>
          <w:rStyle w:val="Strong"/>
        </w:rPr>
        <w:t>Arghya</w:t>
      </w:r>
      <w:proofErr w:type="spellEnd"/>
      <w:r>
        <w:rPr>
          <w:rStyle w:val="Strong"/>
        </w:rPr>
        <w:t xml:space="preserve"> </w:t>
      </w:r>
      <w:proofErr w:type="spellStart"/>
      <w:r>
        <w:rPr>
          <w:rStyle w:val="Strong"/>
        </w:rPr>
        <w:t>Sengupta</w:t>
      </w:r>
      <w:proofErr w:type="spellEnd"/>
      <w:r>
        <w:t xml:space="preserve">: Raised concerns of </w:t>
      </w:r>
      <w:r>
        <w:rPr>
          <w:rStyle w:val="Strong"/>
        </w:rPr>
        <w:t>judicial overreach</w:t>
      </w:r>
      <w:r>
        <w:t>, cautioning against weakening executive discretion in complex policy matters.</w:t>
      </w:r>
    </w:p>
    <w:p w:rsidR="00E7048F" w:rsidRDefault="00E7048F" w:rsidP="00115FD9">
      <w:pPr>
        <w:pStyle w:val="NormalWeb"/>
      </w:pPr>
      <w:r w:rsidRPr="00E7048F">
        <w:t>Editorials in The Hindu and Indian Express emphasized that the judgment strengthens democratic processes by limiting unelected authorities.</w:t>
      </w:r>
    </w:p>
    <w:p w:rsidR="006A4BAA" w:rsidRPr="00E7048F" w:rsidRDefault="006A4BAA" w:rsidP="006A4BAA">
      <w:pPr>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roofErr w:type="spellStart"/>
      <w:r w:rsidRPr="00E7048F">
        <w:rPr>
          <w:rFonts w:ascii="Times New Roman" w:eastAsia="Times New Roman" w:hAnsi="Times New Roman" w:cs="Times New Roman"/>
          <w:sz w:val="24"/>
          <w:szCs w:val="24"/>
        </w:rPr>
        <w:t>Faizan</w:t>
      </w:r>
      <w:proofErr w:type="spellEnd"/>
      <w:r w:rsidRPr="00E7048F">
        <w:rPr>
          <w:rFonts w:ascii="Times New Roman" w:eastAsia="Times New Roman" w:hAnsi="Times New Roman" w:cs="Times New Roman"/>
          <w:sz w:val="24"/>
          <w:szCs w:val="24"/>
        </w:rPr>
        <w:t xml:space="preserve"> Mustafa, “Constitutional Morality and Executive Accountability,” Seminar Magazine, May 2025.</w:t>
      </w:r>
    </w:p>
    <w:p w:rsidR="006A4BAA" w:rsidRDefault="006A4BAA" w:rsidP="006A4BAA">
      <w:pPr>
        <w:spacing w:before="100" w:beforeAutospacing="1" w:after="100" w:afterAutospacing="1"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roofErr w:type="spellStart"/>
      <w:r w:rsidRPr="00E7048F">
        <w:rPr>
          <w:rFonts w:ascii="Times New Roman" w:eastAsia="Times New Roman" w:hAnsi="Times New Roman" w:cs="Times New Roman"/>
          <w:sz w:val="24"/>
          <w:szCs w:val="24"/>
        </w:rPr>
        <w:t>Gautam</w:t>
      </w:r>
      <w:proofErr w:type="spellEnd"/>
      <w:r w:rsidRPr="00E7048F">
        <w:rPr>
          <w:rFonts w:ascii="Times New Roman" w:eastAsia="Times New Roman" w:hAnsi="Times New Roman" w:cs="Times New Roman"/>
          <w:sz w:val="24"/>
          <w:szCs w:val="24"/>
        </w:rPr>
        <w:t xml:space="preserve"> Bhatia, “Judicial Enforcement of Constitutional Conventions in India,” Indian Law Review, May 2025.</w:t>
      </w:r>
    </w:p>
    <w:p w:rsidR="006A4BAA" w:rsidRDefault="006A4BAA" w:rsidP="00115FD9">
      <w:pPr>
        <w:pStyle w:val="NormalWeb"/>
      </w:pPr>
      <w:r>
        <w:t>[15]</w:t>
      </w:r>
      <w:proofErr w:type="spellStart"/>
      <w:r>
        <w:t>Arghya</w:t>
      </w:r>
      <w:proofErr w:type="spellEnd"/>
      <w:r>
        <w:t xml:space="preserve"> </w:t>
      </w:r>
      <w:proofErr w:type="spellStart"/>
      <w:r>
        <w:t>Sengupta</w:t>
      </w:r>
      <w:proofErr w:type="spellEnd"/>
      <w:r>
        <w:t xml:space="preserve">, “Governor’s Assent and the Need for Checks,” </w:t>
      </w:r>
      <w:r>
        <w:rPr>
          <w:rStyle w:val="Emphasis"/>
        </w:rPr>
        <w:t>Indian Express</w:t>
      </w:r>
      <w:r>
        <w:t>, 12 Apr. 2025.</w:t>
      </w:r>
    </w:p>
    <w:p w:rsidR="00E7048F" w:rsidRPr="00115FD9" w:rsidRDefault="00E7048F" w:rsidP="00E7048F">
      <w:pPr>
        <w:spacing w:before="100" w:beforeAutospacing="1" w:after="100" w:afterAutospacing="1" w:line="360" w:lineRule="auto"/>
        <w:rPr>
          <w:rFonts w:ascii="Times New Roman" w:eastAsia="Times New Roman" w:hAnsi="Times New Roman" w:cs="Times New Roman"/>
          <w:b/>
          <w:sz w:val="24"/>
          <w:szCs w:val="24"/>
        </w:rPr>
      </w:pPr>
      <w:r w:rsidRPr="00115FD9">
        <w:rPr>
          <w:rFonts w:ascii="Times New Roman" w:eastAsia="Times New Roman" w:hAnsi="Times New Roman" w:cs="Times New Roman"/>
          <w:b/>
          <w:sz w:val="24"/>
          <w:szCs w:val="24"/>
        </w:rPr>
        <w:t>RECOMMENDATIONS</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Codify Conventions: Parliament should enact legislation clearly defining the timelines for assent.</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Reform Appointment Process: Introduce checks to depolitic</w:t>
      </w:r>
      <w:r>
        <w:rPr>
          <w:rFonts w:ascii="Times New Roman" w:eastAsia="Times New Roman" w:hAnsi="Times New Roman" w:cs="Times New Roman"/>
          <w:sz w:val="24"/>
          <w:szCs w:val="24"/>
        </w:rPr>
        <w:t>ize the office of the Governor.</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Judicial Restraint and Precision: Courts must ensure that such guidelines are enforceable but not overly prescriptive.</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lastRenderedPageBreak/>
        <w:t>Periodic Review: The Centre and States should set up constitutional review commissions to ensure smooth funct</w:t>
      </w:r>
      <w:r>
        <w:rPr>
          <w:rFonts w:ascii="Times New Roman" w:eastAsia="Times New Roman" w:hAnsi="Times New Roman" w:cs="Times New Roman"/>
          <w:sz w:val="24"/>
          <w:szCs w:val="24"/>
        </w:rPr>
        <w:t>ioning of federal institutions.</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Enhancing Civic Awareness: The electorate should be made aware of the constitutional role of Governors to foster informed democratic dialogue.</w:t>
      </w:r>
    </w:p>
    <w:p w:rsidR="00E7048F" w:rsidRPr="00E7048F" w:rsidRDefault="00E7048F" w:rsidP="00E7048F">
      <w:pPr>
        <w:spacing w:before="100" w:beforeAutospacing="1" w:after="100" w:afterAutospacing="1" w:line="360" w:lineRule="auto"/>
        <w:rPr>
          <w:rFonts w:ascii="Times New Roman" w:eastAsia="Times New Roman" w:hAnsi="Times New Roman" w:cs="Times New Roman"/>
          <w:sz w:val="24"/>
          <w:szCs w:val="24"/>
        </w:rPr>
      </w:pPr>
      <w:r w:rsidRPr="00E7048F">
        <w:rPr>
          <w:rFonts w:ascii="Times New Roman" w:eastAsia="Times New Roman" w:hAnsi="Times New Roman" w:cs="Times New Roman"/>
          <w:sz w:val="24"/>
          <w:szCs w:val="24"/>
        </w:rPr>
        <w:t>Institutional Training: Orientation for newly appointed Governors on constitutional ethics and bounda</w:t>
      </w:r>
      <w:r>
        <w:rPr>
          <w:rFonts w:ascii="Times New Roman" w:eastAsia="Times New Roman" w:hAnsi="Times New Roman" w:cs="Times New Roman"/>
          <w:sz w:val="24"/>
          <w:szCs w:val="24"/>
        </w:rPr>
        <w:t>ries could enhance cooperation.</w:t>
      </w:r>
    </w:p>
    <w:p w:rsidR="00E7048F" w:rsidRPr="00DA7B03" w:rsidRDefault="00E7048F" w:rsidP="00E7048F">
      <w:pPr>
        <w:spacing w:before="100" w:beforeAutospacing="1" w:after="100" w:afterAutospacing="1" w:line="360" w:lineRule="auto"/>
        <w:rPr>
          <w:rFonts w:ascii="Times New Roman" w:eastAsia="Times New Roman" w:hAnsi="Times New Roman" w:cs="Times New Roman"/>
          <w:sz w:val="24"/>
          <w:szCs w:val="24"/>
        </w:rPr>
      </w:pPr>
      <w:proofErr w:type="gramStart"/>
      <w:r w:rsidRPr="00E7048F">
        <w:rPr>
          <w:rFonts w:ascii="Times New Roman" w:eastAsia="Times New Roman" w:hAnsi="Times New Roman" w:cs="Times New Roman"/>
          <w:sz w:val="24"/>
          <w:szCs w:val="24"/>
        </w:rPr>
        <w:t xml:space="preserve">Strengthening Legislative Mechanisms: State legislatures could establish committees to track delays in assent and seek </w:t>
      </w:r>
      <w:proofErr w:type="spellStart"/>
      <w:r w:rsidRPr="00E7048F">
        <w:rPr>
          <w:rFonts w:ascii="Times New Roman" w:eastAsia="Times New Roman" w:hAnsi="Times New Roman" w:cs="Times New Roman"/>
          <w:sz w:val="24"/>
          <w:szCs w:val="24"/>
        </w:rPr>
        <w:t>redressal</w:t>
      </w:r>
      <w:proofErr w:type="spellEnd"/>
      <w:r w:rsidRPr="00E7048F">
        <w:rPr>
          <w:rFonts w:ascii="Times New Roman" w:eastAsia="Times New Roman" w:hAnsi="Times New Roman" w:cs="Times New Roman"/>
          <w:sz w:val="24"/>
          <w:szCs w:val="24"/>
        </w:rPr>
        <w:t>.</w:t>
      </w:r>
      <w:proofErr w:type="gramEnd"/>
    </w:p>
    <w:p w:rsidR="00DA7B03" w:rsidRPr="00115FD9" w:rsidRDefault="00DA7B03" w:rsidP="000412CA">
      <w:pPr>
        <w:spacing w:before="100" w:beforeAutospacing="1" w:after="100" w:afterAutospacing="1" w:line="360" w:lineRule="auto"/>
        <w:rPr>
          <w:rFonts w:ascii="Times New Roman" w:eastAsia="Times New Roman" w:hAnsi="Times New Roman" w:cs="Times New Roman"/>
          <w:b/>
          <w:sz w:val="24"/>
          <w:szCs w:val="24"/>
        </w:rPr>
      </w:pPr>
      <w:r w:rsidRPr="00115FD9">
        <w:rPr>
          <w:rFonts w:ascii="Times New Roman" w:eastAsia="Times New Roman" w:hAnsi="Times New Roman" w:cs="Times New Roman"/>
          <w:b/>
          <w:sz w:val="24"/>
          <w:szCs w:val="24"/>
        </w:rPr>
        <w:t>CONCLUSION</w:t>
      </w:r>
    </w:p>
    <w:p w:rsidR="00DA7B03" w:rsidRP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i/>
          <w:iCs/>
          <w:sz w:val="24"/>
          <w:szCs w:val="24"/>
        </w:rPr>
        <w:t>State of Tamil Nadu v. Governor of Tamil Nadu</w:t>
      </w:r>
      <w:r w:rsidR="00B81811">
        <w:rPr>
          <w:rFonts w:ascii="Times New Roman" w:eastAsia="Times New Roman" w:hAnsi="Times New Roman" w:cs="Times New Roman"/>
          <w:sz w:val="24"/>
          <w:szCs w:val="24"/>
        </w:rPr>
        <w:t xml:space="preserve">, </w:t>
      </w:r>
      <w:proofErr w:type="gramStart"/>
      <w:r w:rsidR="00B81811">
        <w:rPr>
          <w:rFonts w:ascii="Times New Roman" w:eastAsia="Times New Roman" w:hAnsi="Times New Roman" w:cs="Times New Roman"/>
          <w:sz w:val="24"/>
          <w:szCs w:val="24"/>
        </w:rPr>
        <w:t xml:space="preserve">2025 </w:t>
      </w:r>
      <w:r w:rsidRPr="00DA7B03">
        <w:rPr>
          <w:rFonts w:ascii="Times New Roman" w:eastAsia="Times New Roman" w:hAnsi="Times New Roman" w:cs="Times New Roman"/>
          <w:sz w:val="24"/>
          <w:szCs w:val="24"/>
        </w:rPr>
        <w:t xml:space="preserve"> is</w:t>
      </w:r>
      <w:proofErr w:type="gramEnd"/>
      <w:r w:rsidRPr="00DA7B03">
        <w:rPr>
          <w:rFonts w:ascii="Times New Roman" w:eastAsia="Times New Roman" w:hAnsi="Times New Roman" w:cs="Times New Roman"/>
          <w:sz w:val="24"/>
          <w:szCs w:val="24"/>
        </w:rPr>
        <w:t xml:space="preserve"> a constitutional milestone that recalibrates the relationship between the Governor, State legislature, and the President. It underscores the necessity of time-bound governance, transparency, and adherence to constitutional conventions. While debates will continue, the judgment is likely to shape the future conduct of Governors and reinforce democratic accountability at the state level.</w:t>
      </w:r>
    </w:p>
    <w:p w:rsidR="00DA7B03" w:rsidRPr="00DA7B03" w:rsidRDefault="00DA7B03" w:rsidP="000412CA">
      <w:pPr>
        <w:spacing w:before="100" w:beforeAutospacing="1" w:after="100" w:afterAutospacing="1" w:line="360" w:lineRule="auto"/>
        <w:rPr>
          <w:rFonts w:ascii="Times New Roman" w:eastAsia="Times New Roman" w:hAnsi="Times New Roman" w:cs="Times New Roman"/>
          <w:sz w:val="24"/>
          <w:szCs w:val="24"/>
        </w:rPr>
      </w:pPr>
      <w:r w:rsidRPr="00DA7B03">
        <w:rPr>
          <w:rFonts w:ascii="Times New Roman" w:eastAsia="Times New Roman" w:hAnsi="Times New Roman" w:cs="Times New Roman"/>
          <w:sz w:val="24"/>
          <w:szCs w:val="24"/>
        </w:rPr>
        <w:t>This decision also opens the door for broader institutional reforms, including codification of conventions governing the Governor’s role and possibly reconsideration of the Centre-State dynamics that define India's quasi-federal structure.</w:t>
      </w:r>
    </w:p>
    <w:p w:rsidR="00DA7B03" w:rsidRPr="00DA7B03" w:rsidRDefault="005D0242" w:rsidP="000412CA">
      <w:pPr>
        <w:spacing w:after="0" w:line="360" w:lineRule="auto"/>
        <w:rPr>
          <w:rFonts w:ascii="Times New Roman" w:eastAsia="Times New Roman" w:hAnsi="Times New Roman" w:cs="Times New Roman"/>
          <w:sz w:val="24"/>
          <w:szCs w:val="24"/>
        </w:rPr>
      </w:pPr>
      <w:r w:rsidRPr="005D0242">
        <w:rPr>
          <w:rFonts w:ascii="Times New Roman" w:eastAsia="Times New Roman" w:hAnsi="Times New Roman" w:cs="Times New Roman"/>
          <w:sz w:val="24"/>
          <w:szCs w:val="24"/>
        </w:rPr>
        <w:pict>
          <v:rect id="_x0000_i1025" style="width:0;height:1.5pt" o:hralign="center" o:hrstd="t" o:hr="t" fillcolor="#a0a0a0" stroked="f"/>
        </w:pict>
      </w:r>
    </w:p>
    <w:p w:rsidR="00DA7B03" w:rsidRPr="00FE2499" w:rsidRDefault="00DA7B03" w:rsidP="00FE2499">
      <w:pPr>
        <w:spacing w:before="100" w:beforeAutospacing="1" w:after="100" w:afterAutospacing="1" w:line="360" w:lineRule="auto"/>
        <w:ind w:left="360"/>
        <w:rPr>
          <w:rFonts w:ascii="Times New Roman" w:eastAsia="Times New Roman" w:hAnsi="Times New Roman" w:cs="Times New Roman"/>
          <w:sz w:val="24"/>
          <w:szCs w:val="24"/>
        </w:rPr>
      </w:pPr>
      <w:r w:rsidRPr="00FE2499">
        <w:rPr>
          <w:rFonts w:ascii="Times New Roman" w:eastAsia="Times New Roman" w:hAnsi="Times New Roman" w:cs="Times New Roman"/>
          <w:b/>
          <w:bCs/>
          <w:sz w:val="24"/>
          <w:szCs w:val="24"/>
        </w:rPr>
        <w:t>Citations</w:t>
      </w:r>
      <w:r w:rsidR="00824306" w:rsidRPr="00FE2499">
        <w:rPr>
          <w:rFonts w:ascii="Times New Roman" w:eastAsia="Times New Roman" w:hAnsi="Times New Roman" w:cs="Times New Roman"/>
          <w:sz w:val="24"/>
          <w:szCs w:val="24"/>
        </w:rPr>
        <w:t xml:space="preserve"> </w:t>
      </w:r>
    </w:p>
    <w:p w:rsidR="00FE2499" w:rsidRPr="00FE2499" w:rsidRDefault="00DA7B03" w:rsidP="00FE2499">
      <w:pPr>
        <w:pStyle w:val="ListParagraph"/>
        <w:numPr>
          <w:ilvl w:val="0"/>
          <w:numId w:val="13"/>
        </w:numPr>
        <w:spacing w:before="100" w:beforeAutospacing="1" w:after="100" w:afterAutospacing="1" w:line="360" w:lineRule="auto"/>
        <w:rPr>
          <w:rFonts w:ascii="Times New Roman" w:eastAsia="Times New Roman" w:hAnsi="Times New Roman" w:cs="Times New Roman"/>
          <w:sz w:val="24"/>
          <w:szCs w:val="24"/>
        </w:rPr>
      </w:pPr>
      <w:r w:rsidRPr="00FE2499">
        <w:rPr>
          <w:rFonts w:ascii="Times New Roman" w:eastAsia="Times New Roman" w:hAnsi="Times New Roman" w:cs="Times New Roman"/>
          <w:sz w:val="24"/>
          <w:szCs w:val="24"/>
        </w:rPr>
        <w:t>Constitution of India, arts. 153, 155, 163, 200, 201, 142, 143.</w:t>
      </w:r>
    </w:p>
    <w:p w:rsidR="00DA7B03" w:rsidRPr="00FE2499" w:rsidRDefault="00DA7B03" w:rsidP="00FE2499">
      <w:pPr>
        <w:pStyle w:val="ListParagraph"/>
        <w:numPr>
          <w:ilvl w:val="0"/>
          <w:numId w:val="13"/>
        </w:numPr>
        <w:spacing w:before="100" w:beforeAutospacing="1" w:after="100" w:afterAutospacing="1" w:line="360" w:lineRule="auto"/>
        <w:rPr>
          <w:rFonts w:ascii="Times New Roman" w:eastAsia="Times New Roman" w:hAnsi="Times New Roman" w:cs="Times New Roman"/>
          <w:sz w:val="24"/>
          <w:szCs w:val="24"/>
        </w:rPr>
      </w:pPr>
      <w:r w:rsidRPr="00FE2499">
        <w:rPr>
          <w:rFonts w:ascii="Times New Roman" w:eastAsia="Times New Roman" w:hAnsi="Times New Roman" w:cs="Times New Roman"/>
          <w:i/>
          <w:iCs/>
          <w:sz w:val="24"/>
          <w:szCs w:val="24"/>
        </w:rPr>
        <w:t>State of Tamil Nadu v. Governor of Tamil Nadu</w:t>
      </w:r>
      <w:r w:rsidRPr="00FE2499">
        <w:rPr>
          <w:rFonts w:ascii="Times New Roman" w:eastAsia="Times New Roman" w:hAnsi="Times New Roman" w:cs="Times New Roman"/>
          <w:sz w:val="24"/>
          <w:szCs w:val="24"/>
        </w:rPr>
        <w:t>, (2025) 4 SCC 623.</w:t>
      </w:r>
    </w:p>
    <w:p w:rsidR="00FE2499" w:rsidRPr="00FE2499" w:rsidRDefault="00DA7B03"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r w:rsidRPr="00FE2499">
        <w:rPr>
          <w:rFonts w:ascii="Times New Roman" w:eastAsia="Times New Roman" w:hAnsi="Times New Roman" w:cs="Times New Roman"/>
          <w:sz w:val="24"/>
          <w:szCs w:val="24"/>
        </w:rPr>
        <w:t xml:space="preserve">M.P. Jain, </w:t>
      </w:r>
      <w:r w:rsidRPr="00FE2499">
        <w:rPr>
          <w:rFonts w:ascii="Times New Roman" w:eastAsia="Times New Roman" w:hAnsi="Times New Roman" w:cs="Times New Roman"/>
          <w:i/>
          <w:iCs/>
          <w:sz w:val="24"/>
          <w:szCs w:val="24"/>
        </w:rPr>
        <w:t>Indian Constitutional Law</w:t>
      </w:r>
      <w:r w:rsidRPr="00FE2499">
        <w:rPr>
          <w:rFonts w:ascii="Times New Roman" w:eastAsia="Times New Roman" w:hAnsi="Times New Roman" w:cs="Times New Roman"/>
          <w:sz w:val="24"/>
          <w:szCs w:val="24"/>
        </w:rPr>
        <w:t xml:space="preserve">, 8th </w:t>
      </w:r>
      <w:proofErr w:type="spellStart"/>
      <w:proofErr w:type="gramStart"/>
      <w:r w:rsidRPr="00FE2499">
        <w:rPr>
          <w:rFonts w:ascii="Times New Roman" w:eastAsia="Times New Roman" w:hAnsi="Times New Roman" w:cs="Times New Roman"/>
          <w:sz w:val="24"/>
          <w:szCs w:val="24"/>
        </w:rPr>
        <w:t>edn</w:t>
      </w:r>
      <w:proofErr w:type="spellEnd"/>
      <w:r w:rsidRPr="00FE2499">
        <w:rPr>
          <w:rFonts w:ascii="Times New Roman" w:eastAsia="Times New Roman" w:hAnsi="Times New Roman" w:cs="Times New Roman"/>
          <w:sz w:val="24"/>
          <w:szCs w:val="24"/>
        </w:rPr>
        <w:t>.,</w:t>
      </w:r>
      <w:proofErr w:type="gramEnd"/>
      <w:r w:rsidRPr="00FE2499">
        <w:rPr>
          <w:rFonts w:ascii="Times New Roman" w:eastAsia="Times New Roman" w:hAnsi="Times New Roman" w:cs="Times New Roman"/>
          <w:sz w:val="24"/>
          <w:szCs w:val="24"/>
        </w:rPr>
        <w:t xml:space="preserve"> LexisNexis, 2023.</w:t>
      </w:r>
    </w:p>
    <w:p w:rsidR="00D75042" w:rsidRPr="00FE2499" w:rsidRDefault="00D75042"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hyperlink r:id="rId5" w:history="1">
        <w:r w:rsidRPr="00FE2499">
          <w:rPr>
            <w:rStyle w:val="Hyperlink"/>
            <w:rFonts w:ascii="Times New Roman" w:eastAsia="Times New Roman" w:hAnsi="Times New Roman" w:cs="Times New Roman"/>
            <w:sz w:val="24"/>
            <w:szCs w:val="24"/>
          </w:rPr>
          <w:t>https://www.newindianexpress.com/nation/2025/Apr/14/explainer-supreme-court-landmark-ruling-on-governor-vs-state</w:t>
        </w:r>
      </w:hyperlink>
    </w:p>
    <w:p w:rsidR="00DA7B03" w:rsidRPr="00FE2499" w:rsidRDefault="00DA7B03"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r w:rsidRPr="00FE2499">
        <w:rPr>
          <w:rFonts w:ascii="Times New Roman" w:eastAsia="Times New Roman" w:hAnsi="Times New Roman" w:cs="Times New Roman"/>
          <w:sz w:val="24"/>
          <w:szCs w:val="24"/>
        </w:rPr>
        <w:lastRenderedPageBreak/>
        <w:t xml:space="preserve">S.P. </w:t>
      </w:r>
      <w:proofErr w:type="spellStart"/>
      <w:r w:rsidRPr="00FE2499">
        <w:rPr>
          <w:rFonts w:ascii="Times New Roman" w:eastAsia="Times New Roman" w:hAnsi="Times New Roman" w:cs="Times New Roman"/>
          <w:sz w:val="24"/>
          <w:szCs w:val="24"/>
        </w:rPr>
        <w:t>Sathe</w:t>
      </w:r>
      <w:proofErr w:type="spellEnd"/>
      <w:r w:rsidRPr="00FE2499">
        <w:rPr>
          <w:rFonts w:ascii="Times New Roman" w:eastAsia="Times New Roman" w:hAnsi="Times New Roman" w:cs="Times New Roman"/>
          <w:sz w:val="24"/>
          <w:szCs w:val="24"/>
        </w:rPr>
        <w:t xml:space="preserve">, </w:t>
      </w:r>
      <w:r w:rsidRPr="00FE2499">
        <w:rPr>
          <w:rFonts w:ascii="Times New Roman" w:eastAsia="Times New Roman" w:hAnsi="Times New Roman" w:cs="Times New Roman"/>
          <w:i/>
          <w:iCs/>
          <w:sz w:val="24"/>
          <w:szCs w:val="24"/>
        </w:rPr>
        <w:t>Judicial Activism in India: Transgressing Borders and Enforcing Limits</w:t>
      </w:r>
      <w:r w:rsidRPr="00FE2499">
        <w:rPr>
          <w:rFonts w:ascii="Times New Roman" w:eastAsia="Times New Roman" w:hAnsi="Times New Roman" w:cs="Times New Roman"/>
          <w:sz w:val="24"/>
          <w:szCs w:val="24"/>
        </w:rPr>
        <w:t>, Oxford University Press, 2002.</w:t>
      </w:r>
    </w:p>
    <w:p w:rsidR="00D75042" w:rsidRPr="00FE2499" w:rsidRDefault="00D75042"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hyperlink r:id="rId6" w:history="1">
        <w:r w:rsidRPr="00FE2499">
          <w:rPr>
            <w:rStyle w:val="Hyperlink"/>
            <w:rFonts w:ascii="Times New Roman" w:eastAsia="Times New Roman" w:hAnsi="Times New Roman" w:cs="Times New Roman"/>
            <w:sz w:val="24"/>
            <w:szCs w:val="24"/>
          </w:rPr>
          <w:t>https://www.thehindu.com/news/national/supreme-court-judgment-live-updates-governor-ravi-vs-tn-government-pending-bills/article69425841.ece</w:t>
        </w:r>
      </w:hyperlink>
    </w:p>
    <w:p w:rsidR="00DA7B03" w:rsidRPr="00FE2499" w:rsidRDefault="00DA7B03"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r w:rsidRPr="00FE2499">
        <w:rPr>
          <w:rFonts w:ascii="Times New Roman" w:eastAsia="Times New Roman" w:hAnsi="Times New Roman" w:cs="Times New Roman"/>
          <w:sz w:val="24"/>
          <w:szCs w:val="24"/>
        </w:rPr>
        <w:t xml:space="preserve">"Tamil Nadu </w:t>
      </w:r>
      <w:proofErr w:type="spellStart"/>
      <w:r w:rsidRPr="00FE2499">
        <w:rPr>
          <w:rFonts w:ascii="Times New Roman" w:eastAsia="Times New Roman" w:hAnsi="Times New Roman" w:cs="Times New Roman"/>
          <w:sz w:val="24"/>
          <w:szCs w:val="24"/>
        </w:rPr>
        <w:t>vs</w:t>
      </w:r>
      <w:proofErr w:type="spellEnd"/>
      <w:r w:rsidRPr="00FE2499">
        <w:rPr>
          <w:rFonts w:ascii="Times New Roman" w:eastAsia="Times New Roman" w:hAnsi="Times New Roman" w:cs="Times New Roman"/>
          <w:sz w:val="24"/>
          <w:szCs w:val="24"/>
        </w:rPr>
        <w:t xml:space="preserve"> Governor: SC Verdict May Create Imbalance in Federal Structure", </w:t>
      </w:r>
      <w:r w:rsidRPr="00FE2499">
        <w:rPr>
          <w:rFonts w:ascii="Times New Roman" w:eastAsia="Times New Roman" w:hAnsi="Times New Roman" w:cs="Times New Roman"/>
          <w:i/>
          <w:iCs/>
          <w:sz w:val="24"/>
          <w:szCs w:val="24"/>
        </w:rPr>
        <w:t>The Times of India</w:t>
      </w:r>
      <w:r w:rsidRPr="00FE2499">
        <w:rPr>
          <w:rFonts w:ascii="Times New Roman" w:eastAsia="Times New Roman" w:hAnsi="Times New Roman" w:cs="Times New Roman"/>
          <w:sz w:val="24"/>
          <w:szCs w:val="24"/>
        </w:rPr>
        <w:t>, 8 Apr. 2025.</w:t>
      </w:r>
    </w:p>
    <w:p w:rsidR="00DA7B03" w:rsidRPr="00FE2499" w:rsidRDefault="00DA7B03"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r w:rsidRPr="00FE2499">
        <w:rPr>
          <w:rFonts w:ascii="Times New Roman" w:eastAsia="Times New Roman" w:hAnsi="Times New Roman" w:cs="Times New Roman"/>
          <w:sz w:val="24"/>
          <w:szCs w:val="24"/>
        </w:rPr>
        <w:t xml:space="preserve">"SC Verdict on Governor's Powers Over State Bills", </w:t>
      </w:r>
      <w:proofErr w:type="spellStart"/>
      <w:r w:rsidRPr="00FE2499">
        <w:rPr>
          <w:rFonts w:ascii="Times New Roman" w:eastAsia="Times New Roman" w:hAnsi="Times New Roman" w:cs="Times New Roman"/>
          <w:i/>
          <w:iCs/>
          <w:sz w:val="24"/>
          <w:szCs w:val="24"/>
        </w:rPr>
        <w:t>Drishti</w:t>
      </w:r>
      <w:proofErr w:type="spellEnd"/>
      <w:r w:rsidRPr="00FE2499">
        <w:rPr>
          <w:rFonts w:ascii="Times New Roman" w:eastAsia="Times New Roman" w:hAnsi="Times New Roman" w:cs="Times New Roman"/>
          <w:i/>
          <w:iCs/>
          <w:sz w:val="24"/>
          <w:szCs w:val="24"/>
        </w:rPr>
        <w:t xml:space="preserve"> IAS</w:t>
      </w:r>
      <w:r w:rsidRPr="00FE2499">
        <w:rPr>
          <w:rFonts w:ascii="Times New Roman" w:eastAsia="Times New Roman" w:hAnsi="Times New Roman" w:cs="Times New Roman"/>
          <w:sz w:val="24"/>
          <w:szCs w:val="24"/>
        </w:rPr>
        <w:t>, Apr. 2025.</w:t>
      </w:r>
    </w:p>
    <w:p w:rsidR="00DA7B03" w:rsidRPr="00FE2499" w:rsidRDefault="00DA7B03"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proofErr w:type="spellStart"/>
      <w:r w:rsidRPr="00FE2499">
        <w:rPr>
          <w:rFonts w:ascii="Times New Roman" w:eastAsia="Times New Roman" w:hAnsi="Times New Roman" w:cs="Times New Roman"/>
          <w:sz w:val="24"/>
          <w:szCs w:val="24"/>
        </w:rPr>
        <w:t>ICONnect</w:t>
      </w:r>
      <w:proofErr w:type="spellEnd"/>
      <w:r w:rsidRPr="00FE2499">
        <w:rPr>
          <w:rFonts w:ascii="Times New Roman" w:eastAsia="Times New Roman" w:hAnsi="Times New Roman" w:cs="Times New Roman"/>
          <w:sz w:val="24"/>
          <w:szCs w:val="24"/>
        </w:rPr>
        <w:t xml:space="preserve"> Blog, "Clarifying Gubernatorial Powers in the Legislative Process", Apr. 2025.</w:t>
      </w:r>
    </w:p>
    <w:p w:rsidR="00DA7B03" w:rsidRPr="00FE2499" w:rsidRDefault="00DA7B03"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r w:rsidRPr="00FE2499">
        <w:rPr>
          <w:rFonts w:ascii="Times New Roman" w:eastAsia="Times New Roman" w:hAnsi="Times New Roman" w:cs="Times New Roman"/>
          <w:sz w:val="24"/>
          <w:szCs w:val="24"/>
        </w:rPr>
        <w:t>SCC Online, "Explained: SC Decision on Tamil Nadu Governor and Article 200", Apr. 2025.</w:t>
      </w:r>
    </w:p>
    <w:p w:rsidR="00E7048F" w:rsidRPr="00FE2499" w:rsidRDefault="00E7048F"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proofErr w:type="spellStart"/>
      <w:r w:rsidRPr="00FE2499">
        <w:rPr>
          <w:rFonts w:ascii="Times New Roman" w:eastAsia="Times New Roman" w:hAnsi="Times New Roman" w:cs="Times New Roman"/>
          <w:i/>
          <w:sz w:val="24"/>
          <w:szCs w:val="24"/>
        </w:rPr>
        <w:t>Samsher</w:t>
      </w:r>
      <w:proofErr w:type="spellEnd"/>
      <w:r w:rsidRPr="00FE2499">
        <w:rPr>
          <w:rFonts w:ascii="Times New Roman" w:eastAsia="Times New Roman" w:hAnsi="Times New Roman" w:cs="Times New Roman"/>
          <w:i/>
          <w:sz w:val="24"/>
          <w:szCs w:val="24"/>
        </w:rPr>
        <w:t xml:space="preserve"> Singh v. State of Punjab</w:t>
      </w:r>
      <w:r w:rsidRPr="00FE2499">
        <w:rPr>
          <w:rFonts w:ascii="Times New Roman" w:eastAsia="Times New Roman" w:hAnsi="Times New Roman" w:cs="Times New Roman"/>
          <w:sz w:val="24"/>
          <w:szCs w:val="24"/>
        </w:rPr>
        <w:t>, (1974) 2 SCC 831.</w:t>
      </w:r>
    </w:p>
    <w:p w:rsidR="00E7048F" w:rsidRPr="00FE2499" w:rsidRDefault="00E7048F"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proofErr w:type="spellStart"/>
      <w:r w:rsidRPr="00FE2499">
        <w:rPr>
          <w:rFonts w:ascii="Times New Roman" w:eastAsia="Times New Roman" w:hAnsi="Times New Roman" w:cs="Times New Roman"/>
          <w:i/>
          <w:sz w:val="24"/>
          <w:szCs w:val="24"/>
        </w:rPr>
        <w:t>Nabam</w:t>
      </w:r>
      <w:proofErr w:type="spellEnd"/>
      <w:r w:rsidRPr="00FE2499">
        <w:rPr>
          <w:rFonts w:ascii="Times New Roman" w:eastAsia="Times New Roman" w:hAnsi="Times New Roman" w:cs="Times New Roman"/>
          <w:i/>
          <w:sz w:val="24"/>
          <w:szCs w:val="24"/>
        </w:rPr>
        <w:t xml:space="preserve"> </w:t>
      </w:r>
      <w:proofErr w:type="spellStart"/>
      <w:r w:rsidRPr="00FE2499">
        <w:rPr>
          <w:rFonts w:ascii="Times New Roman" w:eastAsia="Times New Roman" w:hAnsi="Times New Roman" w:cs="Times New Roman"/>
          <w:i/>
          <w:sz w:val="24"/>
          <w:szCs w:val="24"/>
        </w:rPr>
        <w:t>Rebia</w:t>
      </w:r>
      <w:proofErr w:type="spellEnd"/>
      <w:r w:rsidRPr="00FE2499">
        <w:rPr>
          <w:rFonts w:ascii="Times New Roman" w:eastAsia="Times New Roman" w:hAnsi="Times New Roman" w:cs="Times New Roman"/>
          <w:i/>
          <w:sz w:val="24"/>
          <w:szCs w:val="24"/>
        </w:rPr>
        <w:t xml:space="preserve"> v. Deputy Speaker, Arunachal Pradesh Legislative Assembly,</w:t>
      </w:r>
      <w:r w:rsidRPr="00FE2499">
        <w:rPr>
          <w:rFonts w:ascii="Times New Roman" w:eastAsia="Times New Roman" w:hAnsi="Times New Roman" w:cs="Times New Roman"/>
          <w:sz w:val="24"/>
          <w:szCs w:val="24"/>
        </w:rPr>
        <w:t xml:space="preserve"> (2016) 8 SCC 1.</w:t>
      </w:r>
    </w:p>
    <w:p w:rsidR="00E7048F" w:rsidRPr="00FE2499" w:rsidRDefault="00E7048F"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proofErr w:type="spellStart"/>
      <w:r w:rsidRPr="00FE2499">
        <w:rPr>
          <w:rFonts w:ascii="Times New Roman" w:eastAsia="Times New Roman" w:hAnsi="Times New Roman" w:cs="Times New Roman"/>
          <w:sz w:val="24"/>
          <w:szCs w:val="24"/>
        </w:rPr>
        <w:t>Faizan</w:t>
      </w:r>
      <w:proofErr w:type="spellEnd"/>
      <w:r w:rsidRPr="00FE2499">
        <w:rPr>
          <w:rFonts w:ascii="Times New Roman" w:eastAsia="Times New Roman" w:hAnsi="Times New Roman" w:cs="Times New Roman"/>
          <w:sz w:val="24"/>
          <w:szCs w:val="24"/>
        </w:rPr>
        <w:t xml:space="preserve"> Mustafa, “Constitutional Morality and Executive Accountability,” Seminar Magazine, May 2025.</w:t>
      </w:r>
    </w:p>
    <w:p w:rsidR="00E7048F" w:rsidRPr="00FE2499" w:rsidRDefault="00E7048F" w:rsidP="00FE2499">
      <w:pPr>
        <w:numPr>
          <w:ilvl w:val="0"/>
          <w:numId w:val="13"/>
        </w:numPr>
        <w:spacing w:before="100" w:beforeAutospacing="1" w:after="100" w:afterAutospacing="1" w:line="360" w:lineRule="auto"/>
        <w:rPr>
          <w:rFonts w:ascii="Times New Roman" w:eastAsia="Times New Roman" w:hAnsi="Times New Roman" w:cs="Times New Roman"/>
          <w:sz w:val="24"/>
          <w:szCs w:val="24"/>
        </w:rPr>
      </w:pPr>
      <w:proofErr w:type="spellStart"/>
      <w:r w:rsidRPr="00FE2499">
        <w:rPr>
          <w:rFonts w:ascii="Times New Roman" w:eastAsia="Times New Roman" w:hAnsi="Times New Roman" w:cs="Times New Roman"/>
          <w:sz w:val="24"/>
          <w:szCs w:val="24"/>
        </w:rPr>
        <w:t>Gautam</w:t>
      </w:r>
      <w:proofErr w:type="spellEnd"/>
      <w:r w:rsidRPr="00FE2499">
        <w:rPr>
          <w:rFonts w:ascii="Times New Roman" w:eastAsia="Times New Roman" w:hAnsi="Times New Roman" w:cs="Times New Roman"/>
          <w:sz w:val="24"/>
          <w:szCs w:val="24"/>
        </w:rPr>
        <w:t xml:space="preserve"> Bhatia, “Judicial Enforcement of Constitutional Conventions in India,” Indian Law Review, May 2025.</w:t>
      </w:r>
    </w:p>
    <w:p w:rsidR="00211612" w:rsidRPr="00FE2499" w:rsidRDefault="00211612" w:rsidP="00FE2499">
      <w:pPr>
        <w:pStyle w:val="NormalWeb"/>
        <w:numPr>
          <w:ilvl w:val="0"/>
          <w:numId w:val="13"/>
        </w:numPr>
        <w:spacing w:line="360" w:lineRule="auto"/>
      </w:pPr>
      <w:proofErr w:type="spellStart"/>
      <w:r w:rsidRPr="00FE2499">
        <w:t>Arghya</w:t>
      </w:r>
      <w:proofErr w:type="spellEnd"/>
      <w:r w:rsidRPr="00FE2499">
        <w:t xml:space="preserve"> </w:t>
      </w:r>
      <w:proofErr w:type="spellStart"/>
      <w:r w:rsidRPr="00FE2499">
        <w:t>Sengupta</w:t>
      </w:r>
      <w:proofErr w:type="spellEnd"/>
      <w:r w:rsidRPr="00FE2499">
        <w:t xml:space="preserve">, “Governor’s Assent and the Need for Checks,” </w:t>
      </w:r>
      <w:r w:rsidRPr="00FE2499">
        <w:rPr>
          <w:rStyle w:val="Emphasis"/>
        </w:rPr>
        <w:t>Indian Express</w:t>
      </w:r>
      <w:r w:rsidRPr="00FE2499">
        <w:t>, 12 Apr. 2025.</w:t>
      </w:r>
    </w:p>
    <w:p w:rsidR="00115FD9" w:rsidRPr="00FE2499" w:rsidRDefault="00115FD9" w:rsidP="00FE2499">
      <w:pPr>
        <w:pStyle w:val="NormalWeb"/>
        <w:numPr>
          <w:ilvl w:val="0"/>
          <w:numId w:val="13"/>
        </w:numPr>
        <w:spacing w:line="360" w:lineRule="auto"/>
      </w:pPr>
      <w:r w:rsidRPr="00FE2499">
        <w:rPr>
          <w:rStyle w:val="Emphasis"/>
        </w:rPr>
        <w:t xml:space="preserve">S.R. </w:t>
      </w:r>
      <w:proofErr w:type="spellStart"/>
      <w:r w:rsidRPr="00FE2499">
        <w:rPr>
          <w:rStyle w:val="Emphasis"/>
        </w:rPr>
        <w:t>Bommai</w:t>
      </w:r>
      <w:proofErr w:type="spellEnd"/>
      <w:r w:rsidRPr="00FE2499">
        <w:rPr>
          <w:rStyle w:val="Emphasis"/>
        </w:rPr>
        <w:t xml:space="preserve"> v. Union of India</w:t>
      </w:r>
      <w:r w:rsidRPr="00FE2499">
        <w:t>, (1994) 3 SCC 1.</w:t>
      </w:r>
    </w:p>
    <w:p w:rsidR="00115FD9" w:rsidRPr="00FE2499" w:rsidRDefault="00115FD9" w:rsidP="00FE2499">
      <w:pPr>
        <w:pStyle w:val="NormalWeb"/>
        <w:numPr>
          <w:ilvl w:val="0"/>
          <w:numId w:val="13"/>
        </w:numPr>
        <w:spacing w:line="360" w:lineRule="auto"/>
      </w:pPr>
      <w:proofErr w:type="spellStart"/>
      <w:r w:rsidRPr="00FE2499">
        <w:rPr>
          <w:rStyle w:val="Emphasis"/>
        </w:rPr>
        <w:t>Rameshwar</w:t>
      </w:r>
      <w:proofErr w:type="spellEnd"/>
      <w:r w:rsidRPr="00FE2499">
        <w:rPr>
          <w:rStyle w:val="Emphasis"/>
        </w:rPr>
        <w:t xml:space="preserve"> Prasad v. Union of India</w:t>
      </w:r>
      <w:r w:rsidRPr="00FE2499">
        <w:t>, (2006) 2 SCC 1.</w:t>
      </w:r>
    </w:p>
    <w:p w:rsidR="00AC78AB" w:rsidRPr="00FE2499" w:rsidRDefault="00AC78AB" w:rsidP="00FE2499">
      <w:pPr>
        <w:pStyle w:val="NormalWeb"/>
        <w:numPr>
          <w:ilvl w:val="0"/>
          <w:numId w:val="13"/>
        </w:numPr>
        <w:spacing w:line="360" w:lineRule="auto"/>
        <w:rPr>
          <w:rStyle w:val="Emphasis"/>
          <w:iCs w:val="0"/>
        </w:rPr>
      </w:pPr>
      <w:proofErr w:type="spellStart"/>
      <w:r w:rsidRPr="00FE2499">
        <w:t>Arvind</w:t>
      </w:r>
      <w:proofErr w:type="spellEnd"/>
      <w:r w:rsidRPr="00FE2499">
        <w:t xml:space="preserve"> P. </w:t>
      </w:r>
      <w:proofErr w:type="spellStart"/>
      <w:r w:rsidRPr="00FE2499">
        <w:t>Datar</w:t>
      </w:r>
      <w:proofErr w:type="spellEnd"/>
      <w:r w:rsidRPr="00FE2499">
        <w:t>, “The Evolution of Constitutional Interpretation in India” (2024) 2 SCC J-23.</w:t>
      </w:r>
      <w:r w:rsidRPr="00FE2499">
        <w:rPr>
          <w:rStyle w:val="Emphasis"/>
        </w:rPr>
        <w:t xml:space="preserve"> </w:t>
      </w:r>
    </w:p>
    <w:p w:rsidR="00AC78AB" w:rsidRPr="00FE2499" w:rsidRDefault="00AC78AB" w:rsidP="00FE2499">
      <w:pPr>
        <w:pStyle w:val="NormalWeb"/>
        <w:numPr>
          <w:ilvl w:val="0"/>
          <w:numId w:val="13"/>
        </w:numPr>
        <w:spacing w:line="360" w:lineRule="auto"/>
      </w:pPr>
      <w:r w:rsidRPr="00FE2499">
        <w:t xml:space="preserve">H.M. </w:t>
      </w:r>
      <w:proofErr w:type="spellStart"/>
      <w:r w:rsidRPr="00FE2499">
        <w:t>Seervai</w:t>
      </w:r>
      <w:proofErr w:type="spellEnd"/>
      <w:r w:rsidRPr="00FE2499">
        <w:t xml:space="preserve">, </w:t>
      </w:r>
      <w:r w:rsidRPr="00FE2499">
        <w:rPr>
          <w:rStyle w:val="Emphasis"/>
        </w:rPr>
        <w:t>Constitutional Law of India</w:t>
      </w:r>
      <w:r w:rsidRPr="00FE2499">
        <w:t xml:space="preserve">, 4th </w:t>
      </w:r>
      <w:proofErr w:type="spellStart"/>
      <w:r w:rsidRPr="00FE2499">
        <w:t>edn</w:t>
      </w:r>
      <w:proofErr w:type="spellEnd"/>
      <w:r w:rsidRPr="00FE2499">
        <w:t>., Vol. II, Universal Law Publishing</w:t>
      </w:r>
    </w:p>
    <w:p w:rsidR="00211612" w:rsidRPr="00FE2499" w:rsidRDefault="00211612" w:rsidP="00FE2499">
      <w:pPr>
        <w:spacing w:before="100" w:beforeAutospacing="1" w:after="100" w:afterAutospacing="1" w:line="360" w:lineRule="auto"/>
        <w:ind w:left="720"/>
        <w:rPr>
          <w:rFonts w:ascii="Times New Roman" w:eastAsia="Times New Roman" w:hAnsi="Times New Roman" w:cs="Times New Roman"/>
          <w:sz w:val="24"/>
          <w:szCs w:val="24"/>
        </w:rPr>
      </w:pPr>
    </w:p>
    <w:p w:rsidR="00736D7F" w:rsidRPr="00FE2499" w:rsidRDefault="00736D7F" w:rsidP="00FE2499">
      <w:pPr>
        <w:spacing w:line="360" w:lineRule="auto"/>
        <w:rPr>
          <w:rFonts w:ascii="Times New Roman" w:hAnsi="Times New Roman" w:cs="Times New Roman"/>
          <w:sz w:val="24"/>
          <w:szCs w:val="24"/>
        </w:rPr>
      </w:pPr>
    </w:p>
    <w:sectPr w:rsidR="00736D7F" w:rsidRPr="00FE2499" w:rsidSect="00736D7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01C99"/>
    <w:multiLevelType w:val="multilevel"/>
    <w:tmpl w:val="A2A4DE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ABC2EAD"/>
    <w:multiLevelType w:val="multilevel"/>
    <w:tmpl w:val="C770B7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E0A036A"/>
    <w:multiLevelType w:val="multilevel"/>
    <w:tmpl w:val="51C2E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A480D4F"/>
    <w:multiLevelType w:val="multilevel"/>
    <w:tmpl w:val="935CAC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8C5717"/>
    <w:multiLevelType w:val="multilevel"/>
    <w:tmpl w:val="8A241F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CED610A"/>
    <w:multiLevelType w:val="multilevel"/>
    <w:tmpl w:val="47224BD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3510D27"/>
    <w:multiLevelType w:val="multilevel"/>
    <w:tmpl w:val="47224BD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9B40DA5"/>
    <w:multiLevelType w:val="multilevel"/>
    <w:tmpl w:val="596A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CF5531B"/>
    <w:multiLevelType w:val="multilevel"/>
    <w:tmpl w:val="140C6B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2CE244A"/>
    <w:multiLevelType w:val="multilevel"/>
    <w:tmpl w:val="B7886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A879BB"/>
    <w:multiLevelType w:val="multilevel"/>
    <w:tmpl w:val="47224BD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BA24AE0"/>
    <w:multiLevelType w:val="multilevel"/>
    <w:tmpl w:val="4DEA6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E4B4AFF"/>
    <w:multiLevelType w:val="multilevel"/>
    <w:tmpl w:val="B4B40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1"/>
  </w:num>
  <w:num w:numId="3">
    <w:abstractNumId w:val="3"/>
  </w:num>
  <w:num w:numId="4">
    <w:abstractNumId w:val="7"/>
  </w:num>
  <w:num w:numId="5">
    <w:abstractNumId w:val="4"/>
  </w:num>
  <w:num w:numId="6">
    <w:abstractNumId w:val="2"/>
  </w:num>
  <w:num w:numId="7">
    <w:abstractNumId w:val="12"/>
  </w:num>
  <w:num w:numId="8">
    <w:abstractNumId w:val="9"/>
  </w:num>
  <w:num w:numId="9">
    <w:abstractNumId w:val="5"/>
  </w:num>
  <w:num w:numId="10">
    <w:abstractNumId w:val="8"/>
  </w:num>
  <w:num w:numId="11">
    <w:abstractNumId w:val="1"/>
  </w:num>
  <w:num w:numId="12">
    <w:abstractNumId w:val="6"/>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proofState w:spelling="clean" w:grammar="clean"/>
  <w:defaultTabStop w:val="720"/>
  <w:characterSpacingControl w:val="doNotCompress"/>
  <w:compat/>
  <w:rsids>
    <w:rsidRoot w:val="00DA7B03"/>
    <w:rsid w:val="000412CA"/>
    <w:rsid w:val="000D668D"/>
    <w:rsid w:val="00115FD9"/>
    <w:rsid w:val="00211612"/>
    <w:rsid w:val="00572A52"/>
    <w:rsid w:val="00583C8E"/>
    <w:rsid w:val="005D0242"/>
    <w:rsid w:val="006A4BAA"/>
    <w:rsid w:val="00736D7F"/>
    <w:rsid w:val="00824306"/>
    <w:rsid w:val="00AC78AB"/>
    <w:rsid w:val="00B81811"/>
    <w:rsid w:val="00D75042"/>
    <w:rsid w:val="00DA7B03"/>
    <w:rsid w:val="00E7048F"/>
    <w:rsid w:val="00FE24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6D7F"/>
  </w:style>
  <w:style w:type="paragraph" w:styleId="Heading1">
    <w:name w:val="heading 1"/>
    <w:basedOn w:val="Normal"/>
    <w:next w:val="Normal"/>
    <w:link w:val="Heading1Char"/>
    <w:uiPriority w:val="9"/>
    <w:qFormat/>
    <w:rsid w:val="000412C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A7B0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A7B03"/>
    <w:rPr>
      <w:i/>
      <w:iCs/>
    </w:rPr>
  </w:style>
  <w:style w:type="character" w:styleId="Strong">
    <w:name w:val="Strong"/>
    <w:basedOn w:val="DefaultParagraphFont"/>
    <w:uiPriority w:val="22"/>
    <w:qFormat/>
    <w:rsid w:val="00DA7B03"/>
    <w:rPr>
      <w:b/>
      <w:bCs/>
    </w:rPr>
  </w:style>
  <w:style w:type="character" w:customStyle="1" w:styleId="Heading1Char">
    <w:name w:val="Heading 1 Char"/>
    <w:basedOn w:val="DefaultParagraphFont"/>
    <w:link w:val="Heading1"/>
    <w:uiPriority w:val="9"/>
    <w:rsid w:val="000412CA"/>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B81811"/>
    <w:rPr>
      <w:color w:val="0000FF" w:themeColor="hyperlink"/>
      <w:u w:val="single"/>
    </w:rPr>
  </w:style>
  <w:style w:type="paragraph" w:styleId="NoSpacing">
    <w:name w:val="No Spacing"/>
    <w:uiPriority w:val="1"/>
    <w:qFormat/>
    <w:rsid w:val="00211612"/>
    <w:pPr>
      <w:spacing w:after="0" w:line="240" w:lineRule="auto"/>
    </w:pPr>
  </w:style>
  <w:style w:type="paragraph" w:styleId="ListParagraph">
    <w:name w:val="List Paragraph"/>
    <w:basedOn w:val="Normal"/>
    <w:uiPriority w:val="34"/>
    <w:qFormat/>
    <w:rsid w:val="00FE2499"/>
    <w:pPr>
      <w:ind w:left="720"/>
      <w:contextualSpacing/>
    </w:pPr>
  </w:style>
</w:styles>
</file>

<file path=word/webSettings.xml><?xml version="1.0" encoding="utf-8"?>
<w:webSettings xmlns:r="http://schemas.openxmlformats.org/officeDocument/2006/relationships" xmlns:w="http://schemas.openxmlformats.org/wordprocessingml/2006/main">
  <w:divs>
    <w:div w:id="180170957">
      <w:bodyDiv w:val="1"/>
      <w:marLeft w:val="0"/>
      <w:marRight w:val="0"/>
      <w:marTop w:val="0"/>
      <w:marBottom w:val="0"/>
      <w:divBdr>
        <w:top w:val="none" w:sz="0" w:space="0" w:color="auto"/>
        <w:left w:val="none" w:sz="0" w:space="0" w:color="auto"/>
        <w:bottom w:val="none" w:sz="0" w:space="0" w:color="auto"/>
        <w:right w:val="none" w:sz="0" w:space="0" w:color="auto"/>
      </w:divBdr>
    </w:div>
    <w:div w:id="698891974">
      <w:bodyDiv w:val="1"/>
      <w:marLeft w:val="0"/>
      <w:marRight w:val="0"/>
      <w:marTop w:val="0"/>
      <w:marBottom w:val="0"/>
      <w:divBdr>
        <w:top w:val="none" w:sz="0" w:space="0" w:color="auto"/>
        <w:left w:val="none" w:sz="0" w:space="0" w:color="auto"/>
        <w:bottom w:val="none" w:sz="0" w:space="0" w:color="auto"/>
        <w:right w:val="none" w:sz="0" w:space="0" w:color="auto"/>
      </w:divBdr>
    </w:div>
    <w:div w:id="788889301">
      <w:bodyDiv w:val="1"/>
      <w:marLeft w:val="0"/>
      <w:marRight w:val="0"/>
      <w:marTop w:val="0"/>
      <w:marBottom w:val="0"/>
      <w:divBdr>
        <w:top w:val="none" w:sz="0" w:space="0" w:color="auto"/>
        <w:left w:val="none" w:sz="0" w:space="0" w:color="auto"/>
        <w:bottom w:val="none" w:sz="0" w:space="0" w:color="auto"/>
        <w:right w:val="none" w:sz="0" w:space="0" w:color="auto"/>
      </w:divBdr>
    </w:div>
    <w:div w:id="933903823">
      <w:bodyDiv w:val="1"/>
      <w:marLeft w:val="0"/>
      <w:marRight w:val="0"/>
      <w:marTop w:val="0"/>
      <w:marBottom w:val="0"/>
      <w:divBdr>
        <w:top w:val="none" w:sz="0" w:space="0" w:color="auto"/>
        <w:left w:val="none" w:sz="0" w:space="0" w:color="auto"/>
        <w:bottom w:val="none" w:sz="0" w:space="0" w:color="auto"/>
        <w:right w:val="none" w:sz="0" w:space="0" w:color="auto"/>
      </w:divBdr>
    </w:div>
    <w:div w:id="1015498217">
      <w:bodyDiv w:val="1"/>
      <w:marLeft w:val="0"/>
      <w:marRight w:val="0"/>
      <w:marTop w:val="0"/>
      <w:marBottom w:val="0"/>
      <w:divBdr>
        <w:top w:val="none" w:sz="0" w:space="0" w:color="auto"/>
        <w:left w:val="none" w:sz="0" w:space="0" w:color="auto"/>
        <w:bottom w:val="none" w:sz="0" w:space="0" w:color="auto"/>
        <w:right w:val="none" w:sz="0" w:space="0" w:color="auto"/>
      </w:divBdr>
    </w:div>
    <w:div w:id="1259022908">
      <w:bodyDiv w:val="1"/>
      <w:marLeft w:val="0"/>
      <w:marRight w:val="0"/>
      <w:marTop w:val="0"/>
      <w:marBottom w:val="0"/>
      <w:divBdr>
        <w:top w:val="none" w:sz="0" w:space="0" w:color="auto"/>
        <w:left w:val="none" w:sz="0" w:space="0" w:color="auto"/>
        <w:bottom w:val="none" w:sz="0" w:space="0" w:color="auto"/>
        <w:right w:val="none" w:sz="0" w:space="0" w:color="auto"/>
      </w:divBdr>
    </w:div>
    <w:div w:id="1350596360">
      <w:bodyDiv w:val="1"/>
      <w:marLeft w:val="0"/>
      <w:marRight w:val="0"/>
      <w:marTop w:val="0"/>
      <w:marBottom w:val="0"/>
      <w:divBdr>
        <w:top w:val="none" w:sz="0" w:space="0" w:color="auto"/>
        <w:left w:val="none" w:sz="0" w:space="0" w:color="auto"/>
        <w:bottom w:val="none" w:sz="0" w:space="0" w:color="auto"/>
        <w:right w:val="none" w:sz="0" w:space="0" w:color="auto"/>
      </w:divBdr>
    </w:div>
    <w:div w:id="1611930224">
      <w:bodyDiv w:val="1"/>
      <w:marLeft w:val="0"/>
      <w:marRight w:val="0"/>
      <w:marTop w:val="0"/>
      <w:marBottom w:val="0"/>
      <w:divBdr>
        <w:top w:val="none" w:sz="0" w:space="0" w:color="auto"/>
        <w:left w:val="none" w:sz="0" w:space="0" w:color="auto"/>
        <w:bottom w:val="none" w:sz="0" w:space="0" w:color="auto"/>
        <w:right w:val="none" w:sz="0" w:space="0" w:color="auto"/>
      </w:divBdr>
      <w:divsChild>
        <w:div w:id="604263855">
          <w:marLeft w:val="0"/>
          <w:marRight w:val="0"/>
          <w:marTop w:val="0"/>
          <w:marBottom w:val="0"/>
          <w:divBdr>
            <w:top w:val="none" w:sz="0" w:space="0" w:color="auto"/>
            <w:left w:val="none" w:sz="0" w:space="0" w:color="auto"/>
            <w:bottom w:val="none" w:sz="0" w:space="0" w:color="auto"/>
            <w:right w:val="none" w:sz="0" w:space="0" w:color="auto"/>
          </w:divBdr>
        </w:div>
      </w:divsChild>
    </w:div>
    <w:div w:id="1823427897">
      <w:bodyDiv w:val="1"/>
      <w:marLeft w:val="0"/>
      <w:marRight w:val="0"/>
      <w:marTop w:val="0"/>
      <w:marBottom w:val="0"/>
      <w:divBdr>
        <w:top w:val="none" w:sz="0" w:space="0" w:color="auto"/>
        <w:left w:val="none" w:sz="0" w:space="0" w:color="auto"/>
        <w:bottom w:val="none" w:sz="0" w:space="0" w:color="auto"/>
        <w:right w:val="none" w:sz="0" w:space="0" w:color="auto"/>
      </w:divBdr>
    </w:div>
    <w:div w:id="1828015767">
      <w:bodyDiv w:val="1"/>
      <w:marLeft w:val="0"/>
      <w:marRight w:val="0"/>
      <w:marTop w:val="0"/>
      <w:marBottom w:val="0"/>
      <w:divBdr>
        <w:top w:val="none" w:sz="0" w:space="0" w:color="auto"/>
        <w:left w:val="none" w:sz="0" w:space="0" w:color="auto"/>
        <w:bottom w:val="none" w:sz="0" w:space="0" w:color="auto"/>
        <w:right w:val="none" w:sz="0" w:space="0" w:color="auto"/>
      </w:divBdr>
    </w:div>
    <w:div w:id="2110462349">
      <w:bodyDiv w:val="1"/>
      <w:marLeft w:val="0"/>
      <w:marRight w:val="0"/>
      <w:marTop w:val="0"/>
      <w:marBottom w:val="0"/>
      <w:divBdr>
        <w:top w:val="none" w:sz="0" w:space="0" w:color="auto"/>
        <w:left w:val="none" w:sz="0" w:space="0" w:color="auto"/>
        <w:bottom w:val="none" w:sz="0" w:space="0" w:color="auto"/>
        <w:right w:val="none" w:sz="0" w:space="0" w:color="auto"/>
      </w:divBdr>
    </w:div>
    <w:div w:id="2146505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hindu.com/news/national/supreme-court-judgment-live-updates-governor-ravi-vs-tn-government-pending-bills/article69425841.ece" TargetMode="External"/><Relationship Id="rId5" Type="http://schemas.openxmlformats.org/officeDocument/2006/relationships/hyperlink" Target="https://www.newindianexpress.com/nation/2025/Apr/14/explainer-supreme-court-landmark-ruling-on-governor-vs-stat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2460</Words>
  <Characters>14022</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2025-07-25T15:30:00Z</dcterms:created>
  <dcterms:modified xsi:type="dcterms:W3CDTF">2025-07-25T15:30:00Z</dcterms:modified>
</cp:coreProperties>
</file>