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32DC53" w14:textId="2E32F473" w:rsidR="005324E7" w:rsidRDefault="005324E7" w:rsidP="005324E7">
      <w:pPr>
        <w:spacing w:line="360" w:lineRule="auto"/>
        <w:jc w:val="center"/>
        <w:rPr>
          <w:rFonts w:ascii="Times New Roman" w:hAnsi="Times New Roman" w:cs="Times New Roman"/>
          <w:sz w:val="24"/>
          <w:szCs w:val="24"/>
        </w:rPr>
      </w:pPr>
      <w:r w:rsidRPr="005324E7">
        <w:rPr>
          <w:rFonts w:ascii="Times New Roman" w:hAnsi="Times New Roman" w:cs="Times New Roman"/>
          <w:sz w:val="24"/>
          <w:szCs w:val="24"/>
        </w:rPr>
        <w:t>Between Uniformity and Justice: Rethinking the UCC Through Goa and Uttarakhand</w:t>
      </w:r>
    </w:p>
    <w:p w14:paraId="1B6614B4" w14:textId="77777777" w:rsidR="000349EE" w:rsidRPr="005324E7" w:rsidRDefault="000349EE" w:rsidP="005324E7">
      <w:pPr>
        <w:spacing w:line="360" w:lineRule="auto"/>
        <w:jc w:val="center"/>
        <w:rPr>
          <w:rFonts w:ascii="Times New Roman" w:hAnsi="Times New Roman" w:cs="Times New Roman"/>
          <w:sz w:val="24"/>
          <w:szCs w:val="24"/>
        </w:rPr>
      </w:pPr>
    </w:p>
    <w:p w14:paraId="7611FE70" w14:textId="6C5EF6B3" w:rsidR="005324E7" w:rsidRPr="003367CB" w:rsidRDefault="005324E7" w:rsidP="000349EE">
      <w:pPr>
        <w:spacing w:line="360" w:lineRule="auto"/>
        <w:rPr>
          <w:rFonts w:ascii="Times New Roman" w:hAnsi="Times New Roman" w:cs="Times New Roman"/>
          <w:i/>
          <w:iCs/>
          <w:sz w:val="24"/>
          <w:szCs w:val="24"/>
        </w:rPr>
      </w:pPr>
      <w:r w:rsidRPr="003367CB">
        <w:rPr>
          <w:rFonts w:ascii="Times New Roman" w:hAnsi="Times New Roman" w:cs="Times New Roman"/>
          <w:i/>
          <w:iCs/>
          <w:sz w:val="24"/>
          <w:szCs w:val="24"/>
        </w:rPr>
        <w:t>A Constitutional and Gendered Critique of India’s Emerging Uniform Civil Code Framework</w:t>
      </w:r>
    </w:p>
    <w:p w14:paraId="4E00361F" w14:textId="098AD554" w:rsidR="00312C4D" w:rsidRDefault="00312C4D" w:rsidP="003367CB">
      <w:pPr>
        <w:spacing w:line="360" w:lineRule="auto"/>
        <w:jc w:val="both"/>
        <w:rPr>
          <w:rFonts w:ascii="Times New Roman" w:hAnsi="Times New Roman" w:cs="Times New Roman"/>
          <w:sz w:val="24"/>
          <w:szCs w:val="24"/>
        </w:rPr>
      </w:pPr>
      <w:r w:rsidRPr="00312C4D">
        <w:rPr>
          <w:rFonts w:ascii="Times New Roman" w:hAnsi="Times New Roman" w:cs="Times New Roman"/>
          <w:sz w:val="24"/>
          <w:szCs w:val="24"/>
        </w:rPr>
        <w:t xml:space="preserve">The </w:t>
      </w:r>
      <w:r>
        <w:rPr>
          <w:rFonts w:ascii="Times New Roman" w:hAnsi="Times New Roman" w:cs="Times New Roman"/>
          <w:sz w:val="24"/>
          <w:szCs w:val="24"/>
        </w:rPr>
        <w:t xml:space="preserve">implementation of a </w:t>
      </w:r>
      <w:r w:rsidRPr="00312C4D">
        <w:rPr>
          <w:rFonts w:ascii="Times New Roman" w:hAnsi="Times New Roman" w:cs="Times New Roman"/>
          <w:sz w:val="24"/>
          <w:szCs w:val="24"/>
        </w:rPr>
        <w:t>Uniform Civil Code</w:t>
      </w:r>
      <w:r>
        <w:rPr>
          <w:rFonts w:ascii="Times New Roman" w:hAnsi="Times New Roman" w:cs="Times New Roman"/>
          <w:sz w:val="24"/>
          <w:szCs w:val="24"/>
        </w:rPr>
        <w:t xml:space="preserve"> </w:t>
      </w:r>
      <w:r w:rsidRPr="00312C4D">
        <w:rPr>
          <w:rFonts w:ascii="Times New Roman" w:hAnsi="Times New Roman" w:cs="Times New Roman"/>
          <w:sz w:val="24"/>
          <w:szCs w:val="24"/>
        </w:rPr>
        <w:t xml:space="preserve">in India remains one of the most enduringly polarising legal debates. Enshrined in Article 44 of the Indian Constitution, the UCC reflects a Directive Principle of State Policy, instructing the state to strive for a common set of civil laws governing marriage, divorce, inheritance, adoption, and guardianship across all communities. This </w:t>
      </w:r>
      <w:r w:rsidR="00900B6C">
        <w:rPr>
          <w:rFonts w:ascii="Times New Roman" w:hAnsi="Times New Roman" w:cs="Times New Roman"/>
          <w:sz w:val="24"/>
          <w:szCs w:val="24"/>
        </w:rPr>
        <w:t xml:space="preserve">idea behind framing a uniform code came through </w:t>
      </w:r>
      <w:r w:rsidR="001041BF">
        <w:rPr>
          <w:rFonts w:ascii="Times New Roman" w:hAnsi="Times New Roman" w:cs="Times New Roman"/>
          <w:sz w:val="24"/>
          <w:szCs w:val="24"/>
        </w:rPr>
        <w:t xml:space="preserve">the state’s desire to integrate the country at the national level </w:t>
      </w:r>
      <w:r w:rsidR="00281C64">
        <w:rPr>
          <w:rFonts w:ascii="Times New Roman" w:hAnsi="Times New Roman" w:cs="Times New Roman"/>
          <w:sz w:val="24"/>
          <w:szCs w:val="24"/>
        </w:rPr>
        <w:t>and also ensure that individual rights are derived from a framework which is secular and emphasises equality.</w:t>
      </w:r>
      <w:r w:rsidR="009603AE">
        <w:rPr>
          <w:rFonts w:ascii="Times New Roman" w:hAnsi="Times New Roman" w:cs="Times New Roman"/>
          <w:sz w:val="24"/>
          <w:szCs w:val="24"/>
        </w:rPr>
        <w:t xml:space="preserve"> Despite</w:t>
      </w:r>
      <w:r w:rsidR="002842E6">
        <w:rPr>
          <w:rFonts w:ascii="Times New Roman" w:hAnsi="Times New Roman" w:cs="Times New Roman"/>
          <w:sz w:val="24"/>
          <w:szCs w:val="24"/>
        </w:rPr>
        <w:t xml:space="preserve"> the constitutional importance that </w:t>
      </w:r>
      <w:r w:rsidR="009603AE">
        <w:rPr>
          <w:rFonts w:ascii="Times New Roman" w:hAnsi="Times New Roman" w:cs="Times New Roman"/>
          <w:sz w:val="24"/>
          <w:szCs w:val="24"/>
        </w:rPr>
        <w:t xml:space="preserve">a UCC holds, such a uniform code is yet to be implemented in the country purely because India is </w:t>
      </w:r>
      <w:r w:rsidR="00B221D2">
        <w:rPr>
          <w:rFonts w:ascii="Times New Roman" w:hAnsi="Times New Roman" w:cs="Times New Roman"/>
          <w:sz w:val="24"/>
          <w:szCs w:val="24"/>
        </w:rPr>
        <w:t>made up of a complex interplay of social stratification, religious pluralism as well as identity politics</w:t>
      </w:r>
      <w:r w:rsidR="009A13BD">
        <w:rPr>
          <w:rFonts w:ascii="Times New Roman" w:hAnsi="Times New Roman" w:cs="Times New Roman"/>
          <w:sz w:val="24"/>
          <w:szCs w:val="24"/>
        </w:rPr>
        <w:t xml:space="preserve">. With different religious communities having different personal laws which govern them when it comes to matters concerning </w:t>
      </w:r>
      <w:r w:rsidR="00655CA8">
        <w:rPr>
          <w:rFonts w:ascii="Times New Roman" w:hAnsi="Times New Roman" w:cs="Times New Roman"/>
          <w:sz w:val="24"/>
          <w:szCs w:val="24"/>
        </w:rPr>
        <w:t>marriage, divorce, inheritance and guardianship</w:t>
      </w:r>
      <w:r w:rsidR="009C22D5">
        <w:rPr>
          <w:rFonts w:ascii="Times New Roman" w:hAnsi="Times New Roman" w:cs="Times New Roman"/>
          <w:sz w:val="24"/>
          <w:szCs w:val="24"/>
        </w:rPr>
        <w:t xml:space="preserve">, if a single secular framework is to be implemented in the country, the threat to religious autonomy that comes associated with such an implementation needs to be minimised. </w:t>
      </w:r>
      <w:r w:rsidRPr="00312C4D">
        <w:rPr>
          <w:rFonts w:ascii="Times New Roman" w:hAnsi="Times New Roman" w:cs="Times New Roman"/>
          <w:sz w:val="24"/>
          <w:szCs w:val="24"/>
        </w:rPr>
        <w:t>However, proponents of the UCC continue to assert that it is a necessary step toward establishing gender justice and legal uniformity</w:t>
      </w:r>
      <w:r w:rsidR="00A262D0">
        <w:rPr>
          <w:rFonts w:ascii="Times New Roman" w:hAnsi="Times New Roman" w:cs="Times New Roman"/>
          <w:sz w:val="24"/>
          <w:szCs w:val="24"/>
        </w:rPr>
        <w:t>.</w:t>
      </w:r>
    </w:p>
    <w:p w14:paraId="00A188C0" w14:textId="32395B98" w:rsidR="00A262D0" w:rsidRDefault="00683263" w:rsidP="003367CB">
      <w:pPr>
        <w:spacing w:line="360" w:lineRule="auto"/>
        <w:jc w:val="both"/>
        <w:rPr>
          <w:rFonts w:ascii="Times New Roman" w:hAnsi="Times New Roman" w:cs="Times New Roman"/>
          <w:sz w:val="24"/>
          <w:szCs w:val="24"/>
        </w:rPr>
      </w:pPr>
      <w:r w:rsidRPr="00683263">
        <w:rPr>
          <w:rFonts w:ascii="Times New Roman" w:hAnsi="Times New Roman" w:cs="Times New Roman"/>
          <w:sz w:val="24"/>
          <w:szCs w:val="24"/>
        </w:rPr>
        <w:t>India's legal plurality is a recognition of the various religious and cultural customs that influence persons' private lives, not just a historical coincidence.  Marriage customs, divorce rights, custody, succession, and adoption are all governed by personal laws.  Over time, these laws' cohabitation has led to constitutional difficulties, especially between Article 25's protection of religious freedom and Article 14's pledge of equality before the law.  The concept of a UCC has gained popularity in recent years within this hotly debated area.  However, the fundamental question still stands as to whether the UCC, as it is, actually advances gender equality or if it only uses selected reforms to maintain formal conformity.</w:t>
      </w:r>
      <w:r>
        <w:rPr>
          <w:rFonts w:ascii="Times New Roman" w:hAnsi="Times New Roman" w:cs="Times New Roman"/>
          <w:sz w:val="24"/>
          <w:szCs w:val="24"/>
        </w:rPr>
        <w:t xml:space="preserve"> </w:t>
      </w:r>
      <w:r w:rsidR="00A262D0" w:rsidRPr="00A262D0">
        <w:rPr>
          <w:rFonts w:ascii="Times New Roman" w:hAnsi="Times New Roman" w:cs="Times New Roman"/>
          <w:sz w:val="24"/>
          <w:szCs w:val="24"/>
        </w:rPr>
        <w:t>This dilemma becomes particularly evident when we examine the divergent experiences of Goa and Uttarakhand</w:t>
      </w:r>
      <w:r w:rsidR="00A262D0">
        <w:rPr>
          <w:rFonts w:ascii="Times New Roman" w:hAnsi="Times New Roman" w:cs="Times New Roman"/>
          <w:sz w:val="24"/>
          <w:szCs w:val="24"/>
        </w:rPr>
        <w:t xml:space="preserve">, the </w:t>
      </w:r>
      <w:r w:rsidR="00A262D0" w:rsidRPr="00A262D0">
        <w:rPr>
          <w:rFonts w:ascii="Times New Roman" w:hAnsi="Times New Roman" w:cs="Times New Roman"/>
          <w:sz w:val="24"/>
          <w:szCs w:val="24"/>
        </w:rPr>
        <w:t xml:space="preserve">two states </w:t>
      </w:r>
      <w:r w:rsidR="00A262D0">
        <w:rPr>
          <w:rFonts w:ascii="Times New Roman" w:hAnsi="Times New Roman" w:cs="Times New Roman"/>
          <w:sz w:val="24"/>
          <w:szCs w:val="24"/>
        </w:rPr>
        <w:t xml:space="preserve">which </w:t>
      </w:r>
      <w:r w:rsidR="00A262D0" w:rsidRPr="00A262D0">
        <w:rPr>
          <w:rFonts w:ascii="Times New Roman" w:hAnsi="Times New Roman" w:cs="Times New Roman"/>
          <w:sz w:val="24"/>
          <w:szCs w:val="24"/>
        </w:rPr>
        <w:t xml:space="preserve">often </w:t>
      </w:r>
      <w:r w:rsidR="00A262D0">
        <w:rPr>
          <w:rFonts w:ascii="Times New Roman" w:hAnsi="Times New Roman" w:cs="Times New Roman"/>
          <w:sz w:val="24"/>
          <w:szCs w:val="24"/>
        </w:rPr>
        <w:t xml:space="preserve">tend to be </w:t>
      </w:r>
      <w:r w:rsidR="00A262D0" w:rsidRPr="00A262D0">
        <w:rPr>
          <w:rFonts w:ascii="Times New Roman" w:hAnsi="Times New Roman" w:cs="Times New Roman"/>
          <w:sz w:val="24"/>
          <w:szCs w:val="24"/>
        </w:rPr>
        <w:t>cited as UCC success stories, but whose legal codes reveal significant gaps when analysed through the lens of constitutional morality and gender justice.</w:t>
      </w:r>
    </w:p>
    <w:p w14:paraId="3C93E2AC" w14:textId="04691498" w:rsidR="00A262D0" w:rsidRDefault="00A262D0" w:rsidP="003367CB">
      <w:pPr>
        <w:spacing w:line="360" w:lineRule="auto"/>
        <w:jc w:val="both"/>
        <w:rPr>
          <w:rFonts w:ascii="Times New Roman" w:hAnsi="Times New Roman" w:cs="Times New Roman"/>
          <w:sz w:val="24"/>
          <w:szCs w:val="24"/>
        </w:rPr>
      </w:pPr>
      <w:r w:rsidRPr="00A262D0">
        <w:rPr>
          <w:rFonts w:ascii="Times New Roman" w:hAnsi="Times New Roman" w:cs="Times New Roman"/>
          <w:sz w:val="24"/>
          <w:szCs w:val="24"/>
        </w:rPr>
        <w:t xml:space="preserve">Goa is often portrayed as India’s </w:t>
      </w:r>
      <w:r w:rsidR="00683263">
        <w:rPr>
          <w:rFonts w:ascii="Times New Roman" w:hAnsi="Times New Roman" w:cs="Times New Roman"/>
          <w:sz w:val="24"/>
          <w:szCs w:val="24"/>
        </w:rPr>
        <w:t xml:space="preserve">de facto model when it comes to the existence of </w:t>
      </w:r>
      <w:r w:rsidRPr="00A262D0">
        <w:rPr>
          <w:rFonts w:ascii="Times New Roman" w:hAnsi="Times New Roman" w:cs="Times New Roman"/>
          <w:sz w:val="24"/>
          <w:szCs w:val="24"/>
        </w:rPr>
        <w:t xml:space="preserve">a functioning UCC. The family law system in Goa, </w:t>
      </w:r>
      <w:r w:rsidR="00683263">
        <w:rPr>
          <w:rFonts w:ascii="Times New Roman" w:hAnsi="Times New Roman" w:cs="Times New Roman"/>
          <w:sz w:val="24"/>
          <w:szCs w:val="24"/>
        </w:rPr>
        <w:t xml:space="preserve">that is </w:t>
      </w:r>
      <w:r w:rsidRPr="00A262D0">
        <w:rPr>
          <w:rFonts w:ascii="Times New Roman" w:hAnsi="Times New Roman" w:cs="Times New Roman"/>
          <w:sz w:val="24"/>
          <w:szCs w:val="24"/>
        </w:rPr>
        <w:t xml:space="preserve">derived from the Portuguese Civil Code of 1867, </w:t>
      </w:r>
      <w:r w:rsidRPr="00A262D0">
        <w:rPr>
          <w:rFonts w:ascii="Times New Roman" w:hAnsi="Times New Roman" w:cs="Times New Roman"/>
          <w:sz w:val="24"/>
          <w:szCs w:val="24"/>
        </w:rPr>
        <w:lastRenderedPageBreak/>
        <w:t xml:space="preserve">has remained in force even after the state’s integration </w:t>
      </w:r>
      <w:r w:rsidR="00683263">
        <w:rPr>
          <w:rFonts w:ascii="Times New Roman" w:hAnsi="Times New Roman" w:cs="Times New Roman"/>
          <w:sz w:val="24"/>
          <w:szCs w:val="24"/>
        </w:rPr>
        <w:t>with the Indian state</w:t>
      </w:r>
      <w:r>
        <w:rPr>
          <w:rFonts w:ascii="Times New Roman" w:hAnsi="Times New Roman" w:cs="Times New Roman"/>
          <w:sz w:val="24"/>
          <w:szCs w:val="24"/>
        </w:rPr>
        <w:t xml:space="preserve">, </w:t>
      </w:r>
      <w:r w:rsidR="00683263">
        <w:rPr>
          <w:rFonts w:ascii="Times New Roman" w:hAnsi="Times New Roman" w:cs="Times New Roman"/>
          <w:sz w:val="24"/>
          <w:szCs w:val="24"/>
        </w:rPr>
        <w:t xml:space="preserve">ensuring the existence of such </w:t>
      </w:r>
      <w:r w:rsidR="00B16AFE">
        <w:rPr>
          <w:rFonts w:ascii="Times New Roman" w:hAnsi="Times New Roman" w:cs="Times New Roman"/>
          <w:sz w:val="24"/>
          <w:szCs w:val="24"/>
        </w:rPr>
        <w:t>a code which is uniform for the state’s inhabitants regardless of their religion or culture.</w:t>
      </w:r>
      <w:r w:rsidR="00B16AFE">
        <w:rPr>
          <w:rStyle w:val="FootnoteReference"/>
          <w:rFonts w:ascii="Times New Roman" w:hAnsi="Times New Roman" w:cs="Times New Roman"/>
          <w:sz w:val="24"/>
          <w:szCs w:val="24"/>
        </w:rPr>
        <w:footnoteReference w:id="1"/>
      </w:r>
      <w:r w:rsidR="00BB4391">
        <w:rPr>
          <w:rFonts w:ascii="Times New Roman" w:hAnsi="Times New Roman" w:cs="Times New Roman"/>
          <w:sz w:val="24"/>
          <w:szCs w:val="24"/>
        </w:rPr>
        <w:t xml:space="preserve"> </w:t>
      </w:r>
      <w:r w:rsidR="00700144">
        <w:rPr>
          <w:rFonts w:ascii="Times New Roman" w:hAnsi="Times New Roman" w:cs="Times New Roman"/>
          <w:sz w:val="24"/>
          <w:szCs w:val="24"/>
        </w:rPr>
        <w:t>This code is distinctive be</w:t>
      </w:r>
      <w:r w:rsidR="009813D2">
        <w:rPr>
          <w:rFonts w:ascii="Times New Roman" w:hAnsi="Times New Roman" w:cs="Times New Roman"/>
          <w:sz w:val="24"/>
          <w:szCs w:val="24"/>
        </w:rPr>
        <w:t>cause</w:t>
      </w:r>
      <w:r w:rsidR="00700144">
        <w:rPr>
          <w:rFonts w:ascii="Times New Roman" w:hAnsi="Times New Roman" w:cs="Times New Roman"/>
          <w:sz w:val="24"/>
          <w:szCs w:val="24"/>
        </w:rPr>
        <w:t xml:space="preserve"> it chooses to treat the female &amp; male heirs </w:t>
      </w:r>
      <w:r w:rsidR="009813D2">
        <w:rPr>
          <w:rFonts w:ascii="Times New Roman" w:hAnsi="Times New Roman" w:cs="Times New Roman"/>
          <w:sz w:val="24"/>
          <w:szCs w:val="24"/>
        </w:rPr>
        <w:t>in the same manner when it comes to</w:t>
      </w:r>
      <w:r w:rsidR="00812796">
        <w:rPr>
          <w:rFonts w:ascii="Times New Roman" w:hAnsi="Times New Roman" w:cs="Times New Roman"/>
          <w:sz w:val="24"/>
          <w:szCs w:val="24"/>
        </w:rPr>
        <w:t xml:space="preserve"> matters of</w:t>
      </w:r>
      <w:r w:rsidR="009813D2">
        <w:rPr>
          <w:rFonts w:ascii="Times New Roman" w:hAnsi="Times New Roman" w:cs="Times New Roman"/>
          <w:sz w:val="24"/>
          <w:szCs w:val="24"/>
        </w:rPr>
        <w:t xml:space="preserve"> inheritance or succession, in contrast to the other personal laws where the scheme of succession for the men and women differ with an anomaly existing for the women if she were to die without children as </w:t>
      </w:r>
      <w:r w:rsidR="00812796">
        <w:rPr>
          <w:rFonts w:ascii="Times New Roman" w:hAnsi="Times New Roman" w:cs="Times New Roman"/>
          <w:sz w:val="24"/>
          <w:szCs w:val="24"/>
        </w:rPr>
        <w:t xml:space="preserve">depicted by S.15 </w:t>
      </w:r>
      <w:r w:rsidR="009813D2">
        <w:rPr>
          <w:rFonts w:ascii="Times New Roman" w:hAnsi="Times New Roman" w:cs="Times New Roman"/>
          <w:sz w:val="24"/>
          <w:szCs w:val="24"/>
        </w:rPr>
        <w:t xml:space="preserve"> of the Hindu Succession Act</w:t>
      </w:r>
      <w:r w:rsidR="00812796">
        <w:rPr>
          <w:rFonts w:ascii="Times New Roman" w:hAnsi="Times New Roman" w:cs="Times New Roman"/>
          <w:sz w:val="24"/>
          <w:szCs w:val="24"/>
        </w:rPr>
        <w:t>.</w:t>
      </w:r>
      <w:r w:rsidR="00812796">
        <w:rPr>
          <w:rStyle w:val="FootnoteReference"/>
          <w:rFonts w:ascii="Times New Roman" w:hAnsi="Times New Roman" w:cs="Times New Roman"/>
          <w:sz w:val="24"/>
          <w:szCs w:val="24"/>
        </w:rPr>
        <w:footnoteReference w:id="2"/>
      </w:r>
      <w:r w:rsidR="009813D2">
        <w:rPr>
          <w:rFonts w:ascii="Times New Roman" w:hAnsi="Times New Roman" w:cs="Times New Roman"/>
          <w:sz w:val="24"/>
          <w:szCs w:val="24"/>
        </w:rPr>
        <w:t xml:space="preserve"> Furthermore, the code does also make use of gender-neutral terms such as “ascendants”, “descendants”, and “surviving spouse”</w:t>
      </w:r>
      <w:r w:rsidR="009813D2">
        <w:rPr>
          <w:rStyle w:val="FootnoteReference"/>
          <w:rFonts w:ascii="Times New Roman" w:hAnsi="Times New Roman" w:cs="Times New Roman"/>
          <w:sz w:val="24"/>
          <w:szCs w:val="24"/>
        </w:rPr>
        <w:footnoteReference w:id="3"/>
      </w:r>
      <w:r w:rsidR="009813D2">
        <w:rPr>
          <w:rFonts w:ascii="Times New Roman" w:hAnsi="Times New Roman" w:cs="Times New Roman"/>
          <w:sz w:val="24"/>
          <w:szCs w:val="24"/>
        </w:rPr>
        <w:t xml:space="preserve"> as opposed to gender centric terms existing in the other personal laws prevalent in the country. Even the provisions for the devolution of assets or property of an individual </w:t>
      </w:r>
      <w:proofErr w:type="gramStart"/>
      <w:r w:rsidR="009813D2">
        <w:rPr>
          <w:rFonts w:ascii="Times New Roman" w:hAnsi="Times New Roman" w:cs="Times New Roman"/>
          <w:sz w:val="24"/>
          <w:szCs w:val="24"/>
        </w:rPr>
        <w:t>is</w:t>
      </w:r>
      <w:proofErr w:type="gramEnd"/>
      <w:r w:rsidR="009813D2">
        <w:rPr>
          <w:rFonts w:ascii="Times New Roman" w:hAnsi="Times New Roman" w:cs="Times New Roman"/>
          <w:sz w:val="24"/>
          <w:szCs w:val="24"/>
        </w:rPr>
        <w:t xml:space="preserve"> the same, implying that no difference exists between a male or female when it comes to property devolution. But</w:t>
      </w:r>
      <w:r w:rsidR="00BB4391">
        <w:rPr>
          <w:rFonts w:ascii="Times New Roman" w:hAnsi="Times New Roman" w:cs="Times New Roman"/>
          <w:sz w:val="24"/>
          <w:szCs w:val="24"/>
        </w:rPr>
        <w:t xml:space="preserve"> </w:t>
      </w:r>
      <w:r w:rsidR="009813D2">
        <w:rPr>
          <w:rFonts w:ascii="Times New Roman" w:hAnsi="Times New Roman" w:cs="Times New Roman"/>
          <w:sz w:val="24"/>
          <w:szCs w:val="24"/>
        </w:rPr>
        <w:t>it’s</w:t>
      </w:r>
      <w:r w:rsidR="00BB4391">
        <w:rPr>
          <w:rFonts w:ascii="Times New Roman" w:hAnsi="Times New Roman" w:cs="Times New Roman"/>
          <w:sz w:val="24"/>
          <w:szCs w:val="24"/>
        </w:rPr>
        <w:t xml:space="preserve"> not necessary that uniformity is to be always equated to every individual being entitled to the same rights, it might just also mean to be equality when it comes to discrimination.</w:t>
      </w:r>
      <w:r w:rsidR="00BB4391">
        <w:rPr>
          <w:rStyle w:val="FootnoteReference"/>
          <w:rFonts w:ascii="Times New Roman" w:hAnsi="Times New Roman" w:cs="Times New Roman"/>
          <w:sz w:val="24"/>
          <w:szCs w:val="24"/>
        </w:rPr>
        <w:footnoteReference w:id="4"/>
      </w:r>
      <w:r w:rsidR="00BB4391">
        <w:rPr>
          <w:rFonts w:ascii="Times New Roman" w:hAnsi="Times New Roman" w:cs="Times New Roman"/>
          <w:sz w:val="24"/>
          <w:szCs w:val="24"/>
        </w:rPr>
        <w:t xml:space="preserve"> While various provisions of the Goan uniform code such as the communion of assets between the husband and wife once they are married, the compulsory civil registration of marriages for all Goan residents or even the concept of matrimonial rights to property which is unique to Goa, these provisions do pan out differently for different communities across the state</w:t>
      </w:r>
      <w:r w:rsidR="00700144">
        <w:rPr>
          <w:rFonts w:ascii="Times New Roman" w:hAnsi="Times New Roman" w:cs="Times New Roman"/>
          <w:sz w:val="24"/>
          <w:szCs w:val="24"/>
        </w:rPr>
        <w:t xml:space="preserve">, and </w:t>
      </w:r>
      <w:r w:rsidR="00BB4391">
        <w:rPr>
          <w:rFonts w:ascii="Times New Roman" w:hAnsi="Times New Roman" w:cs="Times New Roman"/>
          <w:sz w:val="24"/>
          <w:szCs w:val="24"/>
        </w:rPr>
        <w:t>gendered loopholes</w:t>
      </w:r>
      <w:r w:rsidR="00700144">
        <w:rPr>
          <w:rFonts w:ascii="Times New Roman" w:hAnsi="Times New Roman" w:cs="Times New Roman"/>
          <w:sz w:val="24"/>
          <w:szCs w:val="24"/>
        </w:rPr>
        <w:t xml:space="preserve"> in the code are not hard to find. </w:t>
      </w:r>
      <w:r w:rsidRPr="00A262D0">
        <w:rPr>
          <w:rFonts w:ascii="Times New Roman" w:hAnsi="Times New Roman" w:cs="Times New Roman"/>
          <w:sz w:val="24"/>
          <w:szCs w:val="24"/>
        </w:rPr>
        <w:t>For instance, while the concept of community property implies equal rights over marital assets, in practice, the husband is granted administrative authority over this property. This dynamic often sidelines the woman’s role decision-making</w:t>
      </w:r>
      <w:r>
        <w:rPr>
          <w:rFonts w:ascii="Times New Roman" w:hAnsi="Times New Roman" w:cs="Times New Roman"/>
          <w:sz w:val="24"/>
          <w:szCs w:val="24"/>
        </w:rPr>
        <w:t xml:space="preserve"> of the property due the husband “managing” the property,</w:t>
      </w:r>
      <w:r w:rsidRPr="00A262D0">
        <w:rPr>
          <w:rFonts w:ascii="Times New Roman" w:hAnsi="Times New Roman" w:cs="Times New Roman"/>
          <w:sz w:val="24"/>
          <w:szCs w:val="24"/>
        </w:rPr>
        <w:t xml:space="preserve"> t</w:t>
      </w:r>
      <w:r>
        <w:rPr>
          <w:rFonts w:ascii="Times New Roman" w:hAnsi="Times New Roman" w:cs="Times New Roman"/>
          <w:sz w:val="24"/>
          <w:szCs w:val="24"/>
        </w:rPr>
        <w:t xml:space="preserve">hereby reinforcing </w:t>
      </w:r>
      <w:r w:rsidRPr="00A262D0">
        <w:rPr>
          <w:rFonts w:ascii="Times New Roman" w:hAnsi="Times New Roman" w:cs="Times New Roman"/>
          <w:sz w:val="24"/>
          <w:szCs w:val="24"/>
        </w:rPr>
        <w:t xml:space="preserve">the traditional power hierarchy within the household. Moreover, exceptions exist within the code that allow Hindu men to take a second wife under specific conditions, such as the absence of a male heir—thereby undermining the very principle of uniformity that the law is meant to uphold. The code also lacks adequate protections for women in cases of marital breakdown, including provisions for maintenance, domestic violence, or the equitable division of property upon divorce. These gaps have real, adverse consequences for women, particularly homemakers and those from </w:t>
      </w:r>
      <w:r w:rsidRPr="00A262D0">
        <w:rPr>
          <w:rFonts w:ascii="Times New Roman" w:hAnsi="Times New Roman" w:cs="Times New Roman"/>
          <w:sz w:val="24"/>
          <w:szCs w:val="24"/>
        </w:rPr>
        <w:lastRenderedPageBreak/>
        <w:t>economically disadvantaged backgrounds, who are rendered vulnerable in the absence of social and financial support.</w:t>
      </w:r>
    </w:p>
    <w:p w14:paraId="0D932DF4" w14:textId="07D734BF" w:rsidR="00A262D0" w:rsidRDefault="00A262D0" w:rsidP="003367C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One other major concern of the Goan code is its colonial origin and its subsequent retention despite the state’s integration with independent India, causing the law to never be a subject of public debate or reform. The continued application of such a code does raise questions about its contemporary relevance as well as legitimacy in order to be used as a model for the rest of the country. </w:t>
      </w:r>
      <w:proofErr w:type="spellStart"/>
      <w:proofErr w:type="gramStart"/>
      <w:r>
        <w:rPr>
          <w:rFonts w:ascii="Times New Roman" w:hAnsi="Times New Roman" w:cs="Times New Roman"/>
          <w:sz w:val="24"/>
          <w:szCs w:val="24"/>
        </w:rPr>
        <w:t>Its</w:t>
      </w:r>
      <w:proofErr w:type="spellEnd"/>
      <w:proofErr w:type="gramEnd"/>
      <w:r>
        <w:rPr>
          <w:rFonts w:ascii="Times New Roman" w:hAnsi="Times New Roman" w:cs="Times New Roman"/>
          <w:sz w:val="24"/>
          <w:szCs w:val="24"/>
        </w:rPr>
        <w:t xml:space="preserve"> also been pointed out that the Goan model claims to be secular does tend to reflect upper-caste hindu norms and values, resulting in the marginalisation of other communities and cultures. </w:t>
      </w:r>
      <w:r w:rsidR="00AA5450" w:rsidRPr="00AA5450">
        <w:rPr>
          <w:rFonts w:ascii="Times New Roman" w:hAnsi="Times New Roman" w:cs="Times New Roman"/>
          <w:sz w:val="24"/>
          <w:szCs w:val="24"/>
        </w:rPr>
        <w:t>Women's organisations in Goa have consistently demanded revisions to the law that would make it more gender-sensitive and reflective of the lived realities of Goan women, but such reforms have been slow and limited. Thus, despite its symbolic importance, the Goan Civil Code illustrates the limitations of legal uniformity when it fails to be substantively equitable.</w:t>
      </w:r>
    </w:p>
    <w:p w14:paraId="350080B1" w14:textId="34D3CE08" w:rsidR="00312C4D" w:rsidRDefault="007A3F61" w:rsidP="003367C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On the other hand, Uttarakhand’s Uniform Civil Code Act of 2024 </w:t>
      </w:r>
      <w:r w:rsidR="00782376">
        <w:rPr>
          <w:rFonts w:ascii="Times New Roman" w:hAnsi="Times New Roman" w:cs="Times New Roman"/>
          <w:sz w:val="24"/>
          <w:szCs w:val="24"/>
        </w:rPr>
        <w:t>m</w:t>
      </w:r>
      <w:r w:rsidR="00782376" w:rsidRPr="00782376">
        <w:rPr>
          <w:rFonts w:ascii="Times New Roman" w:hAnsi="Times New Roman" w:cs="Times New Roman"/>
          <w:sz w:val="24"/>
          <w:szCs w:val="24"/>
        </w:rPr>
        <w:t xml:space="preserve">arked the first major step by a state in post-independence India to implement what Article 44 envisions. The law standardizes the age of marriage across communities. It requires </w:t>
      </w:r>
      <w:r w:rsidR="00782376">
        <w:rPr>
          <w:rFonts w:ascii="Times New Roman" w:hAnsi="Times New Roman" w:cs="Times New Roman"/>
          <w:sz w:val="24"/>
          <w:szCs w:val="24"/>
        </w:rPr>
        <w:t xml:space="preserve">for the </w:t>
      </w:r>
      <w:r w:rsidR="00782376" w:rsidRPr="00782376">
        <w:rPr>
          <w:rFonts w:ascii="Times New Roman" w:hAnsi="Times New Roman" w:cs="Times New Roman"/>
          <w:sz w:val="24"/>
          <w:szCs w:val="24"/>
        </w:rPr>
        <w:t>compulsory registration of marriages</w:t>
      </w:r>
      <w:r w:rsidR="00782376">
        <w:rPr>
          <w:rFonts w:ascii="Times New Roman" w:hAnsi="Times New Roman" w:cs="Times New Roman"/>
          <w:sz w:val="24"/>
          <w:szCs w:val="24"/>
        </w:rPr>
        <w:t xml:space="preserve"> much like the Goan code as well as</w:t>
      </w:r>
      <w:r w:rsidR="00782376" w:rsidRPr="00782376">
        <w:rPr>
          <w:rFonts w:ascii="Times New Roman" w:hAnsi="Times New Roman" w:cs="Times New Roman"/>
          <w:sz w:val="24"/>
          <w:szCs w:val="24"/>
        </w:rPr>
        <w:t xml:space="preserve"> </w:t>
      </w:r>
      <w:r w:rsidR="00782376">
        <w:rPr>
          <w:rFonts w:ascii="Times New Roman" w:hAnsi="Times New Roman" w:cs="Times New Roman"/>
          <w:sz w:val="24"/>
          <w:szCs w:val="24"/>
        </w:rPr>
        <w:t xml:space="preserve">for </w:t>
      </w:r>
      <w:r w:rsidR="00782376" w:rsidRPr="00782376">
        <w:rPr>
          <w:rFonts w:ascii="Times New Roman" w:hAnsi="Times New Roman" w:cs="Times New Roman"/>
          <w:sz w:val="24"/>
          <w:szCs w:val="24"/>
        </w:rPr>
        <w:t>live-in relationships</w:t>
      </w:r>
      <w:r w:rsidR="00782376">
        <w:rPr>
          <w:rFonts w:ascii="Times New Roman" w:hAnsi="Times New Roman" w:cs="Times New Roman"/>
          <w:sz w:val="24"/>
          <w:szCs w:val="24"/>
        </w:rPr>
        <w:t xml:space="preserve"> pointing towards certain inclusivity and tolerance. The act also aims at prohibiting practices such as </w:t>
      </w:r>
      <w:r w:rsidR="00782376" w:rsidRPr="00782376">
        <w:rPr>
          <w:rFonts w:ascii="Times New Roman" w:hAnsi="Times New Roman" w:cs="Times New Roman"/>
          <w:sz w:val="24"/>
          <w:szCs w:val="24"/>
        </w:rPr>
        <w:t xml:space="preserve">polygamy and </w:t>
      </w:r>
      <w:r w:rsidR="00782376">
        <w:rPr>
          <w:rFonts w:ascii="Times New Roman" w:hAnsi="Times New Roman" w:cs="Times New Roman"/>
          <w:sz w:val="24"/>
          <w:szCs w:val="24"/>
        </w:rPr>
        <w:t xml:space="preserve">nikah </w:t>
      </w:r>
      <w:r w:rsidR="00782376" w:rsidRPr="00782376">
        <w:rPr>
          <w:rFonts w:ascii="Times New Roman" w:hAnsi="Times New Roman" w:cs="Times New Roman"/>
          <w:sz w:val="24"/>
          <w:szCs w:val="24"/>
        </w:rPr>
        <w:t xml:space="preserve">halala </w:t>
      </w:r>
      <w:r w:rsidR="00782376">
        <w:rPr>
          <w:rFonts w:ascii="Times New Roman" w:hAnsi="Times New Roman" w:cs="Times New Roman"/>
          <w:sz w:val="24"/>
          <w:szCs w:val="24"/>
        </w:rPr>
        <w:t xml:space="preserve">which often times places the women on the discriminatory side of the law, interfering with her rights. Further, certain provisions of the act also aim to provide </w:t>
      </w:r>
      <w:r w:rsidR="00782376" w:rsidRPr="00782376">
        <w:rPr>
          <w:rFonts w:ascii="Times New Roman" w:hAnsi="Times New Roman" w:cs="Times New Roman"/>
          <w:sz w:val="24"/>
          <w:szCs w:val="24"/>
        </w:rPr>
        <w:t>equal inheritance rights to sons and daughters.</w:t>
      </w:r>
      <w:r w:rsidR="00782376">
        <w:rPr>
          <w:rFonts w:ascii="Times New Roman" w:hAnsi="Times New Roman" w:cs="Times New Roman"/>
          <w:sz w:val="24"/>
          <w:szCs w:val="24"/>
        </w:rPr>
        <w:t xml:space="preserve"> Though the law</w:t>
      </w:r>
      <w:r w:rsidR="00782376" w:rsidRPr="00782376">
        <w:rPr>
          <w:rFonts w:ascii="Times New Roman" w:hAnsi="Times New Roman" w:cs="Times New Roman"/>
          <w:sz w:val="24"/>
          <w:szCs w:val="24"/>
        </w:rPr>
        <w:t xml:space="preserve"> present</w:t>
      </w:r>
      <w:r w:rsidR="00782376">
        <w:rPr>
          <w:rFonts w:ascii="Times New Roman" w:hAnsi="Times New Roman" w:cs="Times New Roman"/>
          <w:sz w:val="24"/>
          <w:szCs w:val="24"/>
        </w:rPr>
        <w:t>s</w:t>
      </w:r>
      <w:r w:rsidR="00782376" w:rsidRPr="00782376">
        <w:rPr>
          <w:rFonts w:ascii="Times New Roman" w:hAnsi="Times New Roman" w:cs="Times New Roman"/>
          <w:sz w:val="24"/>
          <w:szCs w:val="24"/>
        </w:rPr>
        <w:t xml:space="preserve"> itself as a secular and gender-</w:t>
      </w:r>
      <w:r w:rsidR="00782376">
        <w:rPr>
          <w:rFonts w:ascii="Times New Roman" w:hAnsi="Times New Roman" w:cs="Times New Roman"/>
          <w:sz w:val="24"/>
          <w:szCs w:val="24"/>
        </w:rPr>
        <w:t>just</w:t>
      </w:r>
      <w:r w:rsidR="00782376" w:rsidRPr="00782376">
        <w:rPr>
          <w:rFonts w:ascii="Times New Roman" w:hAnsi="Times New Roman" w:cs="Times New Roman"/>
          <w:sz w:val="24"/>
          <w:szCs w:val="24"/>
        </w:rPr>
        <w:t xml:space="preserve"> framework</w:t>
      </w:r>
      <w:r w:rsidR="00782376">
        <w:rPr>
          <w:rFonts w:ascii="Times New Roman" w:hAnsi="Times New Roman" w:cs="Times New Roman"/>
          <w:sz w:val="24"/>
          <w:szCs w:val="24"/>
        </w:rPr>
        <w:t xml:space="preserve"> there are also shortcoming attached to this proposed framework. Firstly, the </w:t>
      </w:r>
      <w:r w:rsidR="00782376" w:rsidRPr="00782376">
        <w:rPr>
          <w:rFonts w:ascii="Times New Roman" w:hAnsi="Times New Roman" w:cs="Times New Roman"/>
          <w:sz w:val="24"/>
          <w:szCs w:val="24"/>
        </w:rPr>
        <w:t xml:space="preserve">law </w:t>
      </w:r>
      <w:r w:rsidR="00782376">
        <w:rPr>
          <w:rFonts w:ascii="Times New Roman" w:hAnsi="Times New Roman" w:cs="Times New Roman"/>
          <w:sz w:val="24"/>
          <w:szCs w:val="24"/>
        </w:rPr>
        <w:t xml:space="preserve">chooses to </w:t>
      </w:r>
      <w:r w:rsidR="00782376" w:rsidRPr="00782376">
        <w:rPr>
          <w:rFonts w:ascii="Times New Roman" w:hAnsi="Times New Roman" w:cs="Times New Roman"/>
          <w:sz w:val="24"/>
          <w:szCs w:val="24"/>
        </w:rPr>
        <w:t>exempt Scheduled Tribes, who make up a large part of the state’s population, undermining the claim of universal applicability. It also reflects Hindu succession rules, particularly by allowing complete testamentary freedom, which can be exploited to disinherit women</w:t>
      </w:r>
      <w:r w:rsidR="00782376">
        <w:rPr>
          <w:rFonts w:ascii="Times New Roman" w:hAnsi="Times New Roman" w:cs="Times New Roman"/>
          <w:sz w:val="24"/>
          <w:szCs w:val="24"/>
        </w:rPr>
        <w:t>, disregarding the intended protection</w:t>
      </w:r>
      <w:r w:rsidR="00782376" w:rsidRPr="00782376">
        <w:rPr>
          <w:rFonts w:ascii="Times New Roman" w:hAnsi="Times New Roman" w:cs="Times New Roman"/>
          <w:sz w:val="24"/>
          <w:szCs w:val="24"/>
        </w:rPr>
        <w:t xml:space="preserve"> of </w:t>
      </w:r>
      <w:r w:rsidR="00782376">
        <w:rPr>
          <w:rFonts w:ascii="Times New Roman" w:hAnsi="Times New Roman" w:cs="Times New Roman"/>
          <w:sz w:val="24"/>
          <w:szCs w:val="24"/>
        </w:rPr>
        <w:t xml:space="preserve">the provision of </w:t>
      </w:r>
      <w:r w:rsidR="00782376" w:rsidRPr="00782376">
        <w:rPr>
          <w:rFonts w:ascii="Times New Roman" w:hAnsi="Times New Roman" w:cs="Times New Roman"/>
          <w:sz w:val="24"/>
          <w:szCs w:val="24"/>
        </w:rPr>
        <w:t>equal inheritance</w:t>
      </w:r>
      <w:r w:rsidR="00782376">
        <w:rPr>
          <w:rFonts w:ascii="Times New Roman" w:hAnsi="Times New Roman" w:cs="Times New Roman"/>
          <w:sz w:val="24"/>
          <w:szCs w:val="24"/>
        </w:rPr>
        <w:t xml:space="preserve">. </w:t>
      </w:r>
      <w:r w:rsidR="00782376" w:rsidRPr="00782376">
        <w:rPr>
          <w:rFonts w:ascii="Times New Roman" w:hAnsi="Times New Roman" w:cs="Times New Roman"/>
          <w:sz w:val="24"/>
          <w:szCs w:val="24"/>
        </w:rPr>
        <w:t xml:space="preserve">Additionally, the provisions concerning live-in relationships </w:t>
      </w:r>
      <w:r w:rsidR="00782376">
        <w:rPr>
          <w:rFonts w:ascii="Times New Roman" w:hAnsi="Times New Roman" w:cs="Times New Roman"/>
          <w:sz w:val="24"/>
          <w:szCs w:val="24"/>
        </w:rPr>
        <w:t xml:space="preserve">which </w:t>
      </w:r>
      <w:r w:rsidR="00782376" w:rsidRPr="00782376">
        <w:rPr>
          <w:rFonts w:ascii="Times New Roman" w:hAnsi="Times New Roman" w:cs="Times New Roman"/>
          <w:sz w:val="24"/>
          <w:szCs w:val="24"/>
        </w:rPr>
        <w:t>require</w:t>
      </w:r>
      <w:r w:rsidR="00782376">
        <w:rPr>
          <w:rFonts w:ascii="Times New Roman" w:hAnsi="Times New Roman" w:cs="Times New Roman"/>
          <w:sz w:val="24"/>
          <w:szCs w:val="24"/>
        </w:rPr>
        <w:t>s</w:t>
      </w:r>
      <w:r w:rsidR="00782376" w:rsidRPr="00782376">
        <w:rPr>
          <w:rFonts w:ascii="Times New Roman" w:hAnsi="Times New Roman" w:cs="Times New Roman"/>
          <w:sz w:val="24"/>
          <w:szCs w:val="24"/>
        </w:rPr>
        <w:t xml:space="preserve"> couples to report their union within 30 days</w:t>
      </w:r>
      <w:r w:rsidR="00782376">
        <w:rPr>
          <w:rFonts w:ascii="Times New Roman" w:hAnsi="Times New Roman" w:cs="Times New Roman"/>
          <w:sz w:val="24"/>
          <w:szCs w:val="24"/>
        </w:rPr>
        <w:t xml:space="preserve">, </w:t>
      </w:r>
      <w:r w:rsidR="00D84A8D">
        <w:rPr>
          <w:rFonts w:ascii="Times New Roman" w:hAnsi="Times New Roman" w:cs="Times New Roman"/>
          <w:sz w:val="24"/>
          <w:szCs w:val="24"/>
        </w:rPr>
        <w:t>directly leads to</w:t>
      </w:r>
      <w:r w:rsidR="00782376">
        <w:rPr>
          <w:rFonts w:ascii="Times New Roman" w:hAnsi="Times New Roman" w:cs="Times New Roman"/>
          <w:sz w:val="24"/>
          <w:szCs w:val="24"/>
        </w:rPr>
        <w:t xml:space="preserve"> state surveillance and interference into their personal lives, which once again </w:t>
      </w:r>
      <w:r w:rsidR="00782376" w:rsidRPr="00782376">
        <w:rPr>
          <w:rFonts w:ascii="Times New Roman" w:hAnsi="Times New Roman" w:cs="Times New Roman"/>
          <w:sz w:val="24"/>
          <w:szCs w:val="24"/>
        </w:rPr>
        <w:t xml:space="preserve">disproportionately </w:t>
      </w:r>
      <w:r w:rsidR="00782376">
        <w:rPr>
          <w:rFonts w:ascii="Times New Roman" w:hAnsi="Times New Roman" w:cs="Times New Roman"/>
          <w:sz w:val="24"/>
          <w:szCs w:val="24"/>
        </w:rPr>
        <w:t xml:space="preserve">women, with </w:t>
      </w:r>
      <w:r w:rsidR="00D84A8D">
        <w:rPr>
          <w:rFonts w:ascii="Times New Roman" w:hAnsi="Times New Roman" w:cs="Times New Roman"/>
          <w:sz w:val="24"/>
          <w:szCs w:val="24"/>
        </w:rPr>
        <w:t>them</w:t>
      </w:r>
      <w:r w:rsidR="00782376" w:rsidRPr="00782376">
        <w:rPr>
          <w:rFonts w:ascii="Times New Roman" w:hAnsi="Times New Roman" w:cs="Times New Roman"/>
          <w:sz w:val="24"/>
          <w:szCs w:val="24"/>
        </w:rPr>
        <w:t xml:space="preserve"> </w:t>
      </w:r>
      <w:r w:rsidR="00782376">
        <w:rPr>
          <w:rFonts w:ascii="Times New Roman" w:hAnsi="Times New Roman" w:cs="Times New Roman"/>
          <w:sz w:val="24"/>
          <w:szCs w:val="24"/>
        </w:rPr>
        <w:t xml:space="preserve">facing a greater harm </w:t>
      </w:r>
      <w:r w:rsidR="00312C4D">
        <w:rPr>
          <w:rFonts w:ascii="Times New Roman" w:hAnsi="Times New Roman" w:cs="Times New Roman"/>
          <w:sz w:val="24"/>
          <w:szCs w:val="24"/>
        </w:rPr>
        <w:t xml:space="preserve">by being subjected to </w:t>
      </w:r>
      <w:r w:rsidR="00782376">
        <w:rPr>
          <w:rFonts w:ascii="Times New Roman" w:hAnsi="Times New Roman" w:cs="Times New Roman"/>
          <w:sz w:val="24"/>
          <w:szCs w:val="24"/>
        </w:rPr>
        <w:t xml:space="preserve">societal </w:t>
      </w:r>
      <w:r w:rsidR="005324E7">
        <w:rPr>
          <w:rFonts w:ascii="Times New Roman" w:hAnsi="Times New Roman" w:cs="Times New Roman"/>
          <w:sz w:val="24"/>
          <w:szCs w:val="24"/>
        </w:rPr>
        <w:t>outbursts and criticism.</w:t>
      </w:r>
      <w:r w:rsidR="00782376" w:rsidRPr="00782376">
        <w:rPr>
          <w:rFonts w:ascii="Times New Roman" w:hAnsi="Times New Roman" w:cs="Times New Roman"/>
          <w:sz w:val="24"/>
          <w:szCs w:val="24"/>
        </w:rPr>
        <w:t xml:space="preserve"> </w:t>
      </w:r>
      <w:r w:rsidR="005324E7">
        <w:rPr>
          <w:rFonts w:ascii="Times New Roman" w:hAnsi="Times New Roman" w:cs="Times New Roman"/>
          <w:sz w:val="24"/>
          <w:szCs w:val="24"/>
        </w:rPr>
        <w:t xml:space="preserve">Several scholars as well as critics </w:t>
      </w:r>
      <w:r w:rsidR="00782376" w:rsidRPr="00782376">
        <w:rPr>
          <w:rFonts w:ascii="Times New Roman" w:hAnsi="Times New Roman" w:cs="Times New Roman"/>
          <w:sz w:val="24"/>
          <w:szCs w:val="24"/>
        </w:rPr>
        <w:t>have pointed out that the law selectively</w:t>
      </w:r>
      <w:r w:rsidR="005324E7">
        <w:rPr>
          <w:rFonts w:ascii="Times New Roman" w:hAnsi="Times New Roman" w:cs="Times New Roman"/>
          <w:sz w:val="24"/>
          <w:szCs w:val="24"/>
        </w:rPr>
        <w:t xml:space="preserve"> chooses to</w:t>
      </w:r>
      <w:r w:rsidR="00782376" w:rsidRPr="00782376">
        <w:rPr>
          <w:rFonts w:ascii="Times New Roman" w:hAnsi="Times New Roman" w:cs="Times New Roman"/>
          <w:sz w:val="24"/>
          <w:szCs w:val="24"/>
        </w:rPr>
        <w:t xml:space="preserve"> </w:t>
      </w:r>
      <w:r w:rsidR="005324E7" w:rsidRPr="00782376">
        <w:rPr>
          <w:rFonts w:ascii="Times New Roman" w:hAnsi="Times New Roman" w:cs="Times New Roman"/>
          <w:sz w:val="24"/>
          <w:szCs w:val="24"/>
        </w:rPr>
        <w:t>focus</w:t>
      </w:r>
      <w:r w:rsidR="00782376" w:rsidRPr="00782376">
        <w:rPr>
          <w:rFonts w:ascii="Times New Roman" w:hAnsi="Times New Roman" w:cs="Times New Roman"/>
          <w:sz w:val="24"/>
          <w:szCs w:val="24"/>
        </w:rPr>
        <w:t xml:space="preserve"> on Muslim practices like nikah halala and polygamy, while ignoring discriminatory customs in other communities, </w:t>
      </w:r>
      <w:r w:rsidR="005324E7">
        <w:rPr>
          <w:rFonts w:ascii="Times New Roman" w:hAnsi="Times New Roman" w:cs="Times New Roman"/>
          <w:sz w:val="24"/>
          <w:szCs w:val="24"/>
        </w:rPr>
        <w:t xml:space="preserve">which inherently chooses to lay down different conditions for women &amp; men when it comes to succession along </w:t>
      </w:r>
      <w:r w:rsidR="005324E7">
        <w:rPr>
          <w:rFonts w:ascii="Times New Roman" w:hAnsi="Times New Roman" w:cs="Times New Roman"/>
          <w:sz w:val="24"/>
          <w:szCs w:val="24"/>
        </w:rPr>
        <w:lastRenderedPageBreak/>
        <w:t xml:space="preserve">with the </w:t>
      </w:r>
      <w:r w:rsidR="00782376" w:rsidRPr="00782376">
        <w:rPr>
          <w:rFonts w:ascii="Times New Roman" w:hAnsi="Times New Roman" w:cs="Times New Roman"/>
          <w:sz w:val="24"/>
          <w:szCs w:val="24"/>
        </w:rPr>
        <w:t xml:space="preserve"> patriarchal Hindu guardianship laws</w:t>
      </w:r>
      <w:r w:rsidR="005324E7">
        <w:rPr>
          <w:rFonts w:ascii="Times New Roman" w:hAnsi="Times New Roman" w:cs="Times New Roman"/>
          <w:sz w:val="24"/>
          <w:szCs w:val="24"/>
        </w:rPr>
        <w:t xml:space="preserve">. What this does is highlight a majoritarian approach rather than an egalitarian society with its root at equality. </w:t>
      </w:r>
      <w:r w:rsidR="005324E7">
        <w:rPr>
          <w:rStyle w:val="FootnoteReference"/>
          <w:rFonts w:ascii="Times New Roman" w:hAnsi="Times New Roman" w:cs="Times New Roman"/>
          <w:sz w:val="24"/>
          <w:szCs w:val="24"/>
        </w:rPr>
        <w:footnoteReference w:id="5"/>
      </w:r>
      <w:r w:rsidR="00D84A8D">
        <w:rPr>
          <w:rFonts w:ascii="Times New Roman" w:hAnsi="Times New Roman" w:cs="Times New Roman"/>
          <w:sz w:val="24"/>
          <w:szCs w:val="24"/>
        </w:rPr>
        <w:t xml:space="preserve"> </w:t>
      </w:r>
    </w:p>
    <w:p w14:paraId="6F92B8C9" w14:textId="5A64CEB0" w:rsidR="00660C78" w:rsidRDefault="00D84A8D" w:rsidP="003367CB">
      <w:pPr>
        <w:spacing w:line="360" w:lineRule="auto"/>
        <w:jc w:val="both"/>
        <w:rPr>
          <w:rFonts w:ascii="Times New Roman" w:hAnsi="Times New Roman" w:cs="Times New Roman"/>
          <w:sz w:val="24"/>
          <w:szCs w:val="24"/>
        </w:rPr>
      </w:pPr>
      <w:r w:rsidRPr="00D84A8D">
        <w:rPr>
          <w:rFonts w:ascii="Times New Roman" w:hAnsi="Times New Roman" w:cs="Times New Roman"/>
          <w:sz w:val="24"/>
          <w:szCs w:val="24"/>
        </w:rPr>
        <w:t>Many feminist scholars and civil society commentators have strongly challenged the Uttarakhand Uniform Civil Code’s actual commitment to gender justice, arguing that its progressive veneer often masks patriarchal continuities and intrusive state control</w:t>
      </w:r>
      <w:r>
        <w:rPr>
          <w:rFonts w:ascii="Times New Roman" w:hAnsi="Times New Roman" w:cs="Times New Roman"/>
          <w:sz w:val="24"/>
          <w:szCs w:val="24"/>
        </w:rPr>
        <w:t xml:space="preserve"> much like the Goan code. Flavia Agnes, a prominent feminist legal scholar contends that th</w:t>
      </w:r>
      <w:r w:rsidR="00AA5450">
        <w:rPr>
          <w:rFonts w:ascii="Times New Roman" w:hAnsi="Times New Roman" w:cs="Times New Roman"/>
          <w:sz w:val="24"/>
          <w:szCs w:val="24"/>
        </w:rPr>
        <w:t xml:space="preserve">e </w:t>
      </w:r>
      <w:r>
        <w:rPr>
          <w:rFonts w:ascii="Times New Roman" w:hAnsi="Times New Roman" w:cs="Times New Roman"/>
          <w:sz w:val="24"/>
          <w:szCs w:val="24"/>
        </w:rPr>
        <w:t xml:space="preserve">provision </w:t>
      </w:r>
      <w:r w:rsidR="00AA5450">
        <w:rPr>
          <w:rFonts w:ascii="Times New Roman" w:hAnsi="Times New Roman" w:cs="Times New Roman"/>
          <w:sz w:val="24"/>
          <w:szCs w:val="24"/>
        </w:rPr>
        <w:t xml:space="preserve">pertaining to the disclosure of live-in relationships by individuals, </w:t>
      </w:r>
      <w:r w:rsidRPr="00D84A8D">
        <w:rPr>
          <w:rFonts w:ascii="Times New Roman" w:hAnsi="Times New Roman" w:cs="Times New Roman"/>
          <w:sz w:val="24"/>
          <w:szCs w:val="24"/>
        </w:rPr>
        <w:t>not only criminalizes non-conforming relationships but also subjects the private and consensual choices of adults to state surveillance and bureaucratic scrutiny</w:t>
      </w:r>
      <w:r>
        <w:rPr>
          <w:rFonts w:ascii="Times New Roman" w:hAnsi="Times New Roman" w:cs="Times New Roman"/>
          <w:sz w:val="24"/>
          <w:szCs w:val="24"/>
        </w:rPr>
        <w:t xml:space="preserve"> as stated</w:t>
      </w:r>
      <w:r w:rsidRPr="00D84A8D">
        <w:rPr>
          <w:rFonts w:ascii="Times New Roman" w:hAnsi="Times New Roman" w:cs="Times New Roman"/>
          <w:sz w:val="24"/>
          <w:szCs w:val="24"/>
        </w:rPr>
        <w:t>. This move, she argues, runs contrary to the constitutional right to privacy as upheld in</w:t>
      </w:r>
      <w:r>
        <w:rPr>
          <w:rFonts w:ascii="Times New Roman" w:hAnsi="Times New Roman" w:cs="Times New Roman"/>
          <w:sz w:val="24"/>
          <w:szCs w:val="24"/>
        </w:rPr>
        <w:t xml:space="preserve"> the case of</w:t>
      </w:r>
      <w:r w:rsidRPr="00D84A8D">
        <w:rPr>
          <w:rFonts w:ascii="Times New Roman" w:hAnsi="Times New Roman" w:cs="Times New Roman"/>
          <w:sz w:val="24"/>
          <w:szCs w:val="24"/>
        </w:rPr>
        <w:t xml:space="preserve"> </w:t>
      </w:r>
      <w:r w:rsidRPr="00D84A8D">
        <w:rPr>
          <w:rFonts w:ascii="Times New Roman" w:hAnsi="Times New Roman" w:cs="Times New Roman"/>
          <w:i/>
          <w:iCs/>
          <w:sz w:val="24"/>
          <w:szCs w:val="24"/>
        </w:rPr>
        <w:t>Justice K.S. Puttaswamy v. Union of India</w:t>
      </w:r>
      <w:r>
        <w:rPr>
          <w:rFonts w:ascii="Times New Roman" w:hAnsi="Times New Roman" w:cs="Times New Roman"/>
          <w:i/>
          <w:iCs/>
          <w:sz w:val="24"/>
          <w:szCs w:val="24"/>
        </w:rPr>
        <w:t xml:space="preserve"> </w:t>
      </w:r>
      <w:r w:rsidRPr="00D84A8D">
        <w:rPr>
          <w:rFonts w:ascii="Times New Roman" w:hAnsi="Times New Roman" w:cs="Times New Roman"/>
          <w:sz w:val="24"/>
          <w:szCs w:val="24"/>
        </w:rPr>
        <w:t>and opens the door to moral policing, particularly targeting interfaith couples, Dalit women, and those from socially vulnerable backgrounds who may already face coercion or stigma in familial settings.</w:t>
      </w:r>
      <w:r>
        <w:rPr>
          <w:rStyle w:val="FootnoteReference"/>
          <w:rFonts w:ascii="Times New Roman" w:hAnsi="Times New Roman" w:cs="Times New Roman"/>
          <w:sz w:val="24"/>
          <w:szCs w:val="24"/>
        </w:rPr>
        <w:footnoteReference w:id="6"/>
      </w:r>
      <w:r w:rsidR="00AA5450">
        <w:rPr>
          <w:rFonts w:ascii="Times New Roman" w:hAnsi="Times New Roman" w:cs="Times New Roman"/>
          <w:sz w:val="24"/>
          <w:szCs w:val="24"/>
        </w:rPr>
        <w:t xml:space="preserve"> </w:t>
      </w:r>
      <w:r w:rsidR="00263EDA">
        <w:rPr>
          <w:rFonts w:ascii="Times New Roman" w:hAnsi="Times New Roman" w:cs="Times New Roman"/>
          <w:sz w:val="24"/>
          <w:szCs w:val="24"/>
        </w:rPr>
        <w:t xml:space="preserve"> In consideration of this, if one were to selectively target a particular </w:t>
      </w:r>
      <w:r w:rsidR="001A6FD3">
        <w:rPr>
          <w:rFonts w:ascii="Times New Roman" w:hAnsi="Times New Roman" w:cs="Times New Roman"/>
          <w:sz w:val="24"/>
          <w:szCs w:val="24"/>
        </w:rPr>
        <w:t xml:space="preserve">sect or groups it would imply the existence of a majoritarian </w:t>
      </w:r>
      <w:r w:rsidR="00EA3F78">
        <w:rPr>
          <w:rFonts w:ascii="Times New Roman" w:hAnsi="Times New Roman" w:cs="Times New Roman"/>
          <w:sz w:val="24"/>
          <w:szCs w:val="24"/>
        </w:rPr>
        <w:t xml:space="preserve">undertone which would inevitably ruin the </w:t>
      </w:r>
      <w:r w:rsidR="00431181">
        <w:rPr>
          <w:rFonts w:ascii="Times New Roman" w:hAnsi="Times New Roman" w:cs="Times New Roman"/>
          <w:sz w:val="24"/>
          <w:szCs w:val="24"/>
        </w:rPr>
        <w:t xml:space="preserve">UCC discourse due to the idea of uniformity being used as a veil to hide </w:t>
      </w:r>
      <w:r w:rsidR="00774317">
        <w:rPr>
          <w:rFonts w:ascii="Times New Roman" w:hAnsi="Times New Roman" w:cs="Times New Roman"/>
          <w:sz w:val="24"/>
          <w:szCs w:val="24"/>
        </w:rPr>
        <w:t>and eventually impose the values of the dominant culture under the pretext of inte</w:t>
      </w:r>
      <w:r w:rsidR="00A97C06">
        <w:rPr>
          <w:rFonts w:ascii="Times New Roman" w:hAnsi="Times New Roman" w:cs="Times New Roman"/>
          <w:sz w:val="24"/>
          <w:szCs w:val="24"/>
        </w:rPr>
        <w:t xml:space="preserve">gration. Such a code thus, ends up becoming not a driver of gender justice </w:t>
      </w:r>
      <w:r w:rsidR="00151A29">
        <w:rPr>
          <w:rFonts w:ascii="Times New Roman" w:hAnsi="Times New Roman" w:cs="Times New Roman"/>
          <w:sz w:val="24"/>
          <w:szCs w:val="24"/>
        </w:rPr>
        <w:t>but rather something of a weapon of cultural assimilation.</w:t>
      </w:r>
    </w:p>
    <w:p w14:paraId="561F9BA6" w14:textId="5C46E481" w:rsidR="00432F39" w:rsidRDefault="00151A29" w:rsidP="003367C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This can </w:t>
      </w:r>
      <w:proofErr w:type="spellStart"/>
      <w:r>
        <w:rPr>
          <w:rFonts w:ascii="Times New Roman" w:hAnsi="Times New Roman" w:cs="Times New Roman"/>
          <w:sz w:val="24"/>
          <w:szCs w:val="24"/>
        </w:rPr>
        <w:t>very</w:t>
      </w:r>
      <w:proofErr w:type="spellEnd"/>
      <w:r>
        <w:rPr>
          <w:rFonts w:ascii="Times New Roman" w:hAnsi="Times New Roman" w:cs="Times New Roman"/>
          <w:sz w:val="24"/>
          <w:szCs w:val="24"/>
        </w:rPr>
        <w:t xml:space="preserve"> significantly be highlighted by means of the tendency </w:t>
      </w:r>
      <w:r w:rsidR="006A0256">
        <w:rPr>
          <w:rFonts w:ascii="Times New Roman" w:hAnsi="Times New Roman" w:cs="Times New Roman"/>
          <w:sz w:val="24"/>
          <w:szCs w:val="24"/>
        </w:rPr>
        <w:t>of the partial or complete ignorance of tribal communities while framing the code for Uttarakhand</w:t>
      </w:r>
      <w:r w:rsidR="005B5497">
        <w:rPr>
          <w:rFonts w:ascii="Times New Roman" w:hAnsi="Times New Roman" w:cs="Times New Roman"/>
          <w:sz w:val="24"/>
          <w:szCs w:val="24"/>
        </w:rPr>
        <w:t xml:space="preserve">, even though these communities form a huge part of the state’s population. </w:t>
      </w:r>
      <w:r w:rsidR="00432F39" w:rsidRPr="00432F39">
        <w:rPr>
          <w:rFonts w:ascii="Times New Roman" w:hAnsi="Times New Roman" w:cs="Times New Roman"/>
          <w:sz w:val="24"/>
          <w:szCs w:val="24"/>
        </w:rPr>
        <w:t xml:space="preserve">As </w:t>
      </w:r>
      <w:r w:rsidR="00432F39">
        <w:rPr>
          <w:rFonts w:ascii="Times New Roman" w:hAnsi="Times New Roman" w:cs="Times New Roman"/>
          <w:sz w:val="24"/>
          <w:szCs w:val="24"/>
        </w:rPr>
        <w:t xml:space="preserve">highlighted in </w:t>
      </w:r>
      <w:r w:rsidR="00432F39" w:rsidRPr="00432F39">
        <w:rPr>
          <w:rFonts w:ascii="Times New Roman" w:hAnsi="Times New Roman" w:cs="Times New Roman"/>
          <w:sz w:val="24"/>
          <w:szCs w:val="24"/>
        </w:rPr>
        <w:t>Saumya Uma</w:t>
      </w:r>
      <w:r w:rsidR="00432F39">
        <w:rPr>
          <w:rFonts w:ascii="Times New Roman" w:hAnsi="Times New Roman" w:cs="Times New Roman"/>
          <w:sz w:val="24"/>
          <w:szCs w:val="24"/>
        </w:rPr>
        <w:t xml:space="preserve">’s </w:t>
      </w:r>
      <w:r w:rsidR="00432F39" w:rsidRPr="00432F39">
        <w:rPr>
          <w:rFonts w:ascii="Times New Roman" w:hAnsi="Times New Roman" w:cs="Times New Roman"/>
          <w:sz w:val="24"/>
          <w:szCs w:val="24"/>
        </w:rPr>
        <w:t>essay</w:t>
      </w:r>
      <w:r w:rsidR="00432F39">
        <w:rPr>
          <w:rFonts w:ascii="Times New Roman" w:hAnsi="Times New Roman" w:cs="Times New Roman"/>
          <w:sz w:val="24"/>
          <w:szCs w:val="24"/>
        </w:rPr>
        <w:t xml:space="preserve"> titled </w:t>
      </w:r>
      <w:r w:rsidR="00432F39" w:rsidRPr="00432F39">
        <w:rPr>
          <w:rFonts w:ascii="Times New Roman" w:hAnsi="Times New Roman" w:cs="Times New Roman"/>
          <w:sz w:val="24"/>
          <w:szCs w:val="24"/>
        </w:rPr>
        <w:t xml:space="preserve"> “Between the Devil and the Deep Sea</w:t>
      </w:r>
      <w:r w:rsidR="00432F39">
        <w:rPr>
          <w:rFonts w:ascii="Times New Roman" w:hAnsi="Times New Roman" w:cs="Times New Roman"/>
          <w:sz w:val="24"/>
          <w:szCs w:val="24"/>
        </w:rPr>
        <w:t xml:space="preserve">: </w:t>
      </w:r>
      <w:r w:rsidR="00432F39" w:rsidRPr="00432F39">
        <w:rPr>
          <w:rFonts w:ascii="Times New Roman" w:hAnsi="Times New Roman" w:cs="Times New Roman"/>
          <w:sz w:val="24"/>
          <w:szCs w:val="24"/>
        </w:rPr>
        <w:t>Tribal Women’s Inheritance Rights in India ”, tribal communities are often caught between the homogenising force of a state-imposed civil code and the patriarchal elements within their own customary systems, leaving them with no meaningful choice.</w:t>
      </w:r>
      <w:r w:rsidR="00432F39">
        <w:rPr>
          <w:rStyle w:val="FootnoteReference"/>
          <w:rFonts w:ascii="Times New Roman" w:hAnsi="Times New Roman" w:cs="Times New Roman"/>
          <w:sz w:val="24"/>
          <w:szCs w:val="24"/>
        </w:rPr>
        <w:footnoteReference w:id="7"/>
      </w:r>
      <w:r w:rsidR="00432F39" w:rsidRPr="00432F39">
        <w:rPr>
          <w:rFonts w:ascii="Times New Roman" w:hAnsi="Times New Roman" w:cs="Times New Roman"/>
          <w:sz w:val="24"/>
          <w:szCs w:val="24"/>
        </w:rPr>
        <w:t xml:space="preserve"> In Uttarakhand, no exemptions or accommodations were made for the Scheduled Tribes, despite their distinct familial, inheritance, and marriage customs, and despite constitutional protections under the Fifth and Sixth Schedules meant to preserve such autonomy. By enforcing a blanket application of the UCC, the law not only overrides tribal </w:t>
      </w:r>
      <w:r w:rsidR="00432F39" w:rsidRPr="00432F39">
        <w:rPr>
          <w:rFonts w:ascii="Times New Roman" w:hAnsi="Times New Roman" w:cs="Times New Roman"/>
          <w:sz w:val="24"/>
          <w:szCs w:val="24"/>
        </w:rPr>
        <w:lastRenderedPageBreak/>
        <w:t>self-governance but risks criminalising their long-standing normative practices. Uma argues that such an imposition amounts to a form of cultural erasure, where the state’s notion of “modernity” and “progress” is constructed through the lens of dominant caste-Hindu norms. The reform thus operates not through participatory engagement but by subordinating alternative legal imaginations to a singular, centralised vision. In the process, the UCC's promise of justice becomes deeply exclusionary—alienating precisely those groups that constitutional pluralism was meant to protect. If the aim is genuine gender justice, then the path forward must reckon not just with religious patriarchy but also with the power dynamics of caste, indigeneity, and democratic consent.</w:t>
      </w:r>
    </w:p>
    <w:p w14:paraId="1E604CDC" w14:textId="2E148BB1" w:rsidR="005B5497" w:rsidRDefault="00432F39" w:rsidP="003367CB">
      <w:pPr>
        <w:spacing w:line="360" w:lineRule="auto"/>
        <w:jc w:val="both"/>
        <w:rPr>
          <w:rFonts w:ascii="Times New Roman" w:hAnsi="Times New Roman" w:cs="Times New Roman"/>
          <w:sz w:val="24"/>
          <w:szCs w:val="24"/>
        </w:rPr>
      </w:pPr>
      <w:r w:rsidRPr="00432F39">
        <w:rPr>
          <w:rFonts w:ascii="Times New Roman" w:hAnsi="Times New Roman" w:cs="Times New Roman"/>
          <w:sz w:val="24"/>
          <w:szCs w:val="24"/>
        </w:rPr>
        <w:t xml:space="preserve">Moreover, the top-down approach adopted in drafting and enacting the Uttarakhand UCC has attracted widespread criticism. The legislative process lacked meaningful consultation with key stakeholders, including religious minorities, tribal communities, women’s rights organisations, and marginalised caste groups. This exclusionary process undermines the democratic legitimacy of the law and raises serious concerns about the representativeness of its content. </w:t>
      </w:r>
    </w:p>
    <w:p w14:paraId="5B695BE4" w14:textId="7D894D5A" w:rsidR="005B5497" w:rsidRDefault="005B5497" w:rsidP="003367C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Many scholars, particularly those </w:t>
      </w:r>
      <w:r w:rsidR="00F732E4">
        <w:rPr>
          <w:rFonts w:ascii="Times New Roman" w:hAnsi="Times New Roman" w:cs="Times New Roman"/>
          <w:sz w:val="24"/>
          <w:szCs w:val="24"/>
        </w:rPr>
        <w:t>of feminist interest have pointed out the simple fact towards the creation and implementation of such a code</w:t>
      </w:r>
      <w:r w:rsidR="00E7493B">
        <w:rPr>
          <w:rFonts w:ascii="Times New Roman" w:hAnsi="Times New Roman" w:cs="Times New Roman"/>
          <w:sz w:val="24"/>
          <w:szCs w:val="24"/>
        </w:rPr>
        <w:t xml:space="preserve">; if one is to frame a nation centric law or code aimed towards national integration then </w:t>
      </w:r>
      <w:r w:rsidR="00E73F23">
        <w:rPr>
          <w:rFonts w:ascii="Times New Roman" w:hAnsi="Times New Roman" w:cs="Times New Roman"/>
          <w:sz w:val="24"/>
          <w:szCs w:val="24"/>
        </w:rPr>
        <w:t>adequate consideration is to be given to the living realities of those groups or individuals who are to seemingly benefit from such a code</w:t>
      </w:r>
      <w:r w:rsidR="00B65D72">
        <w:rPr>
          <w:rFonts w:ascii="Times New Roman" w:hAnsi="Times New Roman" w:cs="Times New Roman"/>
          <w:sz w:val="24"/>
          <w:szCs w:val="24"/>
        </w:rPr>
        <w:t xml:space="preserve">. </w:t>
      </w:r>
      <w:proofErr w:type="spellStart"/>
      <w:r w:rsidR="00B65D72">
        <w:rPr>
          <w:rFonts w:ascii="Times New Roman" w:hAnsi="Times New Roman" w:cs="Times New Roman"/>
          <w:sz w:val="24"/>
          <w:szCs w:val="24"/>
        </w:rPr>
        <w:t>Its</w:t>
      </w:r>
      <w:proofErr w:type="spellEnd"/>
      <w:r w:rsidR="00B65D72">
        <w:rPr>
          <w:rFonts w:ascii="Times New Roman" w:hAnsi="Times New Roman" w:cs="Times New Roman"/>
          <w:sz w:val="24"/>
          <w:szCs w:val="24"/>
        </w:rPr>
        <w:t xml:space="preserve"> to be </w:t>
      </w:r>
      <w:r w:rsidR="00C33BBE">
        <w:rPr>
          <w:rFonts w:ascii="Times New Roman" w:hAnsi="Times New Roman" w:cs="Times New Roman"/>
          <w:sz w:val="24"/>
          <w:szCs w:val="24"/>
        </w:rPr>
        <w:t>understood that when it comes to women, their struggle of inequality is not restricted to a particular factor but rather it lies at the intersection</w:t>
      </w:r>
      <w:r w:rsidR="00977A5B">
        <w:rPr>
          <w:rFonts w:ascii="Times New Roman" w:hAnsi="Times New Roman" w:cs="Times New Roman"/>
          <w:sz w:val="24"/>
          <w:szCs w:val="24"/>
        </w:rPr>
        <w:t xml:space="preserve"> of class, religion, caste and sometime even the place they come from. If </w:t>
      </w:r>
      <w:r w:rsidR="00DD4156">
        <w:rPr>
          <w:rFonts w:ascii="Times New Roman" w:hAnsi="Times New Roman" w:cs="Times New Roman"/>
          <w:sz w:val="24"/>
          <w:szCs w:val="24"/>
        </w:rPr>
        <w:t xml:space="preserve">an individual is excluded and a </w:t>
      </w:r>
      <w:r w:rsidR="006B753D">
        <w:rPr>
          <w:rFonts w:ascii="Times New Roman" w:hAnsi="Times New Roman" w:cs="Times New Roman"/>
          <w:sz w:val="24"/>
          <w:szCs w:val="24"/>
        </w:rPr>
        <w:t>bottom</w:t>
      </w:r>
      <w:r w:rsidR="00DD4156">
        <w:rPr>
          <w:rFonts w:ascii="Times New Roman" w:hAnsi="Times New Roman" w:cs="Times New Roman"/>
          <w:sz w:val="24"/>
          <w:szCs w:val="24"/>
        </w:rPr>
        <w:t xml:space="preserve">-up approach to participation is </w:t>
      </w:r>
      <w:r w:rsidR="006B753D">
        <w:rPr>
          <w:rFonts w:ascii="Times New Roman" w:hAnsi="Times New Roman" w:cs="Times New Roman"/>
          <w:sz w:val="24"/>
          <w:szCs w:val="24"/>
        </w:rPr>
        <w:t>disregarded the idea of achieving uniformity and national integration are left to be a hollow</w:t>
      </w:r>
      <w:r w:rsidR="00FE47DC">
        <w:rPr>
          <w:rFonts w:ascii="Times New Roman" w:hAnsi="Times New Roman" w:cs="Times New Roman"/>
          <w:sz w:val="24"/>
          <w:szCs w:val="24"/>
        </w:rPr>
        <w:t xml:space="preserve"> reform in procedure, remaining aloof from the realities which actually exist</w:t>
      </w:r>
      <w:r w:rsidR="006A518C">
        <w:rPr>
          <w:rFonts w:ascii="Times New Roman" w:hAnsi="Times New Roman" w:cs="Times New Roman"/>
          <w:sz w:val="24"/>
          <w:szCs w:val="24"/>
        </w:rPr>
        <w:t xml:space="preserve">. Such a </w:t>
      </w:r>
      <w:r w:rsidR="003B6883">
        <w:rPr>
          <w:rFonts w:ascii="Times New Roman" w:hAnsi="Times New Roman" w:cs="Times New Roman"/>
          <w:sz w:val="24"/>
          <w:szCs w:val="24"/>
        </w:rPr>
        <w:t>code which is to be uniform can only come about from inclusivity and interaction between the communities &amp; not a simple disregard f</w:t>
      </w:r>
      <w:r w:rsidR="000F5B87">
        <w:rPr>
          <w:rFonts w:ascii="Times New Roman" w:hAnsi="Times New Roman" w:cs="Times New Roman"/>
          <w:sz w:val="24"/>
          <w:szCs w:val="24"/>
        </w:rPr>
        <w:t>rom those cultural practices which seem to be harsh or unjust.</w:t>
      </w:r>
    </w:p>
    <w:p w14:paraId="17ADADCE" w14:textId="3C6835CA" w:rsidR="00462D45" w:rsidRDefault="00FB7A85" w:rsidP="003367C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In truth, when considering both the Goan code from colonial times &amp; the UCC of Uttarakhand it can be clearly seen that the mere existence of a secular code cannot be automatically equated to </w:t>
      </w:r>
      <w:r w:rsidR="009E64F4">
        <w:rPr>
          <w:rFonts w:ascii="Times New Roman" w:hAnsi="Times New Roman" w:cs="Times New Roman"/>
          <w:sz w:val="24"/>
          <w:szCs w:val="24"/>
        </w:rPr>
        <w:t>gender justice in any form. If one were to simply frame the code without taking into</w:t>
      </w:r>
      <w:r w:rsidR="00773DD6">
        <w:rPr>
          <w:rFonts w:ascii="Times New Roman" w:hAnsi="Times New Roman" w:cs="Times New Roman"/>
          <w:sz w:val="24"/>
          <w:szCs w:val="24"/>
        </w:rPr>
        <w:t xml:space="preserve"> consideration the already existing social hierarchy and power structures it would just mean </w:t>
      </w:r>
      <w:r w:rsidR="00477525">
        <w:rPr>
          <w:rFonts w:ascii="Times New Roman" w:hAnsi="Times New Roman" w:cs="Times New Roman"/>
          <w:sz w:val="24"/>
          <w:szCs w:val="24"/>
        </w:rPr>
        <w:t xml:space="preserve">that the code even if its enacted is just preserving these further into the future. </w:t>
      </w:r>
      <w:r w:rsidR="008943E5">
        <w:rPr>
          <w:rFonts w:ascii="Times New Roman" w:hAnsi="Times New Roman" w:cs="Times New Roman"/>
          <w:sz w:val="24"/>
          <w:szCs w:val="24"/>
        </w:rPr>
        <w:t xml:space="preserve">What a transformative </w:t>
      </w:r>
      <w:r w:rsidR="008943E5">
        <w:rPr>
          <w:rFonts w:ascii="Times New Roman" w:hAnsi="Times New Roman" w:cs="Times New Roman"/>
          <w:sz w:val="24"/>
          <w:szCs w:val="24"/>
        </w:rPr>
        <w:lastRenderedPageBreak/>
        <w:t xml:space="preserve">UCC is to do is dismantle </w:t>
      </w:r>
      <w:r w:rsidR="001A1011">
        <w:rPr>
          <w:rFonts w:ascii="Times New Roman" w:hAnsi="Times New Roman" w:cs="Times New Roman"/>
          <w:sz w:val="24"/>
          <w:szCs w:val="24"/>
        </w:rPr>
        <w:t xml:space="preserve">social hierarchies to bring every individual at the same footing and then restructure </w:t>
      </w:r>
      <w:r w:rsidR="004743EA">
        <w:rPr>
          <w:rFonts w:ascii="Times New Roman" w:hAnsi="Times New Roman" w:cs="Times New Roman"/>
          <w:sz w:val="24"/>
          <w:szCs w:val="24"/>
        </w:rPr>
        <w:t xml:space="preserve">laws in such a way so as to be free of structural injustices. </w:t>
      </w:r>
    </w:p>
    <w:p w14:paraId="16CBBE89" w14:textId="04E461E0" w:rsidR="00432F39" w:rsidRDefault="00432F39" w:rsidP="003367CB">
      <w:pPr>
        <w:spacing w:line="360" w:lineRule="auto"/>
        <w:jc w:val="both"/>
        <w:rPr>
          <w:rFonts w:ascii="Times New Roman" w:hAnsi="Times New Roman" w:cs="Times New Roman"/>
          <w:sz w:val="24"/>
          <w:szCs w:val="24"/>
        </w:rPr>
      </w:pPr>
      <w:r w:rsidRPr="00432F39">
        <w:rPr>
          <w:rFonts w:ascii="Times New Roman" w:hAnsi="Times New Roman" w:cs="Times New Roman"/>
          <w:sz w:val="24"/>
          <w:szCs w:val="24"/>
        </w:rPr>
        <w:t>This calls for a fundamental shift from a model of formal equality—where identical treatment is presumed to be fair—to one of substantive equality, where the law is crafted and applied in a way that accounts for people’s differential positions in society, and ensures that justice is meaningful and accessible in practice, not just in principle.</w:t>
      </w:r>
    </w:p>
    <w:p w14:paraId="0E622633" w14:textId="332CEE30" w:rsidR="00462D45" w:rsidRDefault="00462D45" w:rsidP="003367C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In conclusion if India is to truly </w:t>
      </w:r>
      <w:r w:rsidR="00B25F32">
        <w:rPr>
          <w:rFonts w:ascii="Times New Roman" w:hAnsi="Times New Roman" w:cs="Times New Roman"/>
          <w:sz w:val="24"/>
          <w:szCs w:val="24"/>
        </w:rPr>
        <w:t xml:space="preserve">frame and implement a unform code at the national level which ensures equality and gender justice, then any attempt </w:t>
      </w:r>
      <w:r w:rsidR="004469FF">
        <w:rPr>
          <w:rFonts w:ascii="Times New Roman" w:hAnsi="Times New Roman" w:cs="Times New Roman"/>
          <w:sz w:val="24"/>
          <w:szCs w:val="24"/>
        </w:rPr>
        <w:t>made towards its framing must be focused on inclusivity and sensitivity to the different cultures that exist</w:t>
      </w:r>
      <w:r w:rsidR="008C4F86">
        <w:rPr>
          <w:rFonts w:ascii="Times New Roman" w:hAnsi="Times New Roman" w:cs="Times New Roman"/>
          <w:sz w:val="24"/>
          <w:szCs w:val="24"/>
        </w:rPr>
        <w:t xml:space="preserve">. What it requires is the inputs from all those who have been historically on the sidelines </w:t>
      </w:r>
      <w:r w:rsidR="00E26B85">
        <w:rPr>
          <w:rFonts w:ascii="Times New Roman" w:hAnsi="Times New Roman" w:cs="Times New Roman"/>
          <w:sz w:val="24"/>
          <w:szCs w:val="24"/>
        </w:rPr>
        <w:t xml:space="preserve">as well as </w:t>
      </w:r>
      <w:r w:rsidR="006A056C">
        <w:rPr>
          <w:rFonts w:ascii="Times New Roman" w:hAnsi="Times New Roman" w:cs="Times New Roman"/>
          <w:sz w:val="24"/>
          <w:szCs w:val="24"/>
        </w:rPr>
        <w:t>for the reforms to be transparent, backed by evidence and participatory. One cannot use the one-size fits all approach when it comes to implementing a uniform code</w:t>
      </w:r>
      <w:r w:rsidR="00FB7A85">
        <w:rPr>
          <w:rFonts w:ascii="Times New Roman" w:hAnsi="Times New Roman" w:cs="Times New Roman"/>
          <w:sz w:val="24"/>
          <w:szCs w:val="24"/>
        </w:rPr>
        <w:t xml:space="preserve"> in a country like India.</w:t>
      </w:r>
    </w:p>
    <w:p w14:paraId="5C153E22" w14:textId="77777777" w:rsidR="00400269" w:rsidRDefault="00400269" w:rsidP="003367CB">
      <w:pPr>
        <w:spacing w:line="360" w:lineRule="auto"/>
        <w:jc w:val="both"/>
        <w:rPr>
          <w:rFonts w:ascii="Times New Roman" w:hAnsi="Times New Roman" w:cs="Times New Roman"/>
          <w:sz w:val="24"/>
          <w:szCs w:val="24"/>
        </w:rPr>
      </w:pPr>
    </w:p>
    <w:p w14:paraId="5799E5BD" w14:textId="77777777" w:rsidR="00400269" w:rsidRDefault="00400269" w:rsidP="003367CB">
      <w:pPr>
        <w:spacing w:line="360" w:lineRule="auto"/>
        <w:jc w:val="both"/>
        <w:rPr>
          <w:rFonts w:ascii="Times New Roman" w:hAnsi="Times New Roman" w:cs="Times New Roman"/>
          <w:sz w:val="24"/>
          <w:szCs w:val="24"/>
        </w:rPr>
      </w:pPr>
    </w:p>
    <w:p w14:paraId="599385DD" w14:textId="77777777" w:rsidR="00400269" w:rsidRDefault="00400269" w:rsidP="003367CB">
      <w:pPr>
        <w:spacing w:line="360" w:lineRule="auto"/>
        <w:jc w:val="both"/>
        <w:rPr>
          <w:rFonts w:ascii="Times New Roman" w:hAnsi="Times New Roman" w:cs="Times New Roman"/>
          <w:sz w:val="24"/>
          <w:szCs w:val="24"/>
        </w:rPr>
      </w:pPr>
    </w:p>
    <w:p w14:paraId="4A679674" w14:textId="77777777" w:rsidR="00400269" w:rsidRDefault="00400269" w:rsidP="003367CB">
      <w:pPr>
        <w:spacing w:line="360" w:lineRule="auto"/>
        <w:jc w:val="both"/>
        <w:rPr>
          <w:rFonts w:ascii="Times New Roman" w:hAnsi="Times New Roman" w:cs="Times New Roman"/>
          <w:sz w:val="24"/>
          <w:szCs w:val="24"/>
        </w:rPr>
      </w:pPr>
    </w:p>
    <w:p w14:paraId="444CDDF7" w14:textId="77777777" w:rsidR="00400269" w:rsidRDefault="00400269" w:rsidP="003367CB">
      <w:pPr>
        <w:spacing w:line="360" w:lineRule="auto"/>
        <w:jc w:val="both"/>
        <w:rPr>
          <w:rFonts w:ascii="Times New Roman" w:hAnsi="Times New Roman" w:cs="Times New Roman"/>
          <w:sz w:val="24"/>
          <w:szCs w:val="24"/>
        </w:rPr>
      </w:pPr>
    </w:p>
    <w:p w14:paraId="22C4D7EB" w14:textId="77777777" w:rsidR="00400269" w:rsidRDefault="00400269" w:rsidP="003367CB">
      <w:pPr>
        <w:spacing w:line="360" w:lineRule="auto"/>
        <w:jc w:val="both"/>
        <w:rPr>
          <w:rFonts w:ascii="Times New Roman" w:hAnsi="Times New Roman" w:cs="Times New Roman"/>
          <w:sz w:val="24"/>
          <w:szCs w:val="24"/>
        </w:rPr>
      </w:pPr>
    </w:p>
    <w:p w14:paraId="23790666" w14:textId="77777777" w:rsidR="00400269" w:rsidRDefault="00400269" w:rsidP="003367CB">
      <w:pPr>
        <w:spacing w:line="360" w:lineRule="auto"/>
        <w:jc w:val="both"/>
        <w:rPr>
          <w:rFonts w:ascii="Times New Roman" w:hAnsi="Times New Roman" w:cs="Times New Roman"/>
          <w:sz w:val="24"/>
          <w:szCs w:val="24"/>
        </w:rPr>
      </w:pPr>
    </w:p>
    <w:p w14:paraId="04E7007A" w14:textId="77777777" w:rsidR="00D76F23" w:rsidRDefault="00D76F23" w:rsidP="003367CB">
      <w:pPr>
        <w:spacing w:line="360" w:lineRule="auto"/>
        <w:jc w:val="both"/>
        <w:rPr>
          <w:rFonts w:ascii="Times New Roman" w:hAnsi="Times New Roman" w:cs="Times New Roman"/>
          <w:sz w:val="24"/>
          <w:szCs w:val="24"/>
        </w:rPr>
      </w:pPr>
    </w:p>
    <w:p w14:paraId="27BEBEAE" w14:textId="77777777" w:rsidR="00D76F23" w:rsidRPr="00432F39" w:rsidRDefault="00D76F23" w:rsidP="00432F39">
      <w:pPr>
        <w:spacing w:line="360" w:lineRule="auto"/>
        <w:rPr>
          <w:rFonts w:ascii="Times New Roman" w:hAnsi="Times New Roman" w:cs="Times New Roman"/>
          <w:sz w:val="24"/>
          <w:szCs w:val="24"/>
        </w:rPr>
      </w:pPr>
    </w:p>
    <w:p w14:paraId="215943A5" w14:textId="77777777" w:rsidR="00432F39" w:rsidRPr="00432F39" w:rsidRDefault="00432F39" w:rsidP="00432F39">
      <w:pPr>
        <w:spacing w:line="360" w:lineRule="auto"/>
        <w:rPr>
          <w:rFonts w:ascii="Times New Roman" w:hAnsi="Times New Roman" w:cs="Times New Roman"/>
          <w:sz w:val="24"/>
          <w:szCs w:val="24"/>
        </w:rPr>
      </w:pPr>
    </w:p>
    <w:p w14:paraId="1961BBDB" w14:textId="77777777" w:rsidR="00400269" w:rsidRPr="00432F39" w:rsidRDefault="00400269" w:rsidP="00432F39">
      <w:pPr>
        <w:spacing w:line="360" w:lineRule="auto"/>
        <w:rPr>
          <w:rFonts w:ascii="Times New Roman" w:hAnsi="Times New Roman" w:cs="Times New Roman"/>
          <w:sz w:val="24"/>
          <w:szCs w:val="24"/>
        </w:rPr>
      </w:pPr>
    </w:p>
    <w:p w14:paraId="35906010" w14:textId="4552A147" w:rsidR="00432F39" w:rsidRDefault="00400269" w:rsidP="00400269">
      <w:pPr>
        <w:spacing w:line="360" w:lineRule="auto"/>
        <w:jc w:val="right"/>
        <w:rPr>
          <w:rFonts w:ascii="Times New Roman" w:hAnsi="Times New Roman" w:cs="Times New Roman"/>
          <w:sz w:val="24"/>
          <w:szCs w:val="24"/>
        </w:rPr>
      </w:pPr>
      <w:r>
        <w:rPr>
          <w:rFonts w:ascii="Times New Roman" w:hAnsi="Times New Roman" w:cs="Times New Roman"/>
          <w:sz w:val="24"/>
          <w:szCs w:val="24"/>
        </w:rPr>
        <w:t>Author: Dishita Mittal</w:t>
      </w:r>
    </w:p>
    <w:p w14:paraId="6D32C253" w14:textId="5AE98190" w:rsidR="00400269" w:rsidRDefault="00400269" w:rsidP="00400269">
      <w:pPr>
        <w:spacing w:line="360" w:lineRule="auto"/>
        <w:jc w:val="right"/>
        <w:rPr>
          <w:rFonts w:ascii="Times New Roman" w:hAnsi="Times New Roman" w:cs="Times New Roman"/>
          <w:sz w:val="24"/>
          <w:szCs w:val="24"/>
        </w:rPr>
      </w:pPr>
      <w:r>
        <w:rPr>
          <w:rFonts w:ascii="Times New Roman" w:hAnsi="Times New Roman" w:cs="Times New Roman"/>
          <w:sz w:val="24"/>
          <w:szCs w:val="24"/>
        </w:rPr>
        <w:t>3</w:t>
      </w:r>
      <w:r w:rsidRPr="00400269">
        <w:rPr>
          <w:rFonts w:ascii="Times New Roman" w:hAnsi="Times New Roman" w:cs="Times New Roman"/>
          <w:sz w:val="24"/>
          <w:szCs w:val="24"/>
          <w:vertAlign w:val="superscript"/>
        </w:rPr>
        <w:t>rd</w:t>
      </w:r>
      <w:r>
        <w:rPr>
          <w:rFonts w:ascii="Times New Roman" w:hAnsi="Times New Roman" w:cs="Times New Roman"/>
          <w:sz w:val="24"/>
          <w:szCs w:val="24"/>
        </w:rPr>
        <w:t xml:space="preserve"> Year student at </w:t>
      </w:r>
      <w:r w:rsidR="001D60B4">
        <w:rPr>
          <w:rFonts w:ascii="Times New Roman" w:hAnsi="Times New Roman" w:cs="Times New Roman"/>
          <w:sz w:val="24"/>
          <w:szCs w:val="24"/>
        </w:rPr>
        <w:t>O.P. Jindal Global University</w:t>
      </w:r>
    </w:p>
    <w:p w14:paraId="7F884D09" w14:textId="77777777" w:rsidR="00400269" w:rsidRPr="00432F39" w:rsidRDefault="00400269" w:rsidP="00400269">
      <w:pPr>
        <w:spacing w:line="360" w:lineRule="auto"/>
        <w:jc w:val="right"/>
        <w:rPr>
          <w:rFonts w:ascii="Times New Roman" w:hAnsi="Times New Roman" w:cs="Times New Roman"/>
          <w:sz w:val="24"/>
          <w:szCs w:val="24"/>
        </w:rPr>
      </w:pPr>
    </w:p>
    <w:p w14:paraId="274C2690" w14:textId="77777777" w:rsidR="00432F39" w:rsidRDefault="00432F39" w:rsidP="00432F39">
      <w:pPr>
        <w:spacing w:line="360" w:lineRule="auto"/>
        <w:rPr>
          <w:rFonts w:ascii="Times New Roman" w:hAnsi="Times New Roman" w:cs="Times New Roman"/>
          <w:sz w:val="24"/>
          <w:szCs w:val="24"/>
        </w:rPr>
      </w:pPr>
    </w:p>
    <w:sectPr w:rsidR="00432F3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C087E" w14:textId="77777777" w:rsidR="00846417" w:rsidRDefault="00846417" w:rsidP="00B16AFE">
      <w:pPr>
        <w:spacing w:after="0" w:line="240" w:lineRule="auto"/>
      </w:pPr>
      <w:r>
        <w:separator/>
      </w:r>
    </w:p>
  </w:endnote>
  <w:endnote w:type="continuationSeparator" w:id="0">
    <w:p w14:paraId="3E5A9B17" w14:textId="77777777" w:rsidR="00846417" w:rsidRDefault="00846417" w:rsidP="00B16A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15EBBD" w14:textId="77777777" w:rsidR="00846417" w:rsidRDefault="00846417" w:rsidP="00B16AFE">
      <w:pPr>
        <w:spacing w:after="0" w:line="240" w:lineRule="auto"/>
      </w:pPr>
      <w:r>
        <w:separator/>
      </w:r>
    </w:p>
  </w:footnote>
  <w:footnote w:type="continuationSeparator" w:id="0">
    <w:p w14:paraId="37D91BA0" w14:textId="77777777" w:rsidR="00846417" w:rsidRDefault="00846417" w:rsidP="00B16AFE">
      <w:pPr>
        <w:spacing w:after="0" w:line="240" w:lineRule="auto"/>
      </w:pPr>
      <w:r>
        <w:continuationSeparator/>
      </w:r>
    </w:p>
  </w:footnote>
  <w:footnote w:id="1">
    <w:p w14:paraId="578E54DC" w14:textId="0E4E7772" w:rsidR="00B16AFE" w:rsidRPr="007A3F61" w:rsidRDefault="00B16AFE" w:rsidP="003367CB">
      <w:pPr>
        <w:pStyle w:val="FootnoteText"/>
        <w:jc w:val="both"/>
        <w:rPr>
          <w:rFonts w:ascii="Times New Roman" w:hAnsi="Times New Roman" w:cs="Times New Roman"/>
        </w:rPr>
      </w:pPr>
      <w:r>
        <w:rPr>
          <w:rStyle w:val="FootnoteReference"/>
        </w:rPr>
        <w:footnoteRef/>
      </w:r>
      <w:r>
        <w:t xml:space="preserve"> </w:t>
      </w:r>
      <w:r w:rsidR="000349EE">
        <w:rPr>
          <w:rFonts w:ascii="Times New Roman" w:hAnsi="Times New Roman" w:cs="Times New Roman"/>
        </w:rPr>
        <w:t>Ayush</w:t>
      </w:r>
      <w:r w:rsidR="000E4E0F">
        <w:rPr>
          <w:rFonts w:ascii="Times New Roman" w:hAnsi="Times New Roman" w:cs="Times New Roman"/>
        </w:rPr>
        <w:t xml:space="preserve"> Kumar</w:t>
      </w:r>
      <w:r w:rsidR="000349EE">
        <w:rPr>
          <w:rFonts w:ascii="Times New Roman" w:hAnsi="Times New Roman" w:cs="Times New Roman"/>
        </w:rPr>
        <w:t xml:space="preserve">, </w:t>
      </w:r>
      <w:r w:rsidR="000349EE" w:rsidRPr="000349EE">
        <w:rPr>
          <w:rFonts w:ascii="Times New Roman" w:hAnsi="Times New Roman" w:cs="Times New Roman"/>
          <w:i/>
          <w:iCs/>
        </w:rPr>
        <w:t>Constitutional Aspects Revolving Around Uniform Civil Code: A Critical Analysis</w:t>
      </w:r>
      <w:r w:rsidR="000349EE">
        <w:rPr>
          <w:rFonts w:ascii="Times New Roman" w:hAnsi="Times New Roman" w:cs="Times New Roman"/>
        </w:rPr>
        <w:t>, TSCLD (Mar</w:t>
      </w:r>
      <w:r w:rsidR="00F411EA">
        <w:rPr>
          <w:rFonts w:ascii="Times New Roman" w:hAnsi="Times New Roman" w:cs="Times New Roman"/>
        </w:rPr>
        <w:t>.</w:t>
      </w:r>
      <w:r w:rsidR="000349EE">
        <w:rPr>
          <w:rFonts w:ascii="Times New Roman" w:hAnsi="Times New Roman" w:cs="Times New Roman"/>
        </w:rPr>
        <w:t xml:space="preserve"> 11</w:t>
      </w:r>
      <w:r w:rsidR="00F411EA">
        <w:rPr>
          <w:rFonts w:ascii="Times New Roman" w:hAnsi="Times New Roman" w:cs="Times New Roman"/>
        </w:rPr>
        <w:t xml:space="preserve"> </w:t>
      </w:r>
      <w:r w:rsidR="000349EE">
        <w:rPr>
          <w:rFonts w:ascii="Times New Roman" w:hAnsi="Times New Roman" w:cs="Times New Roman"/>
        </w:rPr>
        <w:t xml:space="preserve">, 2024), </w:t>
      </w:r>
      <w:r w:rsidR="000349EE" w:rsidRPr="000349EE">
        <w:rPr>
          <w:rFonts w:ascii="Times New Roman" w:hAnsi="Times New Roman" w:cs="Times New Roman"/>
        </w:rPr>
        <w:t>https://www.tscld.com/uniform-civil-code-a-critical-analysis</w:t>
      </w:r>
    </w:p>
  </w:footnote>
  <w:footnote w:id="2">
    <w:p w14:paraId="4E47C54A" w14:textId="411A1F26" w:rsidR="00812796" w:rsidRDefault="00812796">
      <w:pPr>
        <w:pStyle w:val="FootnoteText"/>
      </w:pPr>
      <w:r>
        <w:rPr>
          <w:rStyle w:val="FootnoteReference"/>
        </w:rPr>
        <w:footnoteRef/>
      </w:r>
      <w:r>
        <w:t xml:space="preserve"> </w:t>
      </w:r>
      <w:r w:rsidR="00F40E16" w:rsidRPr="0055209A">
        <w:rPr>
          <w:rFonts w:ascii="Times New Roman" w:hAnsi="Times New Roman" w:cs="Times New Roman"/>
        </w:rPr>
        <w:t>Hindu Succession Act, No. 30 of 1956</w:t>
      </w:r>
      <w:r w:rsidR="0055209A" w:rsidRPr="0055209A">
        <w:rPr>
          <w:rFonts w:ascii="Times New Roman" w:hAnsi="Times New Roman" w:cs="Times New Roman"/>
        </w:rPr>
        <w:t xml:space="preserve">, </w:t>
      </w:r>
      <w:r w:rsidR="000F0661">
        <w:rPr>
          <w:rFonts w:ascii="Times New Roman" w:hAnsi="Times New Roman" w:cs="Times New Roman"/>
        </w:rPr>
        <w:t>Section 15, India Code</w:t>
      </w:r>
    </w:p>
  </w:footnote>
  <w:footnote w:id="3">
    <w:p w14:paraId="7178BEEE" w14:textId="785E5395" w:rsidR="009813D2" w:rsidRPr="007A3F61" w:rsidRDefault="009813D2" w:rsidP="003367CB">
      <w:pPr>
        <w:pStyle w:val="FootnoteText"/>
        <w:jc w:val="both"/>
        <w:rPr>
          <w:rFonts w:ascii="Times New Roman" w:hAnsi="Times New Roman" w:cs="Times New Roman"/>
        </w:rPr>
      </w:pPr>
      <w:r w:rsidRPr="007A3F61">
        <w:rPr>
          <w:rStyle w:val="FootnoteReference"/>
          <w:rFonts w:ascii="Times New Roman" w:hAnsi="Times New Roman" w:cs="Times New Roman"/>
        </w:rPr>
        <w:footnoteRef/>
      </w:r>
      <w:r w:rsidRPr="007A3F61">
        <w:rPr>
          <w:rFonts w:ascii="Times New Roman" w:hAnsi="Times New Roman" w:cs="Times New Roman"/>
        </w:rPr>
        <w:t xml:space="preserve"> </w:t>
      </w:r>
      <w:r w:rsidR="000349EE">
        <w:rPr>
          <w:rFonts w:ascii="Times New Roman" w:hAnsi="Times New Roman" w:cs="Times New Roman"/>
        </w:rPr>
        <w:t>Kratee</w:t>
      </w:r>
      <w:r w:rsidR="000E4E0F">
        <w:rPr>
          <w:rFonts w:ascii="Times New Roman" w:hAnsi="Times New Roman" w:cs="Times New Roman"/>
        </w:rPr>
        <w:t xml:space="preserve"> Aggarwal</w:t>
      </w:r>
      <w:r w:rsidR="000349EE">
        <w:rPr>
          <w:rFonts w:ascii="Times New Roman" w:hAnsi="Times New Roman" w:cs="Times New Roman"/>
        </w:rPr>
        <w:t xml:space="preserve"> &amp; </w:t>
      </w:r>
      <w:r w:rsidR="000E4E0F">
        <w:rPr>
          <w:rFonts w:ascii="Times New Roman" w:hAnsi="Times New Roman" w:cs="Times New Roman"/>
        </w:rPr>
        <w:t xml:space="preserve">Sunidhi </w:t>
      </w:r>
      <w:r w:rsidR="000349EE">
        <w:rPr>
          <w:rFonts w:ascii="Times New Roman" w:hAnsi="Times New Roman" w:cs="Times New Roman"/>
        </w:rPr>
        <w:t xml:space="preserve">Agrahari, </w:t>
      </w:r>
      <w:r w:rsidR="000349EE" w:rsidRPr="000E4E0F">
        <w:rPr>
          <w:rFonts w:ascii="Times New Roman" w:hAnsi="Times New Roman" w:cs="Times New Roman"/>
          <w:i/>
          <w:iCs/>
        </w:rPr>
        <w:t>The Goan Civil Code: A Great Success or A Steep Failure?</w:t>
      </w:r>
      <w:r w:rsidR="000349EE">
        <w:rPr>
          <w:rFonts w:ascii="Times New Roman" w:hAnsi="Times New Roman" w:cs="Times New Roman"/>
        </w:rPr>
        <w:t>,</w:t>
      </w:r>
      <w:r w:rsidR="000E4E0F">
        <w:rPr>
          <w:rFonts w:ascii="Times New Roman" w:hAnsi="Times New Roman" w:cs="Times New Roman"/>
        </w:rPr>
        <w:t xml:space="preserve"> Vol. 2, Issue 3 IJALR, (2021)</w:t>
      </w:r>
    </w:p>
  </w:footnote>
  <w:footnote w:id="4">
    <w:p w14:paraId="55F0A8EB" w14:textId="73490DDA" w:rsidR="00BB4391" w:rsidRPr="007A3F61" w:rsidRDefault="00BB4391" w:rsidP="003367CB">
      <w:pPr>
        <w:pStyle w:val="FootnoteText"/>
        <w:jc w:val="both"/>
        <w:rPr>
          <w:rFonts w:ascii="Times New Roman" w:hAnsi="Times New Roman" w:cs="Times New Roman"/>
        </w:rPr>
      </w:pPr>
      <w:r w:rsidRPr="007A3F61">
        <w:rPr>
          <w:rStyle w:val="FootnoteReference"/>
          <w:rFonts w:ascii="Times New Roman" w:hAnsi="Times New Roman" w:cs="Times New Roman"/>
        </w:rPr>
        <w:footnoteRef/>
      </w:r>
      <w:r w:rsidRPr="007A3F61">
        <w:rPr>
          <w:rFonts w:ascii="Times New Roman" w:hAnsi="Times New Roman" w:cs="Times New Roman"/>
        </w:rPr>
        <w:t xml:space="preserve"> </w:t>
      </w:r>
      <w:r w:rsidR="00700144" w:rsidRPr="007A3F61">
        <w:rPr>
          <w:rFonts w:ascii="Times New Roman" w:hAnsi="Times New Roman" w:cs="Times New Roman"/>
        </w:rPr>
        <w:t xml:space="preserve">Alberta </w:t>
      </w:r>
      <w:r w:rsidR="000E4E0F">
        <w:rPr>
          <w:rFonts w:ascii="Times New Roman" w:hAnsi="Times New Roman" w:cs="Times New Roman"/>
        </w:rPr>
        <w:t xml:space="preserve">Almeida, </w:t>
      </w:r>
      <w:r w:rsidR="000E4E0F" w:rsidRPr="00F411EA">
        <w:rPr>
          <w:rFonts w:ascii="Times New Roman" w:hAnsi="Times New Roman" w:cs="Times New Roman"/>
          <w:i/>
          <w:iCs/>
        </w:rPr>
        <w:t>Goa’s Civil Code Shows That Uniformity Does not Always Mean Equality</w:t>
      </w:r>
      <w:r w:rsidR="000E4E0F">
        <w:rPr>
          <w:rFonts w:ascii="Times New Roman" w:hAnsi="Times New Roman" w:cs="Times New Roman"/>
        </w:rPr>
        <w:t xml:space="preserve">, </w:t>
      </w:r>
      <w:r w:rsidR="00F411EA">
        <w:rPr>
          <w:rFonts w:ascii="Times New Roman" w:hAnsi="Times New Roman" w:cs="Times New Roman"/>
        </w:rPr>
        <w:t xml:space="preserve">THE WIRE, (Aug. 8 , 2016), </w:t>
      </w:r>
      <w:r w:rsidR="00F411EA" w:rsidRPr="00F411EA">
        <w:rPr>
          <w:rFonts w:ascii="Times New Roman" w:hAnsi="Times New Roman" w:cs="Times New Roman"/>
        </w:rPr>
        <w:t>https://thewire.in/law/goas-uniform-civil-code-is-not-the-greatest-model-to-follow</w:t>
      </w:r>
    </w:p>
  </w:footnote>
  <w:footnote w:id="5">
    <w:p w14:paraId="22B6CAAE" w14:textId="22D9884B" w:rsidR="005324E7" w:rsidRPr="003367CB" w:rsidRDefault="005324E7" w:rsidP="003367CB">
      <w:pPr>
        <w:pStyle w:val="FootnoteText"/>
        <w:jc w:val="both"/>
        <w:rPr>
          <w:rFonts w:ascii="Times New Roman" w:hAnsi="Times New Roman" w:cs="Times New Roman"/>
        </w:rPr>
      </w:pPr>
      <w:r>
        <w:rPr>
          <w:rStyle w:val="FootnoteReference"/>
        </w:rPr>
        <w:footnoteRef/>
      </w:r>
      <w:r>
        <w:t xml:space="preserve"> </w:t>
      </w:r>
      <w:r w:rsidR="00F411EA" w:rsidRPr="003367CB">
        <w:rPr>
          <w:rFonts w:ascii="Times New Roman" w:hAnsi="Times New Roman" w:cs="Times New Roman"/>
        </w:rPr>
        <w:t xml:space="preserve">Flavia Agnes, </w:t>
      </w:r>
      <w:r w:rsidR="00F411EA" w:rsidRPr="003367CB">
        <w:rPr>
          <w:rFonts w:ascii="Times New Roman" w:hAnsi="Times New Roman" w:cs="Times New Roman"/>
          <w:i/>
          <w:iCs/>
        </w:rPr>
        <w:t>How gender-just is the Uttarakhand Uniform Civil Code?,</w:t>
      </w:r>
      <w:r w:rsidR="00F411EA" w:rsidRPr="003367CB">
        <w:rPr>
          <w:rFonts w:ascii="Times New Roman" w:hAnsi="Times New Roman" w:cs="Times New Roman"/>
        </w:rPr>
        <w:t xml:space="preserve"> THE LEAFLET, (Feb.19 , 2024 , 2:16 pm) , </w:t>
      </w:r>
      <w:r w:rsidRPr="003367CB">
        <w:rPr>
          <w:rFonts w:ascii="Times New Roman" w:hAnsi="Times New Roman" w:cs="Times New Roman"/>
        </w:rPr>
        <w:t>https://theleaflet.in/equality/how-gender-just-is-the-uttarakhand-uniform-civil-code</w:t>
      </w:r>
    </w:p>
  </w:footnote>
  <w:footnote w:id="6">
    <w:p w14:paraId="2F18918E" w14:textId="60475B31" w:rsidR="00D84A8D" w:rsidRPr="003367CB" w:rsidRDefault="00D84A8D" w:rsidP="003367CB">
      <w:pPr>
        <w:pStyle w:val="FootnoteText"/>
        <w:jc w:val="both"/>
        <w:rPr>
          <w:rFonts w:ascii="Times New Roman" w:hAnsi="Times New Roman" w:cs="Times New Roman"/>
        </w:rPr>
      </w:pPr>
      <w:r w:rsidRPr="003367CB">
        <w:rPr>
          <w:rStyle w:val="FootnoteReference"/>
          <w:rFonts w:ascii="Times New Roman" w:hAnsi="Times New Roman" w:cs="Times New Roman"/>
        </w:rPr>
        <w:footnoteRef/>
      </w:r>
      <w:r w:rsidRPr="003367CB">
        <w:rPr>
          <w:rFonts w:ascii="Times New Roman" w:hAnsi="Times New Roman" w:cs="Times New Roman"/>
        </w:rPr>
        <w:t xml:space="preserve"> </w:t>
      </w:r>
      <w:r w:rsidR="00F411EA" w:rsidRPr="003367CB">
        <w:rPr>
          <w:rFonts w:ascii="Times New Roman" w:hAnsi="Times New Roman" w:cs="Times New Roman"/>
        </w:rPr>
        <w:t>Namrata Mukherjee &amp; Rakshita Goyal, Uttarakhand UCC delivers status quo for wives &amp; mothers, while promising ‘gender justice’, THE PRINT, (Mar. 1 , 2024 , 10:01 am ), https://theprint.in/opinion/uttarakhand-ucc-delivers-status-quo-for-wives-mothers-while-promising-gender-justice/1984283/</w:t>
      </w:r>
    </w:p>
  </w:footnote>
  <w:footnote w:id="7">
    <w:p w14:paraId="28114360" w14:textId="15F3FA74" w:rsidR="00432F39" w:rsidRPr="003367CB" w:rsidRDefault="00432F39" w:rsidP="003367CB">
      <w:pPr>
        <w:pStyle w:val="FootnoteText"/>
        <w:jc w:val="both"/>
        <w:rPr>
          <w:rFonts w:ascii="Times New Roman" w:hAnsi="Times New Roman" w:cs="Times New Roman"/>
        </w:rPr>
      </w:pPr>
      <w:r w:rsidRPr="003367CB">
        <w:rPr>
          <w:rStyle w:val="FootnoteReference"/>
          <w:rFonts w:ascii="Times New Roman" w:hAnsi="Times New Roman" w:cs="Times New Roman"/>
        </w:rPr>
        <w:footnoteRef/>
      </w:r>
      <w:r w:rsidRPr="003367CB">
        <w:rPr>
          <w:rFonts w:ascii="Times New Roman" w:hAnsi="Times New Roman" w:cs="Times New Roman"/>
        </w:rPr>
        <w:t xml:space="preserve"> </w:t>
      </w:r>
      <w:r w:rsidR="00F411EA" w:rsidRPr="003367CB">
        <w:rPr>
          <w:rFonts w:ascii="Times New Roman" w:hAnsi="Times New Roman" w:cs="Times New Roman"/>
        </w:rPr>
        <w:t xml:space="preserve">Saumya Uma, Between the Devil and the Deep Sea: Tribal Women’s Inheritance Rights in India, Vol. 30, Issue 3, Indian Journal of Gender Studies, </w:t>
      </w:r>
      <w:r w:rsidR="003367CB" w:rsidRPr="003367CB">
        <w:rPr>
          <w:rFonts w:ascii="Times New Roman" w:hAnsi="Times New Roman" w:cs="Times New Roman"/>
        </w:rPr>
        <w:t>(2023), https://doi.org/10.1177/09715215231183623</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7F92"/>
    <w:rsid w:val="000349EE"/>
    <w:rsid w:val="00095467"/>
    <w:rsid w:val="000E4E0F"/>
    <w:rsid w:val="000F0661"/>
    <w:rsid w:val="000F5B87"/>
    <w:rsid w:val="001041BF"/>
    <w:rsid w:val="00151A29"/>
    <w:rsid w:val="001A1011"/>
    <w:rsid w:val="001A6FD3"/>
    <w:rsid w:val="001D60B4"/>
    <w:rsid w:val="00220265"/>
    <w:rsid w:val="00263EDA"/>
    <w:rsid w:val="00281C64"/>
    <w:rsid w:val="00281D78"/>
    <w:rsid w:val="002842E6"/>
    <w:rsid w:val="00312C4D"/>
    <w:rsid w:val="003367CB"/>
    <w:rsid w:val="003B6883"/>
    <w:rsid w:val="00400269"/>
    <w:rsid w:val="00431181"/>
    <w:rsid w:val="00432F39"/>
    <w:rsid w:val="004469FF"/>
    <w:rsid w:val="00462D45"/>
    <w:rsid w:val="004743EA"/>
    <w:rsid w:val="00475A73"/>
    <w:rsid w:val="00477525"/>
    <w:rsid w:val="005324E7"/>
    <w:rsid w:val="0055209A"/>
    <w:rsid w:val="00566CAC"/>
    <w:rsid w:val="005B5497"/>
    <w:rsid w:val="00613438"/>
    <w:rsid w:val="00655CA8"/>
    <w:rsid w:val="00660C78"/>
    <w:rsid w:val="00683263"/>
    <w:rsid w:val="006A0256"/>
    <w:rsid w:val="006A056C"/>
    <w:rsid w:val="006A518C"/>
    <w:rsid w:val="006B753D"/>
    <w:rsid w:val="00700144"/>
    <w:rsid w:val="00773DD6"/>
    <w:rsid w:val="00774317"/>
    <w:rsid w:val="00782376"/>
    <w:rsid w:val="007A3F61"/>
    <w:rsid w:val="00812796"/>
    <w:rsid w:val="00846417"/>
    <w:rsid w:val="008943E5"/>
    <w:rsid w:val="008C4F86"/>
    <w:rsid w:val="00900B6C"/>
    <w:rsid w:val="00916EE7"/>
    <w:rsid w:val="009603AE"/>
    <w:rsid w:val="00977A5B"/>
    <w:rsid w:val="009813D2"/>
    <w:rsid w:val="009A13BD"/>
    <w:rsid w:val="009C22D5"/>
    <w:rsid w:val="009E64F4"/>
    <w:rsid w:val="00A2095D"/>
    <w:rsid w:val="00A262D0"/>
    <w:rsid w:val="00A53A4E"/>
    <w:rsid w:val="00A97C06"/>
    <w:rsid w:val="00AA5450"/>
    <w:rsid w:val="00B16AFE"/>
    <w:rsid w:val="00B17F92"/>
    <w:rsid w:val="00B221D2"/>
    <w:rsid w:val="00B25F32"/>
    <w:rsid w:val="00B65D72"/>
    <w:rsid w:val="00B83409"/>
    <w:rsid w:val="00BB4391"/>
    <w:rsid w:val="00C33BBE"/>
    <w:rsid w:val="00CF56C7"/>
    <w:rsid w:val="00D76F23"/>
    <w:rsid w:val="00D84A8D"/>
    <w:rsid w:val="00DD4156"/>
    <w:rsid w:val="00E26B85"/>
    <w:rsid w:val="00E73F23"/>
    <w:rsid w:val="00E7493B"/>
    <w:rsid w:val="00EA3F78"/>
    <w:rsid w:val="00F40E16"/>
    <w:rsid w:val="00F411EA"/>
    <w:rsid w:val="00F732E4"/>
    <w:rsid w:val="00FB7A85"/>
    <w:rsid w:val="00FE47D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C3CB33"/>
  <w15:chartTrackingRefBased/>
  <w15:docId w15:val="{9EE7E6FF-7EAB-4ABB-8614-FC8F79481D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17F9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17F9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17F9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17F9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17F9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17F9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17F9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17F9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17F9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17F9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17F9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17F9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17F9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17F9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17F9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17F9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17F9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17F92"/>
    <w:rPr>
      <w:rFonts w:eastAsiaTheme="majorEastAsia" w:cstheme="majorBidi"/>
      <w:color w:val="272727" w:themeColor="text1" w:themeTint="D8"/>
    </w:rPr>
  </w:style>
  <w:style w:type="paragraph" w:styleId="Title">
    <w:name w:val="Title"/>
    <w:basedOn w:val="Normal"/>
    <w:next w:val="Normal"/>
    <w:link w:val="TitleChar"/>
    <w:uiPriority w:val="10"/>
    <w:qFormat/>
    <w:rsid w:val="00B17F9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17F9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17F9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17F9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17F92"/>
    <w:pPr>
      <w:spacing w:before="160"/>
      <w:jc w:val="center"/>
    </w:pPr>
    <w:rPr>
      <w:i/>
      <w:iCs/>
      <w:color w:val="404040" w:themeColor="text1" w:themeTint="BF"/>
    </w:rPr>
  </w:style>
  <w:style w:type="character" w:customStyle="1" w:styleId="QuoteChar">
    <w:name w:val="Quote Char"/>
    <w:basedOn w:val="DefaultParagraphFont"/>
    <w:link w:val="Quote"/>
    <w:uiPriority w:val="29"/>
    <w:rsid w:val="00B17F92"/>
    <w:rPr>
      <w:i/>
      <w:iCs/>
      <w:color w:val="404040" w:themeColor="text1" w:themeTint="BF"/>
    </w:rPr>
  </w:style>
  <w:style w:type="paragraph" w:styleId="ListParagraph">
    <w:name w:val="List Paragraph"/>
    <w:basedOn w:val="Normal"/>
    <w:uiPriority w:val="34"/>
    <w:qFormat/>
    <w:rsid w:val="00B17F92"/>
    <w:pPr>
      <w:ind w:left="720"/>
      <w:contextualSpacing/>
    </w:pPr>
  </w:style>
  <w:style w:type="character" w:styleId="IntenseEmphasis">
    <w:name w:val="Intense Emphasis"/>
    <w:basedOn w:val="DefaultParagraphFont"/>
    <w:uiPriority w:val="21"/>
    <w:qFormat/>
    <w:rsid w:val="00B17F92"/>
    <w:rPr>
      <w:i/>
      <w:iCs/>
      <w:color w:val="0F4761" w:themeColor="accent1" w:themeShade="BF"/>
    </w:rPr>
  </w:style>
  <w:style w:type="paragraph" w:styleId="IntenseQuote">
    <w:name w:val="Intense Quote"/>
    <w:basedOn w:val="Normal"/>
    <w:next w:val="Normal"/>
    <w:link w:val="IntenseQuoteChar"/>
    <w:uiPriority w:val="30"/>
    <w:qFormat/>
    <w:rsid w:val="00B17F9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17F92"/>
    <w:rPr>
      <w:i/>
      <w:iCs/>
      <w:color w:val="0F4761" w:themeColor="accent1" w:themeShade="BF"/>
    </w:rPr>
  </w:style>
  <w:style w:type="character" w:styleId="IntenseReference">
    <w:name w:val="Intense Reference"/>
    <w:basedOn w:val="DefaultParagraphFont"/>
    <w:uiPriority w:val="32"/>
    <w:qFormat/>
    <w:rsid w:val="00B17F92"/>
    <w:rPr>
      <w:b/>
      <w:bCs/>
      <w:smallCaps/>
      <w:color w:val="0F4761" w:themeColor="accent1" w:themeShade="BF"/>
      <w:spacing w:val="5"/>
    </w:rPr>
  </w:style>
  <w:style w:type="paragraph" w:styleId="FootnoteText">
    <w:name w:val="footnote text"/>
    <w:basedOn w:val="Normal"/>
    <w:link w:val="FootnoteTextChar"/>
    <w:uiPriority w:val="99"/>
    <w:semiHidden/>
    <w:unhideWhenUsed/>
    <w:rsid w:val="00B16AF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16AFE"/>
    <w:rPr>
      <w:sz w:val="20"/>
      <w:szCs w:val="20"/>
    </w:rPr>
  </w:style>
  <w:style w:type="character" w:styleId="FootnoteReference">
    <w:name w:val="footnote reference"/>
    <w:basedOn w:val="DefaultParagraphFont"/>
    <w:uiPriority w:val="99"/>
    <w:semiHidden/>
    <w:unhideWhenUsed/>
    <w:rsid w:val="00B16AF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7C8CF9-3C47-4EC9-9631-C873F219DD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481</TotalTime>
  <Pages>6</Pages>
  <Words>2167</Words>
  <Characters>12358</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Dishita Mittal</dc:creator>
  <cp:keywords/>
  <dc:description/>
  <cp:lastModifiedBy>Dishita Mittal</cp:lastModifiedBy>
  <cp:revision>56</cp:revision>
  <dcterms:created xsi:type="dcterms:W3CDTF">2025-07-24T07:34:00Z</dcterms:created>
  <dcterms:modified xsi:type="dcterms:W3CDTF">2025-07-24T16:07:00Z</dcterms:modified>
</cp:coreProperties>
</file>