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48272" w14:textId="77777777" w:rsidR="00324995" w:rsidRPr="005F13D3" w:rsidRDefault="00324995" w:rsidP="00D60FF6">
      <w:pPr>
        <w:pStyle w:val="Heading1"/>
        <w:rPr>
          <w:sz w:val="24"/>
          <w:szCs w:val="24"/>
          <w:lang w:val="en-US"/>
        </w:rPr>
      </w:pPr>
      <w:r w:rsidRPr="005F13D3">
        <w:rPr>
          <w:sz w:val="24"/>
          <w:szCs w:val="24"/>
        </w:rPr>
        <w:t xml:space="preserve">Witness Protection in India: Barriers Beyond Statute and </w:t>
      </w:r>
      <w:r w:rsidR="004A684E" w:rsidRPr="005F13D3">
        <w:rPr>
          <w:sz w:val="24"/>
          <w:szCs w:val="24"/>
        </w:rPr>
        <w:t>Courtrooms</w:t>
      </w:r>
    </w:p>
    <w:p w14:paraId="50AD3F0E" w14:textId="57CAF956" w:rsidR="00D60FF6" w:rsidRPr="007A4BFF" w:rsidRDefault="00D60FF6" w:rsidP="00D60FF6">
      <w:pPr>
        <w:jc w:val="center"/>
        <w:rPr>
          <w:rFonts w:cs="Times New Roman"/>
          <w:b/>
          <w:bCs/>
          <w:i/>
          <w:iCs/>
          <w:szCs w:val="24"/>
        </w:rPr>
      </w:pPr>
      <w:bookmarkStart w:id="0" w:name="_Toc176696440"/>
      <w:bookmarkStart w:id="1" w:name="_Toc177315221"/>
      <w:r w:rsidRPr="007A4BFF">
        <w:rPr>
          <w:rFonts w:cs="Times New Roman"/>
          <w:b/>
          <w:bCs/>
          <w:i/>
          <w:iCs/>
          <w:szCs w:val="24"/>
        </w:rPr>
        <w:t>Justice is not merely the punishment of the guilty, but the protection of those who speak the truth</w:t>
      </w:r>
      <w:r w:rsidR="000D1D0B">
        <w:rPr>
          <w:rFonts w:cs="Times New Roman"/>
          <w:b/>
          <w:bCs/>
          <w:i/>
          <w:iCs/>
          <w:szCs w:val="24"/>
        </w:rPr>
        <w:t>.</w:t>
      </w:r>
    </w:p>
    <w:p w14:paraId="2158EEA7" w14:textId="6CDD46EA" w:rsidR="004A684E" w:rsidRPr="005F13D3" w:rsidRDefault="004A684E" w:rsidP="004A684E">
      <w:pPr>
        <w:rPr>
          <w:rFonts w:cs="Times New Roman"/>
          <w:szCs w:val="24"/>
        </w:rPr>
      </w:pPr>
      <w:r w:rsidRPr="005F13D3">
        <w:rPr>
          <w:rFonts w:cs="Times New Roman"/>
          <w:szCs w:val="24"/>
        </w:rPr>
        <w:t>The witnesses stand in an indispensable position in the criminal justice system. Their testimonies determine the fate of the accused and help ensure the truth prevails. In the words of Justice Wadhwa,</w:t>
      </w:r>
      <w:r w:rsidRPr="005F13D3">
        <w:rPr>
          <w:rFonts w:cs="Times New Roman"/>
          <w:i/>
          <w:iCs/>
          <w:szCs w:val="24"/>
        </w:rPr>
        <w:t xml:space="preserve"> </w:t>
      </w:r>
      <w:r w:rsidRPr="0000007E">
        <w:rPr>
          <w:rFonts w:cs="Times New Roman"/>
          <w:szCs w:val="24"/>
        </w:rPr>
        <w:t>“A criminal case is built on the edifice of evidence, evidence that is admissible in law. For that, witnesses are required</w:t>
      </w:r>
      <w:r w:rsidR="00337425">
        <w:rPr>
          <w:rFonts w:cs="Times New Roman"/>
          <w:szCs w:val="24"/>
        </w:rPr>
        <w:t>,</w:t>
      </w:r>
      <w:r w:rsidRPr="0000007E">
        <w:rPr>
          <w:rFonts w:cs="Times New Roman"/>
          <w:szCs w:val="24"/>
        </w:rPr>
        <w:t xml:space="preserve"> whether it is direct evidence or circumstantial evidence</w:t>
      </w:r>
      <w:r w:rsidRPr="00CD6C37">
        <w:rPr>
          <w:rFonts w:cs="Times New Roman"/>
          <w:b/>
          <w:bCs/>
          <w:szCs w:val="24"/>
        </w:rPr>
        <w:t>”.</w:t>
      </w:r>
      <w:r w:rsidRPr="005F13D3">
        <w:rPr>
          <w:rFonts w:cs="Times New Roman"/>
          <w:szCs w:val="24"/>
        </w:rPr>
        <w:t xml:space="preserve"> </w:t>
      </w:r>
    </w:p>
    <w:p w14:paraId="6BC84C17" w14:textId="38251ECA" w:rsidR="004A684E" w:rsidRPr="005F13D3" w:rsidRDefault="004A684E" w:rsidP="004A684E">
      <w:pPr>
        <w:rPr>
          <w:rFonts w:cs="Times New Roman"/>
          <w:szCs w:val="24"/>
        </w:rPr>
      </w:pPr>
      <w:r w:rsidRPr="005F13D3">
        <w:rPr>
          <w:rFonts w:cs="Times New Roman"/>
          <w:szCs w:val="24"/>
        </w:rPr>
        <w:t>Yet in recent years</w:t>
      </w:r>
      <w:r w:rsidR="00337425">
        <w:rPr>
          <w:rFonts w:cs="Times New Roman"/>
          <w:szCs w:val="24"/>
        </w:rPr>
        <w:t>,</w:t>
      </w:r>
      <w:r w:rsidRPr="005F13D3">
        <w:rPr>
          <w:rFonts w:cs="Times New Roman"/>
          <w:szCs w:val="24"/>
        </w:rPr>
        <w:t xml:space="preserve"> the integrity of this role has been under constant assault. It was observed that more than twenty witnesses had died in the Vyapam scam</w:t>
      </w:r>
      <w:r w:rsidR="00337425">
        <w:rPr>
          <w:rFonts w:cs="Times New Roman"/>
          <w:szCs w:val="24"/>
        </w:rPr>
        <w:t>,</w:t>
      </w:r>
      <w:r w:rsidRPr="005F13D3">
        <w:rPr>
          <w:rFonts w:cs="Times New Roman"/>
          <w:szCs w:val="24"/>
        </w:rPr>
        <w:t xml:space="preserve"> while many were attacked and murdered in the case of Asaram Bapu</w:t>
      </w:r>
      <w:r w:rsidR="001F3909">
        <w:rPr>
          <w:rFonts w:cs="Times New Roman"/>
          <w:szCs w:val="24"/>
        </w:rPr>
        <w:t>.</w:t>
      </w:r>
      <w:r w:rsidRPr="005F13D3">
        <w:rPr>
          <w:rStyle w:val="FootnoteReference"/>
          <w:rFonts w:cs="Times New Roman"/>
          <w:szCs w:val="24"/>
        </w:rPr>
        <w:footnoteReference w:id="1"/>
      </w:r>
      <w:r w:rsidRPr="005F13D3">
        <w:rPr>
          <w:rFonts w:cs="Times New Roman"/>
          <w:szCs w:val="24"/>
        </w:rPr>
        <w:t>What’s similar between these cases is the fact that the witnesses here had been intimidated or threatened. Despite legal provisions crafted under various laws for witness protection, the ground reality tells a different story. India’s conviction rate stands at a mere 55% with one of its main reasons being witnesses turning hostile.</w:t>
      </w:r>
      <w:r w:rsidRPr="005F13D3">
        <w:rPr>
          <w:rStyle w:val="FootnoteReference"/>
          <w:rFonts w:cs="Times New Roman"/>
          <w:szCs w:val="24"/>
        </w:rPr>
        <w:footnoteReference w:id="2"/>
      </w:r>
    </w:p>
    <w:p w14:paraId="7E1BFCDF" w14:textId="644E614E" w:rsidR="004A684E" w:rsidRPr="005F13D3" w:rsidRDefault="004A684E" w:rsidP="004A684E">
      <w:pPr>
        <w:rPr>
          <w:rFonts w:cs="Times New Roman"/>
          <w:szCs w:val="24"/>
        </w:rPr>
      </w:pPr>
      <w:r w:rsidRPr="005F13D3">
        <w:rPr>
          <w:rFonts w:cs="Times New Roman"/>
          <w:szCs w:val="24"/>
        </w:rPr>
        <w:t xml:space="preserve">Witnesses face a myriad of issues, starting from threats, </w:t>
      </w:r>
      <w:r w:rsidR="00333ADE">
        <w:rPr>
          <w:rFonts w:cs="Times New Roman"/>
          <w:szCs w:val="24"/>
        </w:rPr>
        <w:t>intimidation</w:t>
      </w:r>
      <w:r w:rsidRPr="005F13D3">
        <w:rPr>
          <w:rFonts w:cs="Times New Roman"/>
          <w:szCs w:val="24"/>
        </w:rPr>
        <w:t xml:space="preserve">, and loss of livelihood to frequent cross-examinations, extremely slow trials, and zero protection from police. There exists a Constant fear for their own lives as well as that of their family members. </w:t>
      </w:r>
      <w:r w:rsidR="00333ADE">
        <w:rPr>
          <w:rFonts w:cs="Times New Roman"/>
          <w:szCs w:val="24"/>
        </w:rPr>
        <w:t>The chances</w:t>
      </w:r>
      <w:r w:rsidRPr="005F13D3">
        <w:rPr>
          <w:rFonts w:cs="Times New Roman"/>
          <w:szCs w:val="24"/>
        </w:rPr>
        <w:t xml:space="preserve"> of witnesses withdrawing from their crucial</w:t>
      </w:r>
      <w:r w:rsidR="00BF465A">
        <w:rPr>
          <w:rFonts w:cs="Times New Roman"/>
          <w:szCs w:val="24"/>
        </w:rPr>
        <w:t xml:space="preserve"> </w:t>
      </w:r>
      <w:r w:rsidRPr="005F13D3">
        <w:rPr>
          <w:rFonts w:cs="Times New Roman"/>
          <w:szCs w:val="24"/>
        </w:rPr>
        <w:t>statements remain much more in high-profile cases. "If the witnesses get threatened or are forced to give false evidence</w:t>
      </w:r>
      <w:r w:rsidR="00337425">
        <w:rPr>
          <w:rFonts w:cs="Times New Roman"/>
          <w:szCs w:val="24"/>
        </w:rPr>
        <w:t>,</w:t>
      </w:r>
      <w:r w:rsidRPr="005F13D3">
        <w:rPr>
          <w:rFonts w:cs="Times New Roman"/>
          <w:szCs w:val="24"/>
        </w:rPr>
        <w:t xml:space="preserve"> that also would not result in a fair trial," as elucidated by the Supreme Court.</w:t>
      </w:r>
    </w:p>
    <w:p w14:paraId="12C0F438" w14:textId="7893F7D8" w:rsidR="004A684E" w:rsidRPr="005F13D3" w:rsidRDefault="004A684E" w:rsidP="004A684E">
      <w:pPr>
        <w:rPr>
          <w:rFonts w:cs="Times New Roman"/>
          <w:szCs w:val="24"/>
        </w:rPr>
      </w:pPr>
      <w:r w:rsidRPr="005F13D3">
        <w:rPr>
          <w:rFonts w:cs="Times New Roman"/>
          <w:szCs w:val="24"/>
        </w:rPr>
        <w:t>With “Zahira Habibulla Sheikh v. State of Gujarat”</w:t>
      </w:r>
      <w:r w:rsidRPr="005F13D3">
        <w:rPr>
          <w:rStyle w:val="FootnoteReference"/>
          <w:rFonts w:cs="Times New Roman"/>
          <w:szCs w:val="24"/>
        </w:rPr>
        <w:footnoteReference w:id="3"/>
      </w:r>
      <w:r w:rsidRPr="005F13D3">
        <w:rPr>
          <w:rFonts w:cs="Times New Roman"/>
          <w:szCs w:val="24"/>
        </w:rPr>
        <w:t xml:space="preserve">, the apex court had even called for some legislative measures to be taken to protect the “witnesses, victims, or informants” against tampering. This led to the introduction of the </w:t>
      </w:r>
      <w:r w:rsidR="00DD784B">
        <w:rPr>
          <w:rFonts w:cs="Times New Roman"/>
          <w:szCs w:val="24"/>
        </w:rPr>
        <w:t>“</w:t>
      </w:r>
      <w:r w:rsidRPr="005F13D3">
        <w:rPr>
          <w:rFonts w:cs="Times New Roman"/>
          <w:szCs w:val="24"/>
        </w:rPr>
        <w:t>Witness Protection Scheme</w:t>
      </w:r>
      <w:r w:rsidR="00DD784B">
        <w:rPr>
          <w:rFonts w:cs="Times New Roman"/>
          <w:szCs w:val="24"/>
        </w:rPr>
        <w:t>”</w:t>
      </w:r>
      <w:r w:rsidRPr="005F13D3">
        <w:rPr>
          <w:rFonts w:cs="Times New Roman"/>
          <w:szCs w:val="24"/>
        </w:rPr>
        <w:t xml:space="preserve"> in 2018, which intends to bridge the gap that existed in the application of the already existing legal provisions. </w:t>
      </w:r>
      <w:r w:rsidRPr="005F13D3">
        <w:rPr>
          <w:rFonts w:cs="Times New Roman"/>
          <w:szCs w:val="24"/>
        </w:rPr>
        <w:lastRenderedPageBreak/>
        <w:t xml:space="preserve">However, some challenges in the implementation of witness protection have remained a constant hurdle and seem to affect the efficient working of the scheme as well. </w:t>
      </w:r>
    </w:p>
    <w:p w14:paraId="0F65CFE7" w14:textId="41CCC335" w:rsidR="004A684E" w:rsidRPr="005F13D3" w:rsidRDefault="004A684E" w:rsidP="004A684E">
      <w:pPr>
        <w:rPr>
          <w:rFonts w:cs="Times New Roman"/>
          <w:szCs w:val="24"/>
        </w:rPr>
      </w:pPr>
      <w:r w:rsidRPr="005F13D3">
        <w:rPr>
          <w:rFonts w:cs="Times New Roman"/>
          <w:i/>
          <w:iCs/>
          <w:szCs w:val="24"/>
        </w:rPr>
        <w:t xml:space="preserve">“Injustice anywhere is a threat to justice everywhere” </w:t>
      </w:r>
      <w:r w:rsidR="007A6698">
        <w:rPr>
          <w:rFonts w:cs="Times New Roman"/>
          <w:szCs w:val="24"/>
        </w:rPr>
        <w:t xml:space="preserve">- </w:t>
      </w:r>
      <w:r w:rsidRPr="005F13D3">
        <w:rPr>
          <w:rFonts w:cs="Times New Roman"/>
          <w:szCs w:val="24"/>
        </w:rPr>
        <w:t>Martin Luther King Jr.  By not providing relief to the witnesses (commonly referred to as “eyes and ears of justice”) for all the troubles they endure for the sake of ensuring justice to an innocent, the law plays an active part in the injustice. For truth to triumph, those who bear witness to it must first feel secure in its defence.</w:t>
      </w:r>
    </w:p>
    <w:p w14:paraId="4FE5964D" w14:textId="77777777" w:rsidR="00D60FF6" w:rsidRDefault="00D60FF6" w:rsidP="007A4BFF">
      <w:pPr>
        <w:pStyle w:val="Heading2"/>
        <w:pBdr>
          <w:bottom w:val="single" w:sz="8" w:space="1" w:color="auto"/>
        </w:pBdr>
      </w:pPr>
      <w:r>
        <w:t xml:space="preserve">Evolution and existing </w:t>
      </w:r>
      <w:bookmarkEnd w:id="0"/>
      <w:bookmarkEnd w:id="1"/>
      <w:r>
        <w:t>provisions for Witnesses</w:t>
      </w:r>
    </w:p>
    <w:p w14:paraId="23B6AD62" w14:textId="192AD38C" w:rsidR="003873BD" w:rsidRDefault="008C0BB0" w:rsidP="003873BD">
      <w:r>
        <w:t xml:space="preserve">Witness protection in India </w:t>
      </w:r>
      <w:r w:rsidR="00B15A96">
        <w:t>has</w:t>
      </w:r>
      <w:r>
        <w:t xml:space="preserve"> evolved through </w:t>
      </w:r>
      <w:r w:rsidR="00F21CAB">
        <w:t xml:space="preserve">numerous judicial interventions, </w:t>
      </w:r>
      <w:r w:rsidR="00B15A96">
        <w:t>judgments</w:t>
      </w:r>
      <w:r w:rsidR="00F21CAB">
        <w:t xml:space="preserve"> and policy efforts</w:t>
      </w:r>
      <w:r w:rsidR="00B15A96">
        <w:t xml:space="preserve">. One of the most unfortunate </w:t>
      </w:r>
      <w:r w:rsidR="00333ADE">
        <w:t>aspects</w:t>
      </w:r>
      <w:r w:rsidR="00073E16">
        <w:t xml:space="preserve"> </w:t>
      </w:r>
      <w:r w:rsidR="00067A7C">
        <w:t xml:space="preserve">of the justice system is probably the fact that the nation still lacks a </w:t>
      </w:r>
      <w:r w:rsidR="004302BA">
        <w:t xml:space="preserve">binding statutory framework for the cause. The conversation for it began </w:t>
      </w:r>
      <w:r w:rsidR="004302BA" w:rsidRPr="004A684E">
        <w:t xml:space="preserve">as early as the </w:t>
      </w:r>
      <w:r w:rsidR="008F31E8">
        <w:t>“</w:t>
      </w:r>
      <w:r w:rsidR="004302BA" w:rsidRPr="00897553">
        <w:rPr>
          <w:b/>
          <w:bCs/>
        </w:rPr>
        <w:t>14</w:t>
      </w:r>
      <w:r w:rsidR="004638F4" w:rsidRPr="004638F4">
        <w:rPr>
          <w:b/>
          <w:bCs/>
          <w:vertAlign w:val="superscript"/>
        </w:rPr>
        <w:t>th</w:t>
      </w:r>
      <w:r w:rsidR="004638F4">
        <w:rPr>
          <w:b/>
          <w:bCs/>
        </w:rPr>
        <w:t xml:space="preserve"> </w:t>
      </w:r>
      <w:r w:rsidR="004302BA" w:rsidRPr="00897553">
        <w:rPr>
          <w:b/>
          <w:bCs/>
        </w:rPr>
        <w:t>Law Commission Report (1958)</w:t>
      </w:r>
      <w:r w:rsidR="008F31E8">
        <w:rPr>
          <w:b/>
          <w:bCs/>
        </w:rPr>
        <w:t>”</w:t>
      </w:r>
      <w:r w:rsidR="004302BA" w:rsidRPr="004A684E">
        <w:t>, which</w:t>
      </w:r>
      <w:r w:rsidR="004302BA">
        <w:t xml:space="preserve"> </w:t>
      </w:r>
      <w:r w:rsidR="0000007E">
        <w:t>emphasised the need</w:t>
      </w:r>
      <w:r w:rsidR="004302BA">
        <w:t xml:space="preserve"> for providing</w:t>
      </w:r>
      <w:r w:rsidR="004302BA" w:rsidRPr="004A684E">
        <w:t xml:space="preserve"> logistical conveniences </w:t>
      </w:r>
      <w:r w:rsidR="00622641">
        <w:t xml:space="preserve">to </w:t>
      </w:r>
      <w:r w:rsidR="004302BA" w:rsidRPr="004A684E">
        <w:t>witnesses</w:t>
      </w:r>
      <w:r w:rsidR="004302BA">
        <w:t xml:space="preserve">. </w:t>
      </w:r>
      <w:r w:rsidR="00253626">
        <w:t>However, it</w:t>
      </w:r>
      <w:r w:rsidR="004302BA">
        <w:t xml:space="preserve"> </w:t>
      </w:r>
      <w:r w:rsidR="004302BA" w:rsidRPr="004A684E">
        <w:t xml:space="preserve">did not propose any </w:t>
      </w:r>
      <w:r w:rsidR="00F67FC7">
        <w:t>protective measures</w:t>
      </w:r>
      <w:r w:rsidR="004302BA" w:rsidRPr="004A684E">
        <w:t xml:space="preserve"> against intimidation or harm.</w:t>
      </w:r>
      <w:r w:rsidR="00F67FC7">
        <w:t xml:space="preserve"> Over the</w:t>
      </w:r>
      <w:r w:rsidR="00453092">
        <w:t xml:space="preserve"> </w:t>
      </w:r>
      <w:r w:rsidR="00F67FC7">
        <w:t>dec</w:t>
      </w:r>
      <w:r w:rsidR="004638F4">
        <w:t>a</w:t>
      </w:r>
      <w:r w:rsidR="00F67FC7">
        <w:t>des</w:t>
      </w:r>
      <w:r w:rsidR="004638F4">
        <w:t xml:space="preserve">, the nation witnessed </w:t>
      </w:r>
      <w:r w:rsidR="004638F4" w:rsidRPr="004A684E">
        <w:t>repeated episodes of witness hostility in high-profile cases</w:t>
      </w:r>
      <w:r w:rsidR="004638F4">
        <w:t>,</w:t>
      </w:r>
      <w:r w:rsidR="004638F4" w:rsidRPr="004A684E">
        <w:t xml:space="preserve"> </w:t>
      </w:r>
      <w:r w:rsidR="004638F4">
        <w:t>exposing</w:t>
      </w:r>
      <w:r w:rsidR="004638F4" w:rsidRPr="004A684E">
        <w:t xml:space="preserve"> system</w:t>
      </w:r>
      <w:r w:rsidR="00453092">
        <w:t>atic</w:t>
      </w:r>
      <w:r w:rsidR="004638F4" w:rsidRPr="004A684E">
        <w:t xml:space="preserve"> </w:t>
      </w:r>
      <w:r w:rsidR="00453092">
        <w:t>issues</w:t>
      </w:r>
      <w:r w:rsidR="004638F4">
        <w:t xml:space="preserve">. Then </w:t>
      </w:r>
      <w:r w:rsidR="004638F4" w:rsidRPr="004638F4">
        <w:rPr>
          <w:b/>
          <w:bCs/>
        </w:rPr>
        <w:t>the 154</w:t>
      </w:r>
      <w:r w:rsidR="004638F4" w:rsidRPr="004638F4">
        <w:rPr>
          <w:b/>
          <w:bCs/>
          <w:vertAlign w:val="superscript"/>
        </w:rPr>
        <w:t>th</w:t>
      </w:r>
      <w:r w:rsidR="004638F4">
        <w:t xml:space="preserve"> </w:t>
      </w:r>
      <w:r w:rsidR="004638F4" w:rsidRPr="00897553">
        <w:rPr>
          <w:b/>
          <w:bCs/>
        </w:rPr>
        <w:t xml:space="preserve">Law Commission Report </w:t>
      </w:r>
      <w:r w:rsidR="003873BD">
        <w:rPr>
          <w:b/>
          <w:bCs/>
        </w:rPr>
        <w:t xml:space="preserve">played an important role by acknowledging </w:t>
      </w:r>
      <w:r w:rsidR="003873BD" w:rsidRPr="004A684E">
        <w:t>the threat of coercion and advocating for improved procedural safeguards</w:t>
      </w:r>
      <w:r w:rsidR="004454C7">
        <w:t xml:space="preserve">. </w:t>
      </w:r>
      <w:r w:rsidR="00E636C1">
        <w:t xml:space="preserve">Though it too </w:t>
      </w:r>
      <w:r w:rsidR="003873BD" w:rsidRPr="004A684E">
        <w:t>fell short of suggesting concrete legislative measures for physical security.</w:t>
      </w:r>
    </w:p>
    <w:p w14:paraId="37DFED0B" w14:textId="20ADBA43" w:rsidR="004A684E" w:rsidRPr="003B6856" w:rsidRDefault="00DC1997" w:rsidP="003B6856">
      <w:pPr>
        <w:rPr>
          <w:rFonts w:cs="Times New Roman"/>
          <w:b/>
          <w:bCs/>
          <w:szCs w:val="24"/>
        </w:rPr>
      </w:pPr>
      <w:r>
        <w:t xml:space="preserve">The </w:t>
      </w:r>
      <w:r w:rsidRPr="004A684E">
        <w:rPr>
          <w:rFonts w:cs="Times New Roman"/>
          <w:b/>
          <w:bCs/>
          <w:szCs w:val="24"/>
        </w:rPr>
        <w:t>Malimath Committee on Criminal Justice Reforms</w:t>
      </w:r>
      <w:r>
        <w:rPr>
          <w:rFonts w:cs="Times New Roman"/>
          <w:b/>
          <w:bCs/>
          <w:szCs w:val="24"/>
        </w:rPr>
        <w:t xml:space="preserve"> had recommended </w:t>
      </w:r>
      <w:r w:rsidR="000F7718">
        <w:rPr>
          <w:rFonts w:cs="Times New Roman"/>
          <w:szCs w:val="24"/>
        </w:rPr>
        <w:t xml:space="preserve">for introduction of a witness protection law. </w:t>
      </w:r>
      <w:r w:rsidR="00561A39">
        <w:rPr>
          <w:rFonts w:cs="Times New Roman"/>
          <w:szCs w:val="24"/>
        </w:rPr>
        <w:t xml:space="preserve">The report had highlighted the need for </w:t>
      </w:r>
      <w:r w:rsidR="00AF125D">
        <w:rPr>
          <w:rFonts w:cs="Times New Roman"/>
          <w:szCs w:val="24"/>
        </w:rPr>
        <w:t>provisions</w:t>
      </w:r>
      <w:r w:rsidR="00561A39">
        <w:rPr>
          <w:rFonts w:cs="Times New Roman"/>
          <w:szCs w:val="24"/>
        </w:rPr>
        <w:t xml:space="preserve"> for financial security and </w:t>
      </w:r>
      <w:r w:rsidR="00A816BE">
        <w:rPr>
          <w:rFonts w:cs="Times New Roman"/>
          <w:szCs w:val="24"/>
        </w:rPr>
        <w:t>the safeguarding</w:t>
      </w:r>
      <w:r w:rsidR="00561A39">
        <w:rPr>
          <w:rFonts w:cs="Times New Roman"/>
          <w:szCs w:val="24"/>
        </w:rPr>
        <w:t xml:space="preserve"> of witne</w:t>
      </w:r>
      <w:r w:rsidR="00A2674B">
        <w:rPr>
          <w:rFonts w:cs="Times New Roman"/>
          <w:szCs w:val="24"/>
        </w:rPr>
        <w:t xml:space="preserve">sses and their families. </w:t>
      </w:r>
      <w:r w:rsidR="00A2674B" w:rsidRPr="004A684E">
        <w:rPr>
          <w:rFonts w:cs="Times New Roman"/>
          <w:szCs w:val="24"/>
        </w:rPr>
        <w:t>Despite its urgency, legislative inertia persisted</w:t>
      </w:r>
      <w:r w:rsidR="00A816BE">
        <w:rPr>
          <w:rFonts w:cs="Times New Roman"/>
          <w:szCs w:val="24"/>
        </w:rPr>
        <w:t xml:space="preserve">. </w:t>
      </w:r>
      <w:r w:rsidR="00A816BE" w:rsidRPr="004A684E">
        <w:rPr>
          <w:rFonts w:cs="Times New Roman"/>
          <w:szCs w:val="24"/>
        </w:rPr>
        <w:t xml:space="preserve">The </w:t>
      </w:r>
      <w:r w:rsidR="008F31E8">
        <w:rPr>
          <w:rFonts w:cs="Times New Roman"/>
          <w:szCs w:val="24"/>
        </w:rPr>
        <w:t>“</w:t>
      </w:r>
      <w:r w:rsidR="00A816BE" w:rsidRPr="004A684E">
        <w:rPr>
          <w:rFonts w:cs="Times New Roman"/>
          <w:b/>
          <w:bCs/>
          <w:szCs w:val="24"/>
        </w:rPr>
        <w:t>198</w:t>
      </w:r>
      <w:r w:rsidR="00A816BE" w:rsidRPr="00A816BE">
        <w:rPr>
          <w:rFonts w:cs="Times New Roman"/>
          <w:b/>
          <w:bCs/>
          <w:szCs w:val="24"/>
          <w:vertAlign w:val="superscript"/>
        </w:rPr>
        <w:t>th</w:t>
      </w:r>
      <w:r w:rsidR="00A816BE">
        <w:rPr>
          <w:rFonts w:cs="Times New Roman"/>
          <w:b/>
          <w:bCs/>
          <w:szCs w:val="24"/>
        </w:rPr>
        <w:t xml:space="preserve"> </w:t>
      </w:r>
      <w:r w:rsidR="00A816BE" w:rsidRPr="004A684E">
        <w:rPr>
          <w:rFonts w:cs="Times New Roman"/>
          <w:b/>
          <w:bCs/>
          <w:szCs w:val="24"/>
        </w:rPr>
        <w:t>Law Commission Report (2006)</w:t>
      </w:r>
      <w:r w:rsidR="008F31E8">
        <w:rPr>
          <w:rFonts w:cs="Times New Roman"/>
          <w:b/>
          <w:bCs/>
          <w:szCs w:val="24"/>
        </w:rPr>
        <w:t>”</w:t>
      </w:r>
      <w:r w:rsidR="00A816BE" w:rsidRPr="004A684E">
        <w:rPr>
          <w:rFonts w:cs="Times New Roman"/>
          <w:szCs w:val="24"/>
        </w:rPr>
        <w:t xml:space="preserve"> went further</w:t>
      </w:r>
      <w:r w:rsidR="00A816BE">
        <w:rPr>
          <w:rFonts w:cs="Times New Roman"/>
          <w:szCs w:val="24"/>
        </w:rPr>
        <w:t xml:space="preserve"> and </w:t>
      </w:r>
      <w:r w:rsidR="00A816BE" w:rsidRPr="004A684E">
        <w:rPr>
          <w:rFonts w:cs="Times New Roman"/>
          <w:szCs w:val="24"/>
        </w:rPr>
        <w:t>propos</w:t>
      </w:r>
      <w:r w:rsidR="00A816BE">
        <w:rPr>
          <w:rFonts w:cs="Times New Roman"/>
          <w:szCs w:val="24"/>
        </w:rPr>
        <w:t>ed</w:t>
      </w:r>
      <w:r w:rsidR="00A816BE" w:rsidRPr="004A684E">
        <w:rPr>
          <w:rFonts w:cs="Times New Roman"/>
          <w:szCs w:val="24"/>
        </w:rPr>
        <w:t xml:space="preserve"> a detailed draft legislation </w:t>
      </w:r>
      <w:r w:rsidR="00A816BE">
        <w:rPr>
          <w:rFonts w:cs="Times New Roman"/>
          <w:szCs w:val="24"/>
        </w:rPr>
        <w:t>modelled</w:t>
      </w:r>
      <w:r w:rsidR="00A816BE" w:rsidRPr="004A684E">
        <w:rPr>
          <w:rFonts w:cs="Times New Roman"/>
          <w:szCs w:val="24"/>
        </w:rPr>
        <w:t xml:space="preserve"> on international statutes from Portugal and New Zealand</w:t>
      </w:r>
      <w:r w:rsidR="00A17999">
        <w:rPr>
          <w:rFonts w:cs="Times New Roman"/>
          <w:szCs w:val="24"/>
        </w:rPr>
        <w:t xml:space="preserve">. Guidelines </w:t>
      </w:r>
      <w:r w:rsidR="001843F7">
        <w:rPr>
          <w:rFonts w:cs="Times New Roman"/>
          <w:szCs w:val="24"/>
        </w:rPr>
        <w:t xml:space="preserve">emerged through various notable judgments of </w:t>
      </w:r>
      <w:r w:rsidR="000D1D0B">
        <w:rPr>
          <w:rFonts w:cs="Times New Roman"/>
          <w:szCs w:val="24"/>
        </w:rPr>
        <w:t xml:space="preserve">the </w:t>
      </w:r>
      <w:r w:rsidR="00AF125D">
        <w:rPr>
          <w:rFonts w:cs="Times New Roman"/>
          <w:szCs w:val="24"/>
        </w:rPr>
        <w:t>Supreme Court, particularly</w:t>
      </w:r>
      <w:r w:rsidR="00F659D9">
        <w:rPr>
          <w:rFonts w:cs="Times New Roman"/>
          <w:szCs w:val="24"/>
        </w:rPr>
        <w:t xml:space="preserve"> </w:t>
      </w:r>
      <w:r w:rsidR="00222D74">
        <w:rPr>
          <w:rFonts w:cs="Times New Roman"/>
          <w:szCs w:val="24"/>
        </w:rPr>
        <w:t>the case of</w:t>
      </w:r>
      <w:r w:rsidR="00F659D9" w:rsidRPr="004A684E">
        <w:rPr>
          <w:rFonts w:cs="Times New Roman"/>
          <w:szCs w:val="24"/>
        </w:rPr>
        <w:t xml:space="preserve"> </w:t>
      </w:r>
      <w:r w:rsidR="00F659D9">
        <w:rPr>
          <w:rFonts w:cs="Times New Roman"/>
          <w:szCs w:val="24"/>
        </w:rPr>
        <w:t>“</w:t>
      </w:r>
      <w:r w:rsidR="00F659D9" w:rsidRPr="004A684E">
        <w:rPr>
          <w:rFonts w:cs="Times New Roman"/>
          <w:b/>
          <w:bCs/>
          <w:szCs w:val="24"/>
        </w:rPr>
        <w:t>Zahira Habibulla Sheikh v. State of Gujarat</w:t>
      </w:r>
      <w:r w:rsidR="00F659D9" w:rsidRPr="004A684E">
        <w:rPr>
          <w:rFonts w:cs="Times New Roman"/>
          <w:szCs w:val="24"/>
        </w:rPr>
        <w:t xml:space="preserve"> (2004)</w:t>
      </w:r>
      <w:r w:rsidR="00F659D9">
        <w:rPr>
          <w:rFonts w:cs="Times New Roman"/>
          <w:szCs w:val="24"/>
        </w:rPr>
        <w:t>”</w:t>
      </w:r>
      <w:r w:rsidR="008F31E8">
        <w:rPr>
          <w:rStyle w:val="FootnoteReference"/>
          <w:rFonts w:cs="Times New Roman"/>
          <w:szCs w:val="24"/>
        </w:rPr>
        <w:footnoteReference w:id="4"/>
      </w:r>
      <w:r w:rsidR="00F659D9" w:rsidRPr="004A684E">
        <w:rPr>
          <w:rFonts w:cs="Times New Roman"/>
          <w:szCs w:val="24"/>
        </w:rPr>
        <w:t xml:space="preserve"> and </w:t>
      </w:r>
      <w:r w:rsidR="00F659D9">
        <w:rPr>
          <w:rFonts w:cs="Times New Roman"/>
          <w:szCs w:val="24"/>
        </w:rPr>
        <w:t>“</w:t>
      </w:r>
      <w:r w:rsidR="00F659D9" w:rsidRPr="004A684E">
        <w:rPr>
          <w:rFonts w:cs="Times New Roman"/>
          <w:b/>
          <w:bCs/>
          <w:szCs w:val="24"/>
        </w:rPr>
        <w:t>Mahendra Chawla v. Union of India</w:t>
      </w:r>
      <w:r w:rsidR="00F659D9" w:rsidRPr="004A684E">
        <w:rPr>
          <w:rFonts w:cs="Times New Roman"/>
          <w:szCs w:val="24"/>
        </w:rPr>
        <w:t xml:space="preserve"> (2018)</w:t>
      </w:r>
      <w:r w:rsidR="00F659D9">
        <w:rPr>
          <w:rFonts w:cs="Times New Roman"/>
          <w:szCs w:val="24"/>
        </w:rPr>
        <w:t>”</w:t>
      </w:r>
      <w:r w:rsidR="008F31E8">
        <w:rPr>
          <w:rStyle w:val="FootnoteReference"/>
          <w:rFonts w:cs="Times New Roman"/>
          <w:szCs w:val="24"/>
        </w:rPr>
        <w:footnoteReference w:id="5"/>
      </w:r>
      <w:r w:rsidR="00F659D9" w:rsidRPr="004A684E">
        <w:rPr>
          <w:rFonts w:cs="Times New Roman"/>
          <w:szCs w:val="24"/>
        </w:rPr>
        <w:t xml:space="preserve">, </w:t>
      </w:r>
      <w:r w:rsidR="003B6856">
        <w:rPr>
          <w:rFonts w:cs="Times New Roman"/>
          <w:szCs w:val="24"/>
        </w:rPr>
        <w:t>where states were directed to draft protection schemes.</w:t>
      </w:r>
    </w:p>
    <w:p w14:paraId="24959A09" w14:textId="0C12614A" w:rsidR="004A684E" w:rsidRPr="004A684E" w:rsidRDefault="004A684E" w:rsidP="004A684E">
      <w:pPr>
        <w:spacing w:before="0" w:after="160"/>
        <w:rPr>
          <w:rFonts w:cs="Times New Roman"/>
          <w:szCs w:val="24"/>
        </w:rPr>
      </w:pPr>
      <w:r w:rsidRPr="004A684E">
        <w:rPr>
          <w:rFonts w:cs="Times New Roman"/>
          <w:szCs w:val="24"/>
        </w:rPr>
        <w:t xml:space="preserve">This led to the </w:t>
      </w:r>
      <w:r w:rsidRPr="004A684E">
        <w:rPr>
          <w:rFonts w:cs="Times New Roman"/>
          <w:b/>
          <w:bCs/>
          <w:szCs w:val="24"/>
        </w:rPr>
        <w:t>Witness Protection Scheme</w:t>
      </w:r>
      <w:r w:rsidR="00DA2781">
        <w:rPr>
          <w:rFonts w:cs="Times New Roman"/>
          <w:b/>
          <w:bCs/>
          <w:szCs w:val="24"/>
        </w:rPr>
        <w:t xml:space="preserve"> of </w:t>
      </w:r>
      <w:r w:rsidRPr="004A684E">
        <w:rPr>
          <w:rFonts w:cs="Times New Roman"/>
          <w:b/>
          <w:bCs/>
          <w:szCs w:val="24"/>
        </w:rPr>
        <w:t>2018</w:t>
      </w:r>
      <w:r w:rsidRPr="004A684E">
        <w:rPr>
          <w:rFonts w:cs="Times New Roman"/>
          <w:szCs w:val="24"/>
        </w:rPr>
        <w:t xml:space="preserve">, </w:t>
      </w:r>
      <w:r w:rsidR="00815075">
        <w:rPr>
          <w:rFonts w:cs="Times New Roman"/>
          <w:szCs w:val="24"/>
        </w:rPr>
        <w:t xml:space="preserve">the </w:t>
      </w:r>
      <w:r w:rsidRPr="004A684E">
        <w:rPr>
          <w:rFonts w:cs="Times New Roman"/>
          <w:szCs w:val="24"/>
        </w:rPr>
        <w:t>first</w:t>
      </w:r>
      <w:r w:rsidR="00815075">
        <w:rPr>
          <w:rFonts w:cs="Times New Roman"/>
          <w:szCs w:val="24"/>
        </w:rPr>
        <w:t xml:space="preserve"> comprehensive</w:t>
      </w:r>
      <w:r w:rsidRPr="004A684E">
        <w:rPr>
          <w:rFonts w:cs="Times New Roman"/>
          <w:szCs w:val="24"/>
        </w:rPr>
        <w:t xml:space="preserve"> policy</w:t>
      </w:r>
      <w:r w:rsidR="00815075">
        <w:rPr>
          <w:rFonts w:cs="Times New Roman"/>
          <w:szCs w:val="24"/>
        </w:rPr>
        <w:t xml:space="preserve"> of </w:t>
      </w:r>
      <w:r w:rsidR="00143C90">
        <w:rPr>
          <w:rFonts w:cs="Times New Roman"/>
          <w:szCs w:val="24"/>
        </w:rPr>
        <w:t xml:space="preserve">the </w:t>
      </w:r>
      <w:r w:rsidR="00815075">
        <w:rPr>
          <w:rFonts w:cs="Times New Roman"/>
          <w:szCs w:val="24"/>
        </w:rPr>
        <w:t>Indian justice system</w:t>
      </w:r>
      <w:r w:rsidRPr="004A684E">
        <w:rPr>
          <w:rFonts w:cs="Times New Roman"/>
          <w:szCs w:val="24"/>
        </w:rPr>
        <w:t xml:space="preserve"> for witness security. It introduced threat </w:t>
      </w:r>
      <w:r w:rsidR="000D1D0B">
        <w:rPr>
          <w:rFonts w:cs="Times New Roman"/>
          <w:szCs w:val="24"/>
        </w:rPr>
        <w:t>categorisation</w:t>
      </w:r>
      <w:r w:rsidRPr="004A684E">
        <w:rPr>
          <w:rFonts w:cs="Times New Roman"/>
          <w:szCs w:val="24"/>
        </w:rPr>
        <w:t xml:space="preserve">, anonymity </w:t>
      </w:r>
      <w:r w:rsidRPr="004A684E">
        <w:rPr>
          <w:rFonts w:cs="Times New Roman"/>
          <w:szCs w:val="24"/>
        </w:rPr>
        <w:lastRenderedPageBreak/>
        <w:t xml:space="preserve">safeguards, </w:t>
      </w:r>
      <w:r w:rsidR="00D611EE">
        <w:rPr>
          <w:rFonts w:cs="Times New Roman"/>
          <w:szCs w:val="24"/>
        </w:rPr>
        <w:t>provisions of relocation</w:t>
      </w:r>
      <w:r w:rsidRPr="004A684E">
        <w:rPr>
          <w:rFonts w:cs="Times New Roman"/>
          <w:szCs w:val="24"/>
        </w:rPr>
        <w:t xml:space="preserve"> and financial assistance provisions</w:t>
      </w:r>
      <w:r w:rsidR="00953D51">
        <w:rPr>
          <w:rFonts w:cs="Times New Roman"/>
          <w:szCs w:val="24"/>
        </w:rPr>
        <w:t xml:space="preserve">. </w:t>
      </w:r>
      <w:r w:rsidRPr="004A684E">
        <w:rPr>
          <w:rFonts w:cs="Times New Roman"/>
          <w:szCs w:val="24"/>
        </w:rPr>
        <w:t>In 2019</w:t>
      </w:r>
      <w:r w:rsidR="007C0A0C">
        <w:rPr>
          <w:rFonts w:cs="Times New Roman"/>
          <w:szCs w:val="24"/>
        </w:rPr>
        <w:t>,</w:t>
      </w:r>
      <w:r w:rsidRPr="004A684E">
        <w:rPr>
          <w:rFonts w:cs="Times New Roman"/>
          <w:szCs w:val="24"/>
        </w:rPr>
        <w:t xml:space="preserve"> the Supreme Court declared the scheme legally enforceable until a formal law is</w:t>
      </w:r>
      <w:r w:rsidR="007C0A0C">
        <w:rPr>
          <w:rFonts w:cs="Times New Roman"/>
          <w:szCs w:val="24"/>
        </w:rPr>
        <w:t xml:space="preserve"> enacted</w:t>
      </w:r>
      <w:r w:rsidRPr="004A684E">
        <w:rPr>
          <w:rFonts w:cs="Times New Roman"/>
          <w:szCs w:val="24"/>
        </w:rPr>
        <w:t xml:space="preserve">. The </w:t>
      </w:r>
      <w:r w:rsidRPr="004A684E">
        <w:rPr>
          <w:rFonts w:cs="Times New Roman"/>
          <w:b/>
          <w:bCs/>
          <w:szCs w:val="24"/>
        </w:rPr>
        <w:t>Bharatiya Nagarik Suraksha Sanhita (BNSS)</w:t>
      </w:r>
      <w:r w:rsidR="007C0A0C">
        <w:rPr>
          <w:rFonts w:cs="Times New Roman"/>
          <w:b/>
          <w:bCs/>
          <w:szCs w:val="24"/>
        </w:rPr>
        <w:t xml:space="preserve"> </w:t>
      </w:r>
      <w:r w:rsidRPr="004A684E">
        <w:rPr>
          <w:rFonts w:cs="Times New Roman"/>
          <w:szCs w:val="24"/>
        </w:rPr>
        <w:t xml:space="preserve">later </w:t>
      </w:r>
      <w:r w:rsidR="007C0A0C">
        <w:rPr>
          <w:rFonts w:cs="Times New Roman"/>
          <w:szCs w:val="24"/>
        </w:rPr>
        <w:t>introduced</w:t>
      </w:r>
      <w:r w:rsidRPr="004A684E">
        <w:rPr>
          <w:rFonts w:cs="Times New Roman"/>
          <w:szCs w:val="24"/>
        </w:rPr>
        <w:t xml:space="preserve"> </w:t>
      </w:r>
      <w:r w:rsidRPr="00AB539D">
        <w:rPr>
          <w:rFonts w:cs="Times New Roman"/>
          <w:b/>
          <w:bCs/>
          <w:i/>
          <w:iCs/>
          <w:szCs w:val="24"/>
        </w:rPr>
        <w:t>Section 398</w:t>
      </w:r>
      <w:r w:rsidR="007C0A0C">
        <w:rPr>
          <w:rFonts w:cs="Times New Roman"/>
          <w:szCs w:val="24"/>
        </w:rPr>
        <w:t>, which mandates</w:t>
      </w:r>
      <w:r w:rsidRPr="004A684E">
        <w:rPr>
          <w:rFonts w:cs="Times New Roman"/>
          <w:szCs w:val="24"/>
        </w:rPr>
        <w:t xml:space="preserve"> every state to establish a witness protection scheme.</w:t>
      </w:r>
    </w:p>
    <w:p w14:paraId="1A431959" w14:textId="166DC6F4" w:rsidR="004A684E" w:rsidRPr="004A684E" w:rsidRDefault="00755393" w:rsidP="004A684E">
      <w:pPr>
        <w:spacing w:before="0" w:after="160"/>
        <w:rPr>
          <w:rFonts w:cs="Times New Roman"/>
          <w:szCs w:val="24"/>
        </w:rPr>
      </w:pPr>
      <w:r>
        <w:rPr>
          <w:rFonts w:cs="Times New Roman"/>
          <w:szCs w:val="24"/>
        </w:rPr>
        <w:t xml:space="preserve">Analysis of </w:t>
      </w:r>
      <w:r w:rsidR="002A3810">
        <w:rPr>
          <w:rFonts w:cs="Times New Roman"/>
          <w:szCs w:val="24"/>
        </w:rPr>
        <w:t>existing</w:t>
      </w:r>
      <w:r>
        <w:rPr>
          <w:rFonts w:cs="Times New Roman"/>
          <w:szCs w:val="24"/>
        </w:rPr>
        <w:t xml:space="preserve"> legal provisions addressing witness protection </w:t>
      </w:r>
      <w:r w:rsidR="009A3DC6">
        <w:rPr>
          <w:rFonts w:cs="Times New Roman"/>
          <w:szCs w:val="24"/>
        </w:rPr>
        <w:t xml:space="preserve">shows deep flaws which lead to </w:t>
      </w:r>
      <w:r w:rsidR="00333ADE">
        <w:rPr>
          <w:rFonts w:cs="Times New Roman"/>
          <w:szCs w:val="24"/>
        </w:rPr>
        <w:t>operational</w:t>
      </w:r>
      <w:r w:rsidR="009A3DC6">
        <w:rPr>
          <w:rFonts w:cs="Times New Roman"/>
          <w:szCs w:val="24"/>
        </w:rPr>
        <w:t xml:space="preserve"> failures. </w:t>
      </w:r>
      <w:r w:rsidR="00333ADE" w:rsidRPr="00AB539D">
        <w:rPr>
          <w:rFonts w:cs="Times New Roman"/>
          <w:i/>
          <w:iCs/>
          <w:szCs w:val="24"/>
        </w:rPr>
        <w:t>Sections</w:t>
      </w:r>
      <w:r w:rsidR="00E467F4" w:rsidRPr="00AB539D">
        <w:rPr>
          <w:rFonts w:cs="Times New Roman"/>
          <w:i/>
          <w:iCs/>
          <w:szCs w:val="24"/>
        </w:rPr>
        <w:t xml:space="preserve"> 154-155</w:t>
      </w:r>
      <w:r w:rsidR="00E467F4">
        <w:rPr>
          <w:rFonts w:cs="Times New Roman"/>
          <w:szCs w:val="24"/>
        </w:rPr>
        <w:t xml:space="preserve"> </w:t>
      </w:r>
      <w:r w:rsidR="00F6349A">
        <w:rPr>
          <w:rFonts w:cs="Times New Roman"/>
          <w:szCs w:val="24"/>
        </w:rPr>
        <w:t xml:space="preserve">of </w:t>
      </w:r>
      <w:r w:rsidR="00CF3E45">
        <w:rPr>
          <w:rFonts w:cs="Times New Roman"/>
          <w:szCs w:val="24"/>
        </w:rPr>
        <w:t>“</w:t>
      </w:r>
      <w:r w:rsidR="009A3DC6" w:rsidRPr="004A684E">
        <w:rPr>
          <w:rFonts w:cs="Times New Roman"/>
          <w:b/>
          <w:bCs/>
          <w:szCs w:val="24"/>
        </w:rPr>
        <w:t>Bharatiya Sakshya Adhiniyam</w:t>
      </w:r>
      <w:r w:rsidR="00CF3E45">
        <w:rPr>
          <w:rFonts w:cs="Times New Roman"/>
          <w:b/>
          <w:bCs/>
          <w:szCs w:val="24"/>
        </w:rPr>
        <w:t>”</w:t>
      </w:r>
      <w:r w:rsidR="009A3DC6" w:rsidRPr="004A684E">
        <w:rPr>
          <w:rFonts w:cs="Times New Roman"/>
          <w:szCs w:val="24"/>
        </w:rPr>
        <w:t xml:space="preserve"> </w:t>
      </w:r>
      <w:r w:rsidR="00333ADE">
        <w:rPr>
          <w:rFonts w:cs="Times New Roman"/>
          <w:szCs w:val="24"/>
        </w:rPr>
        <w:t>empower</w:t>
      </w:r>
      <w:r w:rsidR="009A3DC6" w:rsidRPr="004A684E">
        <w:rPr>
          <w:rFonts w:cs="Times New Roman"/>
          <w:szCs w:val="24"/>
        </w:rPr>
        <w:t xml:space="preserve"> courts to restrict indecent or insulting questions</w:t>
      </w:r>
      <w:r w:rsidR="00333ADE">
        <w:rPr>
          <w:rFonts w:cs="Times New Roman"/>
          <w:szCs w:val="24"/>
        </w:rPr>
        <w:t>,</w:t>
      </w:r>
      <w:r w:rsidR="009A3DC6" w:rsidRPr="004A684E">
        <w:rPr>
          <w:rFonts w:cs="Times New Roman"/>
          <w:szCs w:val="24"/>
        </w:rPr>
        <w:t xml:space="preserve"> but </w:t>
      </w:r>
      <w:r w:rsidR="00333ADE">
        <w:rPr>
          <w:rFonts w:cs="Times New Roman"/>
          <w:szCs w:val="24"/>
        </w:rPr>
        <w:t>offer</w:t>
      </w:r>
      <w:r w:rsidR="009A3DC6" w:rsidRPr="004A684E">
        <w:rPr>
          <w:rFonts w:cs="Times New Roman"/>
          <w:szCs w:val="24"/>
        </w:rPr>
        <w:t xml:space="preserve"> no physical security</w:t>
      </w:r>
      <w:r w:rsidR="00F6349A">
        <w:rPr>
          <w:rFonts w:cs="Times New Roman"/>
          <w:szCs w:val="24"/>
        </w:rPr>
        <w:t>. L</w:t>
      </w:r>
      <w:r w:rsidR="004A684E" w:rsidRPr="004A684E">
        <w:rPr>
          <w:rFonts w:cs="Times New Roman"/>
          <w:szCs w:val="24"/>
        </w:rPr>
        <w:t xml:space="preserve">aws like the </w:t>
      </w:r>
      <w:r w:rsidR="00E805C1">
        <w:rPr>
          <w:rFonts w:cs="Times New Roman"/>
          <w:szCs w:val="24"/>
        </w:rPr>
        <w:t>“</w:t>
      </w:r>
      <w:r w:rsidR="004A684E" w:rsidRPr="004A684E">
        <w:rPr>
          <w:rFonts w:cs="Times New Roman"/>
          <w:b/>
          <w:bCs/>
          <w:szCs w:val="24"/>
        </w:rPr>
        <w:t>Juvenile Justice Act, 2015 (</w:t>
      </w:r>
      <w:r w:rsidR="004A684E" w:rsidRPr="00AB539D">
        <w:rPr>
          <w:rFonts w:cs="Times New Roman"/>
          <w:b/>
          <w:bCs/>
          <w:i/>
          <w:iCs/>
          <w:szCs w:val="24"/>
        </w:rPr>
        <w:t>Section 74</w:t>
      </w:r>
      <w:r w:rsidR="004A684E" w:rsidRPr="004A684E">
        <w:rPr>
          <w:rFonts w:cs="Times New Roman"/>
          <w:b/>
          <w:bCs/>
          <w:szCs w:val="24"/>
        </w:rPr>
        <w:t>)</w:t>
      </w:r>
      <w:r w:rsidR="00E805C1">
        <w:rPr>
          <w:rFonts w:cs="Times New Roman"/>
          <w:b/>
          <w:bCs/>
          <w:szCs w:val="24"/>
        </w:rPr>
        <w:t>”</w:t>
      </w:r>
      <w:r w:rsidR="004A684E" w:rsidRPr="004A684E">
        <w:rPr>
          <w:rFonts w:cs="Times New Roman"/>
          <w:szCs w:val="24"/>
        </w:rPr>
        <w:t xml:space="preserve"> and the </w:t>
      </w:r>
      <w:r w:rsidR="00E805C1">
        <w:rPr>
          <w:rFonts w:cs="Times New Roman"/>
          <w:szCs w:val="24"/>
        </w:rPr>
        <w:t>“</w:t>
      </w:r>
      <w:r w:rsidR="004A684E" w:rsidRPr="004A684E">
        <w:rPr>
          <w:rFonts w:cs="Times New Roman"/>
          <w:b/>
          <w:bCs/>
          <w:szCs w:val="24"/>
        </w:rPr>
        <w:t>Prevention of Terrorism Act, 2002 (</w:t>
      </w:r>
      <w:r w:rsidR="004A684E" w:rsidRPr="00AB539D">
        <w:rPr>
          <w:rFonts w:cs="Times New Roman"/>
          <w:b/>
          <w:bCs/>
          <w:i/>
          <w:iCs/>
          <w:szCs w:val="24"/>
        </w:rPr>
        <w:t>Section 30</w:t>
      </w:r>
      <w:r w:rsidR="004A684E" w:rsidRPr="004A684E">
        <w:rPr>
          <w:rFonts w:cs="Times New Roman"/>
          <w:b/>
          <w:bCs/>
          <w:szCs w:val="24"/>
        </w:rPr>
        <w:t>)</w:t>
      </w:r>
      <w:r w:rsidR="00E805C1">
        <w:rPr>
          <w:rFonts w:cs="Times New Roman"/>
          <w:b/>
          <w:bCs/>
          <w:szCs w:val="24"/>
        </w:rPr>
        <w:t>”</w:t>
      </w:r>
      <w:r w:rsidR="004A684E" w:rsidRPr="004A684E">
        <w:rPr>
          <w:rFonts w:cs="Times New Roman"/>
          <w:szCs w:val="24"/>
        </w:rPr>
        <w:t xml:space="preserve"> safeguard identity and confidentiality in </w:t>
      </w:r>
      <w:r w:rsidR="00F6349A">
        <w:rPr>
          <w:rFonts w:cs="Times New Roman"/>
          <w:szCs w:val="24"/>
        </w:rPr>
        <w:t>certain</w:t>
      </w:r>
      <w:r w:rsidR="00942F57">
        <w:rPr>
          <w:rFonts w:cs="Times New Roman"/>
          <w:szCs w:val="24"/>
        </w:rPr>
        <w:t xml:space="preserve"> cases. </w:t>
      </w:r>
      <w:r w:rsidR="004A684E" w:rsidRPr="004A684E">
        <w:rPr>
          <w:rFonts w:cs="Times New Roman"/>
          <w:szCs w:val="24"/>
        </w:rPr>
        <w:t>Additionally, BNSS now permits video testimonies for vulnerable witnesses (</w:t>
      </w:r>
      <w:r w:rsidR="004A684E" w:rsidRPr="00AB539D">
        <w:rPr>
          <w:rFonts w:cs="Times New Roman"/>
          <w:i/>
          <w:iCs/>
          <w:szCs w:val="24"/>
        </w:rPr>
        <w:t>Section 180</w:t>
      </w:r>
      <w:r w:rsidR="004A684E" w:rsidRPr="004A684E">
        <w:rPr>
          <w:rFonts w:cs="Times New Roman"/>
          <w:szCs w:val="24"/>
        </w:rPr>
        <w:t>) and mandates protective custody under threat (</w:t>
      </w:r>
      <w:r w:rsidR="004A684E" w:rsidRPr="00AB539D">
        <w:rPr>
          <w:rFonts w:cs="Times New Roman"/>
          <w:i/>
          <w:iCs/>
          <w:szCs w:val="24"/>
        </w:rPr>
        <w:t>Section 191</w:t>
      </w:r>
      <w:r w:rsidR="004A684E" w:rsidRPr="004A684E">
        <w:rPr>
          <w:rFonts w:cs="Times New Roman"/>
          <w:szCs w:val="24"/>
        </w:rPr>
        <w:t xml:space="preserve">). However, these measures primarily function within trial </w:t>
      </w:r>
      <w:r w:rsidR="00942F57">
        <w:rPr>
          <w:rFonts w:cs="Times New Roman"/>
          <w:szCs w:val="24"/>
        </w:rPr>
        <w:t xml:space="preserve">stages </w:t>
      </w:r>
      <w:r w:rsidR="004A684E" w:rsidRPr="004A684E">
        <w:rPr>
          <w:rFonts w:cs="Times New Roman"/>
          <w:szCs w:val="24"/>
        </w:rPr>
        <w:t>an</w:t>
      </w:r>
      <w:r w:rsidR="001D5DA0">
        <w:rPr>
          <w:rFonts w:cs="Times New Roman"/>
          <w:szCs w:val="24"/>
        </w:rPr>
        <w:t xml:space="preserve">d </w:t>
      </w:r>
      <w:r w:rsidR="00CF3E45">
        <w:rPr>
          <w:rFonts w:cs="Times New Roman"/>
          <w:szCs w:val="24"/>
        </w:rPr>
        <w:t>don’t</w:t>
      </w:r>
      <w:r w:rsidR="001D5DA0">
        <w:rPr>
          <w:rFonts w:cs="Times New Roman"/>
          <w:szCs w:val="24"/>
        </w:rPr>
        <w:t xml:space="preserve"> </w:t>
      </w:r>
      <w:r w:rsidR="004A684E" w:rsidRPr="004A684E">
        <w:rPr>
          <w:rFonts w:cs="Times New Roman"/>
          <w:szCs w:val="24"/>
        </w:rPr>
        <w:t>address</w:t>
      </w:r>
      <w:r w:rsidR="001D5DA0">
        <w:rPr>
          <w:rFonts w:cs="Times New Roman"/>
          <w:szCs w:val="24"/>
        </w:rPr>
        <w:t xml:space="preserve"> </w:t>
      </w:r>
      <w:r w:rsidR="004A684E" w:rsidRPr="004A684E">
        <w:rPr>
          <w:rFonts w:cs="Times New Roman"/>
          <w:szCs w:val="24"/>
        </w:rPr>
        <w:t>post-trial threats, relocation, or digital intimidation.</w:t>
      </w:r>
    </w:p>
    <w:p w14:paraId="22DC5AC3" w14:textId="77777777" w:rsidR="00A43A92" w:rsidRDefault="005F13D3" w:rsidP="00A43A92">
      <w:pPr>
        <w:pStyle w:val="Heading2"/>
        <w:pBdr>
          <w:bottom w:val="single" w:sz="4" w:space="1" w:color="auto"/>
        </w:pBdr>
      </w:pPr>
      <w:r w:rsidRPr="005F13D3">
        <w:t xml:space="preserve">Global </w:t>
      </w:r>
      <w:r w:rsidR="00D60FF6">
        <w:t>w</w:t>
      </w:r>
      <w:r w:rsidRPr="005F13D3">
        <w:t xml:space="preserve">itness </w:t>
      </w:r>
      <w:r w:rsidR="00D60FF6">
        <w:t>p</w:t>
      </w:r>
      <w:r w:rsidRPr="005F13D3">
        <w:t xml:space="preserve">rotection </w:t>
      </w:r>
      <w:r w:rsidR="00D60FF6">
        <w:t>f</w:t>
      </w:r>
      <w:r w:rsidRPr="005F13D3">
        <w:t>rameworks:</w:t>
      </w:r>
    </w:p>
    <w:p w14:paraId="2537CB2B" w14:textId="1F68D28C" w:rsidR="000F5063" w:rsidRDefault="00690466" w:rsidP="000F5063">
      <w:pPr>
        <w:pStyle w:val="NormalWeb"/>
        <w:spacing w:line="360" w:lineRule="auto"/>
        <w:jc w:val="both"/>
      </w:pPr>
      <w:r w:rsidRPr="00E36795">
        <w:rPr>
          <w:b/>
          <w:bCs/>
        </w:rPr>
        <w:t>New Zealand</w:t>
      </w:r>
      <w:r w:rsidR="00E36795">
        <w:rPr>
          <w:b/>
          <w:bCs/>
        </w:rPr>
        <w:t>,</w:t>
      </w:r>
      <w:r>
        <w:t xml:space="preserve"> </w:t>
      </w:r>
      <w:r w:rsidR="0080325A">
        <w:t>through</w:t>
      </w:r>
      <w:r>
        <w:t xml:space="preserve"> its </w:t>
      </w:r>
      <w:r w:rsidR="00CF3E45" w:rsidRPr="00333ADE">
        <w:t>“</w:t>
      </w:r>
      <w:r w:rsidRPr="00333ADE">
        <w:t>Evidence Act 1908</w:t>
      </w:r>
      <w:r w:rsidR="00CF3E45" w:rsidRPr="00333ADE">
        <w:t>”</w:t>
      </w:r>
      <w:r w:rsidR="000D1D0B">
        <w:t>,</w:t>
      </w:r>
      <w:r>
        <w:t xml:space="preserve"> </w:t>
      </w:r>
      <w:r w:rsidR="006B672C">
        <w:t xml:space="preserve">extends </w:t>
      </w:r>
      <w:r w:rsidR="00E36795">
        <w:t>protection</w:t>
      </w:r>
      <w:r w:rsidR="006B672C">
        <w:t xml:space="preserve"> measures for all witnesses whose </w:t>
      </w:r>
      <w:r w:rsidR="00E36795">
        <w:t>lives</w:t>
      </w:r>
      <w:r w:rsidR="006B672C">
        <w:t xml:space="preserve"> are at risk</w:t>
      </w:r>
      <w:r w:rsidR="00E36795">
        <w:t xml:space="preserve">. Courts can issue “anonymous declarations” and </w:t>
      </w:r>
      <w:r w:rsidR="00E36795" w:rsidRPr="005F13D3">
        <w:t>restrict disclosure of identities during proceedings.</w:t>
      </w:r>
      <w:r w:rsidR="00650F71">
        <w:rPr>
          <w:rStyle w:val="FootnoteReference"/>
        </w:rPr>
        <w:footnoteReference w:id="6"/>
      </w:r>
      <w:r w:rsidR="00DE16CC">
        <w:t xml:space="preserve"> </w:t>
      </w:r>
      <w:r w:rsidR="00571913">
        <w:t xml:space="preserve">Similarly, </w:t>
      </w:r>
      <w:r w:rsidR="00571913" w:rsidRPr="00C87C3B">
        <w:rPr>
          <w:b/>
          <w:bCs/>
        </w:rPr>
        <w:t>Australia</w:t>
      </w:r>
      <w:r w:rsidR="00571913">
        <w:t xml:space="preserve"> </w:t>
      </w:r>
      <w:r w:rsidR="00F735B7">
        <w:t xml:space="preserve">has brought </w:t>
      </w:r>
      <w:r w:rsidR="000D1D0B">
        <w:t xml:space="preserve">the </w:t>
      </w:r>
      <w:r w:rsidR="00C87C3B">
        <w:t>“</w:t>
      </w:r>
      <w:r w:rsidR="002C5E8F" w:rsidRPr="008C6986">
        <w:t>Witness Protection Act of 1991</w:t>
      </w:r>
      <w:r w:rsidR="00C87C3B">
        <w:t>”</w:t>
      </w:r>
      <w:r w:rsidR="00014A9A">
        <w:t>,</w:t>
      </w:r>
      <w:r w:rsidR="002C5E8F">
        <w:t xml:space="preserve"> </w:t>
      </w:r>
      <w:r w:rsidR="00BC0A11" w:rsidRPr="008C6986">
        <w:t>protecting people who have been or who are witnesses.</w:t>
      </w:r>
      <w:r w:rsidR="00BC0A11">
        <w:t xml:space="preserve"> </w:t>
      </w:r>
      <w:r w:rsidR="00370DA6" w:rsidRPr="008C6986">
        <w:t xml:space="preserve">The 1994 Act entails safety provisions for people who have agreed to provide their testimony in criminal cases or even to those who require protection for any other reason and are in danger. </w:t>
      </w:r>
      <w:r w:rsidR="00FD42BB" w:rsidRPr="008C6986">
        <w:t>It protects even those people who are related to the witnesses</w:t>
      </w:r>
      <w:r w:rsidR="00FD42BB">
        <w:t xml:space="preserve">. </w:t>
      </w:r>
      <w:r w:rsidR="008161B0">
        <w:t xml:space="preserve">It provides for </w:t>
      </w:r>
      <w:r w:rsidR="008161B0" w:rsidRPr="005F13D3">
        <w:t>comprehensive protection, including relocation, new identity issuance, and ten-year penalties for breaching a witness’s confidentiality</w:t>
      </w:r>
      <w:r w:rsidR="008161B0">
        <w:t>.</w:t>
      </w:r>
      <w:r w:rsidR="008161B0">
        <w:rPr>
          <w:rStyle w:val="FootnoteReference"/>
        </w:rPr>
        <w:footnoteReference w:id="7"/>
      </w:r>
      <w:r w:rsidR="00A33594">
        <w:t xml:space="preserve"> </w:t>
      </w:r>
      <w:r w:rsidR="00014A9A">
        <w:t xml:space="preserve">The </w:t>
      </w:r>
      <w:r w:rsidR="00A33594">
        <w:rPr>
          <w:b/>
          <w:bCs/>
        </w:rPr>
        <w:t>United</w:t>
      </w:r>
      <w:r w:rsidR="00F94E91" w:rsidRPr="00F94E91">
        <w:rPr>
          <w:b/>
          <w:bCs/>
        </w:rPr>
        <w:t xml:space="preserve"> States’ </w:t>
      </w:r>
      <w:r w:rsidR="00CF3E45">
        <w:rPr>
          <w:b/>
          <w:bCs/>
        </w:rPr>
        <w:t>“</w:t>
      </w:r>
      <w:r w:rsidR="00F94E91" w:rsidRPr="00F94E91">
        <w:rPr>
          <w:b/>
          <w:bCs/>
        </w:rPr>
        <w:t>Federal Witness Security Program</w:t>
      </w:r>
      <w:r w:rsidR="00CF3E45">
        <w:rPr>
          <w:b/>
          <w:bCs/>
        </w:rPr>
        <w:t>”</w:t>
      </w:r>
      <w:r w:rsidR="00A33594">
        <w:rPr>
          <w:b/>
          <w:bCs/>
        </w:rPr>
        <w:t>,</w:t>
      </w:r>
      <w:r w:rsidR="00F94E91">
        <w:rPr>
          <w:b/>
          <w:bCs/>
        </w:rPr>
        <w:t xml:space="preserve"> </w:t>
      </w:r>
      <w:r w:rsidR="00F94E91" w:rsidRPr="00CF3E45">
        <w:t>operational since 1970</w:t>
      </w:r>
      <w:r w:rsidR="00F94E91">
        <w:rPr>
          <w:b/>
          <w:bCs/>
        </w:rPr>
        <w:t xml:space="preserve">, </w:t>
      </w:r>
      <w:r w:rsidR="00F94E91">
        <w:t xml:space="preserve">is considered a model system in this arena.  </w:t>
      </w:r>
      <w:r w:rsidR="00F94E91" w:rsidRPr="005F13D3">
        <w:t xml:space="preserve">It involves </w:t>
      </w:r>
      <w:r w:rsidR="00333ADE">
        <w:t>specialised</w:t>
      </w:r>
      <w:r w:rsidR="00F94E91" w:rsidRPr="005F13D3">
        <w:t xml:space="preserve"> threat assessment units, witness relocation, employment assistance, and new identity provisions, with federal and state-level programs operating in tandem.</w:t>
      </w:r>
      <w:r w:rsidR="005814EE" w:rsidRPr="005814EE">
        <w:t xml:space="preserve"> </w:t>
      </w:r>
      <w:r w:rsidR="005814EE" w:rsidRPr="008C6986">
        <w:t>Various states run their protection programs as well</w:t>
      </w:r>
      <w:r w:rsidR="00333ADE">
        <w:t>,</w:t>
      </w:r>
      <w:r w:rsidR="005814EE" w:rsidRPr="008C6986">
        <w:t xml:space="preserve"> </w:t>
      </w:r>
      <w:r w:rsidR="005814EE" w:rsidRPr="008C6986">
        <w:lastRenderedPageBreak/>
        <w:t xml:space="preserve">covering crimes which may not </w:t>
      </w:r>
      <w:r w:rsidR="00333ADE">
        <w:t xml:space="preserve">have </w:t>
      </w:r>
      <w:r w:rsidR="005814EE" w:rsidRPr="008C6986">
        <w:t>been covered by the central provisions.</w:t>
      </w:r>
      <w:r w:rsidR="00022619">
        <w:rPr>
          <w:rStyle w:val="FootnoteReference"/>
        </w:rPr>
        <w:footnoteReference w:id="8"/>
      </w:r>
      <w:r w:rsidR="005814EE">
        <w:t xml:space="preserve"> </w:t>
      </w:r>
      <w:r w:rsidR="005814EE" w:rsidRPr="000B40E4">
        <w:rPr>
          <w:b/>
          <w:bCs/>
        </w:rPr>
        <w:t>South Africa</w:t>
      </w:r>
      <w:r w:rsidR="00022619">
        <w:rPr>
          <w:b/>
          <w:bCs/>
        </w:rPr>
        <w:t>,</w:t>
      </w:r>
      <w:r w:rsidR="005814EE">
        <w:t xml:space="preserve"> </w:t>
      </w:r>
      <w:r w:rsidR="00661B4A">
        <w:t xml:space="preserve">under </w:t>
      </w:r>
      <w:r w:rsidR="00022619">
        <w:t xml:space="preserve">the </w:t>
      </w:r>
      <w:r w:rsidR="00022619" w:rsidRPr="00CF3E45">
        <w:t>“</w:t>
      </w:r>
      <w:r w:rsidR="007E3E02" w:rsidRPr="00CF3E45">
        <w:t>Witness Protection Act of 2000</w:t>
      </w:r>
      <w:r w:rsidR="00022619">
        <w:rPr>
          <w:b/>
          <w:bCs/>
        </w:rPr>
        <w:t>”</w:t>
      </w:r>
      <w:r w:rsidR="00333ADE">
        <w:rPr>
          <w:b/>
          <w:bCs/>
        </w:rPr>
        <w:t>,</w:t>
      </w:r>
      <w:r w:rsidR="007E3E02" w:rsidRPr="008C6986">
        <w:t xml:space="preserve"> </w:t>
      </w:r>
      <w:r w:rsidR="005814EE">
        <w:t xml:space="preserve">has </w:t>
      </w:r>
      <w:r w:rsidR="000B40E4">
        <w:t>established</w:t>
      </w:r>
      <w:r w:rsidR="001F2064">
        <w:t xml:space="preserve"> </w:t>
      </w:r>
      <w:r w:rsidR="00674500">
        <w:t xml:space="preserve">a </w:t>
      </w:r>
      <w:r w:rsidR="00333ADE">
        <w:t>centralised</w:t>
      </w:r>
      <w:r w:rsidR="00674500">
        <w:t xml:space="preserve"> witness protection office under the Ministry of Justice. </w:t>
      </w:r>
      <w:r w:rsidR="007E3E02">
        <w:t xml:space="preserve">It </w:t>
      </w:r>
      <w:r w:rsidR="00055CE2">
        <w:t xml:space="preserve">ensures </w:t>
      </w:r>
      <w:r w:rsidR="00333ADE">
        <w:t>flexible</w:t>
      </w:r>
      <w:r w:rsidR="00055CE2">
        <w:t xml:space="preserve"> protection measures and in-camera </w:t>
      </w:r>
      <w:r w:rsidR="00F5697E">
        <w:t xml:space="preserve">testimonies as guaranteed under </w:t>
      </w:r>
      <w:r w:rsidR="00022619">
        <w:t>“</w:t>
      </w:r>
      <w:r w:rsidR="00F5697E">
        <w:t xml:space="preserve">Section 153 of </w:t>
      </w:r>
      <w:r w:rsidR="00022619" w:rsidRPr="008C6986">
        <w:t>the SA Criminal Procedure Code</w:t>
      </w:r>
      <w:r w:rsidR="00022619">
        <w:t>”.</w:t>
      </w:r>
      <w:r w:rsidR="00022619">
        <w:rPr>
          <w:rStyle w:val="FootnoteReference"/>
        </w:rPr>
        <w:footnoteReference w:id="9"/>
      </w:r>
      <w:r w:rsidR="00E7637B">
        <w:t xml:space="preserve"> </w:t>
      </w:r>
      <w:r w:rsidR="00AE7438">
        <w:t xml:space="preserve"> </w:t>
      </w:r>
      <w:r w:rsidR="00333ADE">
        <w:t xml:space="preserve">The </w:t>
      </w:r>
      <w:r w:rsidR="00AE7438" w:rsidRPr="00333ADE">
        <w:rPr>
          <w:b/>
          <w:bCs/>
        </w:rPr>
        <w:t>United Kingdom</w:t>
      </w:r>
      <w:r w:rsidR="00AE7438">
        <w:t xml:space="preserve"> has </w:t>
      </w:r>
      <w:r w:rsidR="00333ADE">
        <w:t>several</w:t>
      </w:r>
      <w:r w:rsidR="0019568F">
        <w:t xml:space="preserve"> </w:t>
      </w:r>
      <w:r w:rsidR="00333ADE">
        <w:t>statutes</w:t>
      </w:r>
      <w:r w:rsidR="0019568F">
        <w:t xml:space="preserve"> dealing with the issue. </w:t>
      </w:r>
      <w:r w:rsidR="0019568F" w:rsidRPr="0019568F">
        <w:t xml:space="preserve">The </w:t>
      </w:r>
      <w:r w:rsidR="0019568F">
        <w:t>“</w:t>
      </w:r>
      <w:r w:rsidR="0019568F" w:rsidRPr="0019568F">
        <w:rPr>
          <w:i/>
          <w:iCs/>
        </w:rPr>
        <w:t>Criminal Justice &amp; Public Order Act 1994</w:t>
      </w:r>
      <w:r w:rsidR="0019568F">
        <w:rPr>
          <w:i/>
          <w:iCs/>
        </w:rPr>
        <w:t>”</w:t>
      </w:r>
      <w:r w:rsidR="0019568F" w:rsidRPr="0019568F">
        <w:t xml:space="preserve"> and </w:t>
      </w:r>
      <w:r w:rsidR="0019568F">
        <w:t>“</w:t>
      </w:r>
      <w:r w:rsidR="0019568F" w:rsidRPr="0019568F">
        <w:rPr>
          <w:i/>
          <w:iCs/>
        </w:rPr>
        <w:t>Youth Justice and Criminal Evidence Act 1999</w:t>
      </w:r>
      <w:r w:rsidR="0019568F">
        <w:rPr>
          <w:i/>
          <w:iCs/>
        </w:rPr>
        <w:t>”</w:t>
      </w:r>
      <w:r w:rsidR="0019568F" w:rsidRPr="0019568F">
        <w:t xml:space="preserve"> enable courts to impose special measures against witness intimidation. The </w:t>
      </w:r>
      <w:r w:rsidR="0019568F">
        <w:t>“</w:t>
      </w:r>
      <w:r w:rsidR="0019568F" w:rsidRPr="0019568F">
        <w:rPr>
          <w:i/>
          <w:iCs/>
        </w:rPr>
        <w:t>Coroners and Justice Act 2009</w:t>
      </w:r>
      <w:r w:rsidR="0019568F">
        <w:rPr>
          <w:i/>
          <w:iCs/>
        </w:rPr>
        <w:t>”</w:t>
      </w:r>
      <w:r w:rsidR="0019568F" w:rsidRPr="0019568F">
        <w:t xml:space="preserve"> </w:t>
      </w:r>
      <w:r w:rsidR="00333ADE">
        <w:t>authorises</w:t>
      </w:r>
      <w:r w:rsidR="0019568F" w:rsidRPr="0019568F">
        <w:t xml:space="preserve"> anonymity orders, while the </w:t>
      </w:r>
      <w:r w:rsidR="0019568F" w:rsidRPr="0019568F">
        <w:rPr>
          <w:i/>
          <w:iCs/>
        </w:rPr>
        <w:t>UK Protected Persons Service</w:t>
      </w:r>
      <w:r w:rsidR="0019568F" w:rsidRPr="0019568F">
        <w:t xml:space="preserve"> safeguards witnesses and other at-risk individuals. Additionally, the </w:t>
      </w:r>
      <w:r w:rsidR="0019568F">
        <w:t>“</w:t>
      </w:r>
      <w:r w:rsidR="0019568F" w:rsidRPr="0019568F">
        <w:rPr>
          <w:i/>
          <w:iCs/>
        </w:rPr>
        <w:t>Children and Young Persons Act 1933</w:t>
      </w:r>
      <w:r w:rsidR="0019568F">
        <w:rPr>
          <w:i/>
          <w:iCs/>
        </w:rPr>
        <w:t>”</w:t>
      </w:r>
      <w:r w:rsidR="0019568F" w:rsidRPr="0019568F">
        <w:t xml:space="preserve"> restricts </w:t>
      </w:r>
      <w:r w:rsidR="00333ADE">
        <w:t xml:space="preserve">the </w:t>
      </w:r>
      <w:r w:rsidR="0019568F" w:rsidRPr="0019568F">
        <w:t>media from identifying minors in court cases.</w:t>
      </w:r>
      <w:r w:rsidR="0041171D">
        <w:rPr>
          <w:rStyle w:val="FootnoteReference"/>
        </w:rPr>
        <w:footnoteReference w:id="10"/>
      </w:r>
      <w:bookmarkStart w:id="2" w:name="_Toc176696441"/>
      <w:bookmarkStart w:id="3" w:name="_Toc177315222"/>
    </w:p>
    <w:p w14:paraId="6B9AD5B5" w14:textId="16B12883" w:rsidR="000F5063" w:rsidRDefault="007A4BFF" w:rsidP="000F5063">
      <w:pPr>
        <w:pStyle w:val="Heading2"/>
        <w:pBdr>
          <w:bottom w:val="single" w:sz="4" w:space="1" w:color="auto"/>
        </w:pBdr>
      </w:pPr>
      <w:r w:rsidRPr="007A4BFF">
        <w:t xml:space="preserve">Analysis </w:t>
      </w:r>
      <w:r>
        <w:t>o</w:t>
      </w:r>
      <w:r w:rsidRPr="007A4BFF">
        <w:t xml:space="preserve">f </w:t>
      </w:r>
      <w:r>
        <w:t>t</w:t>
      </w:r>
      <w:r w:rsidRPr="007A4BFF">
        <w:t xml:space="preserve">he </w:t>
      </w:r>
      <w:r w:rsidRPr="007A4BFF">
        <w:rPr>
          <w:rStyle w:val="Emphasis"/>
          <w:i w:val="0"/>
          <w:iCs w:val="0"/>
        </w:rPr>
        <w:t>Witness</w:t>
      </w:r>
      <w:r w:rsidRPr="007A4BFF">
        <w:t xml:space="preserve"> Protection Scheme</w:t>
      </w:r>
      <w:r>
        <w:t xml:space="preserve"> 2</w:t>
      </w:r>
      <w:r w:rsidRPr="007A4BFF">
        <w:t>018</w:t>
      </w:r>
      <w:bookmarkEnd w:id="2"/>
      <w:bookmarkEnd w:id="3"/>
    </w:p>
    <w:p w14:paraId="55EFC9A0" w14:textId="40A02FB1" w:rsidR="007A4BFF" w:rsidRPr="000F5063" w:rsidRDefault="007A4BFF" w:rsidP="000F5063">
      <w:pPr>
        <w:rPr>
          <w:szCs w:val="26"/>
        </w:rPr>
      </w:pPr>
      <w:r w:rsidRPr="007A4BFF">
        <w:t xml:space="preserve">The Witness Protection Scheme, 2018 marked a significant advancement in addressing longstanding challenges faced by witnesses in India’s criminal justice system. It introduced a structured framework </w:t>
      </w:r>
      <w:r w:rsidR="00014A9A">
        <w:t>categorising</w:t>
      </w:r>
      <w:r w:rsidRPr="007A4BFF">
        <w:t xml:space="preserve"> threats into three levels: </w:t>
      </w:r>
      <w:r w:rsidRPr="009F4966">
        <w:t>Category A, where the witness’s life is directly endangered; Category B, involving threats to safety, reputation, or property; and Category C, for moderate threats like intimidation and harassment. This classification helps determine the degree of protection measures required</w:t>
      </w:r>
      <w:r w:rsidRPr="007A4BFF">
        <w:t>.</w:t>
      </w:r>
    </w:p>
    <w:p w14:paraId="6B16D79D" w14:textId="77777777" w:rsidR="007A4BFF" w:rsidRPr="007A4BFF" w:rsidRDefault="007A4BFF" w:rsidP="007A4BFF">
      <w:pPr>
        <w:spacing w:before="0" w:after="160"/>
        <w:rPr>
          <w:szCs w:val="24"/>
        </w:rPr>
      </w:pPr>
      <w:r w:rsidRPr="007A4BFF">
        <w:rPr>
          <w:szCs w:val="24"/>
        </w:rPr>
        <w:t xml:space="preserve">The scheme provides for a </w:t>
      </w:r>
      <w:r w:rsidRPr="009F4966">
        <w:rPr>
          <w:szCs w:val="24"/>
        </w:rPr>
        <w:t>Witness Protection Fund, financed through state budgets and voluntary contributions, to cover the costs of implementing these measures. It mandates the preparation of a Threat Analysis Report</w:t>
      </w:r>
      <w:r w:rsidRPr="007A4BFF">
        <w:rPr>
          <w:szCs w:val="24"/>
        </w:rPr>
        <w:t xml:space="preserve"> by senior police officers, based on which the competent authority approves suitable protection. Measures include identity protection, assignment of unlisted phone numbers, relocation, police escort, installation of security devices, and financial assistance for relocation.</w:t>
      </w:r>
    </w:p>
    <w:p w14:paraId="665A8FBA" w14:textId="7224FC7E" w:rsidR="007A4BFF" w:rsidRPr="007A4BFF" w:rsidRDefault="007A4BFF" w:rsidP="007A4BFF">
      <w:pPr>
        <w:spacing w:before="0" w:after="160"/>
        <w:rPr>
          <w:szCs w:val="24"/>
        </w:rPr>
      </w:pPr>
      <w:r w:rsidRPr="007A4BFF">
        <w:rPr>
          <w:szCs w:val="24"/>
        </w:rPr>
        <w:t xml:space="preserve">Importantly, the scheme </w:t>
      </w:r>
      <w:r w:rsidR="00014A9A">
        <w:rPr>
          <w:szCs w:val="24"/>
        </w:rPr>
        <w:t>emphasises</w:t>
      </w:r>
      <w:r w:rsidRPr="007A4BFF">
        <w:rPr>
          <w:szCs w:val="24"/>
        </w:rPr>
        <w:t xml:space="preserve"> confidentiality, requiring all stakeholders to maintain secrecy regarding the witness’s identity and protective measures. A procedural framework </w:t>
      </w:r>
      <w:r w:rsidRPr="007A4BFF">
        <w:rPr>
          <w:szCs w:val="24"/>
        </w:rPr>
        <w:lastRenderedPageBreak/>
        <w:t>allows witnesses to apply for protection, following which the competent authority seeks a threat analysis. Interim protection can be granted in urgent cases.</w:t>
      </w:r>
    </w:p>
    <w:p w14:paraId="3B48CFC7" w14:textId="36DE0780" w:rsidR="007A4BFF" w:rsidRPr="009F4966" w:rsidRDefault="007A4BFF" w:rsidP="007A4BFF">
      <w:pPr>
        <w:spacing w:before="0" w:after="160"/>
        <w:rPr>
          <w:szCs w:val="24"/>
        </w:rPr>
      </w:pPr>
      <w:r w:rsidRPr="009F4966">
        <w:rPr>
          <w:szCs w:val="24"/>
        </w:rPr>
        <w:t>The Supreme Court in Mahender Chawla declared the scheme to be law until states enacted their own. However, while some states like Delhi, Maharashtra, Odisha and recently Goa</w:t>
      </w:r>
      <w:r w:rsidR="00807363" w:rsidRPr="009F4966">
        <w:rPr>
          <w:rStyle w:val="FootnoteReference"/>
          <w:szCs w:val="24"/>
        </w:rPr>
        <w:footnoteReference w:id="11"/>
      </w:r>
      <w:r w:rsidRPr="009F4966">
        <w:rPr>
          <w:szCs w:val="24"/>
        </w:rPr>
        <w:t xml:space="preserve"> and Assam</w:t>
      </w:r>
      <w:r w:rsidR="00807363" w:rsidRPr="009F4966">
        <w:rPr>
          <w:rStyle w:val="FootnoteReference"/>
          <w:szCs w:val="24"/>
        </w:rPr>
        <w:footnoteReference w:id="12"/>
      </w:r>
      <w:r w:rsidRPr="009F4966">
        <w:rPr>
          <w:szCs w:val="24"/>
        </w:rPr>
        <w:t xml:space="preserve"> have adopted or updated their schemes, implementation across India remains inconsistent. Issues such as staff shortages, limited female police personnel (under 10%), and underutilization of funds persist. Furthermore, the absence of digital protection measures and comprehensive post-trial safeguards highlights gaps in the framework.</w:t>
      </w:r>
    </w:p>
    <w:p w14:paraId="7357CCC6" w14:textId="77777777" w:rsidR="007A4BFF" w:rsidRDefault="007A4BFF" w:rsidP="007A4BFF">
      <w:pPr>
        <w:spacing w:before="0" w:after="160"/>
        <w:rPr>
          <w:szCs w:val="24"/>
        </w:rPr>
      </w:pPr>
      <w:r w:rsidRPr="007A4BFF">
        <w:rPr>
          <w:szCs w:val="24"/>
        </w:rPr>
        <w:t xml:space="preserve">Though </w:t>
      </w:r>
      <w:r w:rsidRPr="00AB539D">
        <w:rPr>
          <w:b/>
          <w:bCs/>
          <w:i/>
          <w:iCs/>
          <w:szCs w:val="24"/>
        </w:rPr>
        <w:t>Section 398</w:t>
      </w:r>
      <w:r w:rsidRPr="007A4BFF">
        <w:rPr>
          <w:szCs w:val="24"/>
        </w:rPr>
        <w:t xml:space="preserve"> of the </w:t>
      </w:r>
      <w:r w:rsidRPr="007A4BFF">
        <w:rPr>
          <w:b/>
          <w:bCs/>
          <w:szCs w:val="24"/>
        </w:rPr>
        <w:t>BNSS, 2023</w:t>
      </w:r>
      <w:r w:rsidRPr="007A4BFF">
        <w:rPr>
          <w:szCs w:val="24"/>
        </w:rPr>
        <w:t xml:space="preserve"> now mandates state schemes, operational disparities and fiscal challenges still hinder effective witness protection nationwide.</w:t>
      </w:r>
      <w:bookmarkStart w:id="4" w:name="_Toc177315225"/>
      <w:r>
        <w:rPr>
          <w:szCs w:val="24"/>
        </w:rPr>
        <w:t xml:space="preserve"> </w:t>
      </w:r>
    </w:p>
    <w:p w14:paraId="0A57ACB6" w14:textId="77777777" w:rsidR="007A4BFF" w:rsidRPr="007A4BFF" w:rsidRDefault="007A4BFF" w:rsidP="007A4BFF">
      <w:pPr>
        <w:pStyle w:val="Heading2"/>
        <w:pBdr>
          <w:bottom w:val="single" w:sz="8" w:space="1" w:color="auto"/>
        </w:pBdr>
        <w:rPr>
          <w:szCs w:val="24"/>
        </w:rPr>
      </w:pPr>
      <w:r w:rsidRPr="008C6986">
        <w:t>Beyond the Law: Practical Obstacles in Witness Protection</w:t>
      </w:r>
      <w:bookmarkEnd w:id="4"/>
    </w:p>
    <w:p w14:paraId="6089816E" w14:textId="684D08FA" w:rsidR="00324995" w:rsidRDefault="00E01498" w:rsidP="0017713C">
      <w:pPr>
        <w:rPr>
          <w:szCs w:val="24"/>
        </w:rPr>
      </w:pPr>
      <w:r>
        <w:rPr>
          <w:szCs w:val="24"/>
        </w:rPr>
        <w:t>One cannot</w:t>
      </w:r>
      <w:r w:rsidR="00C566B6">
        <w:rPr>
          <w:szCs w:val="24"/>
        </w:rPr>
        <w:t xml:space="preserve"> test a </w:t>
      </w:r>
      <w:r w:rsidR="00324995" w:rsidRPr="005F13D3">
        <w:rPr>
          <w:szCs w:val="24"/>
        </w:rPr>
        <w:t>nation’s commitment to justice</w:t>
      </w:r>
      <w:r w:rsidR="00C566B6">
        <w:rPr>
          <w:szCs w:val="24"/>
        </w:rPr>
        <w:t xml:space="preserve"> </w:t>
      </w:r>
      <w:r w:rsidR="00324995" w:rsidRPr="005F13D3">
        <w:rPr>
          <w:szCs w:val="24"/>
        </w:rPr>
        <w:t>solely by the strength of its laws</w:t>
      </w:r>
      <w:r w:rsidR="00C566B6">
        <w:rPr>
          <w:szCs w:val="24"/>
        </w:rPr>
        <w:t>,</w:t>
      </w:r>
      <w:r w:rsidR="00324995" w:rsidRPr="005F13D3">
        <w:rPr>
          <w:szCs w:val="24"/>
        </w:rPr>
        <w:t xml:space="preserve"> but by how those laws protect the most vulnerable voice</w:t>
      </w:r>
      <w:r w:rsidR="00C566B6">
        <w:rPr>
          <w:szCs w:val="24"/>
        </w:rPr>
        <w:t>s or rather, the voiceless</w:t>
      </w:r>
      <w:r w:rsidR="00324995" w:rsidRPr="005F13D3">
        <w:rPr>
          <w:szCs w:val="24"/>
        </w:rPr>
        <w:t xml:space="preserve">. Witnesses, who serve as the backbone of criminal trials, remain </w:t>
      </w:r>
      <w:r w:rsidR="00853BAF">
        <w:rPr>
          <w:szCs w:val="24"/>
        </w:rPr>
        <w:t>one</w:t>
      </w:r>
      <w:r w:rsidR="00324995" w:rsidRPr="005F13D3">
        <w:rPr>
          <w:szCs w:val="24"/>
        </w:rPr>
        <w:t xml:space="preserve"> of the mos</w:t>
      </w:r>
      <w:r w:rsidR="00853BAF">
        <w:rPr>
          <w:szCs w:val="24"/>
        </w:rPr>
        <w:t xml:space="preserve">t </w:t>
      </w:r>
      <w:r w:rsidR="00324995" w:rsidRPr="005F13D3">
        <w:rPr>
          <w:szCs w:val="24"/>
        </w:rPr>
        <w:t>overlooked p</w:t>
      </w:r>
      <w:r w:rsidR="00853BAF">
        <w:rPr>
          <w:szCs w:val="24"/>
        </w:rPr>
        <w:t>layer</w:t>
      </w:r>
      <w:r w:rsidR="00035D00">
        <w:rPr>
          <w:szCs w:val="24"/>
        </w:rPr>
        <w:t>s</w:t>
      </w:r>
      <w:r w:rsidR="00324995" w:rsidRPr="005F13D3">
        <w:rPr>
          <w:szCs w:val="24"/>
        </w:rPr>
        <w:t xml:space="preserve"> in India’s justice process. While legislative reforms like the </w:t>
      </w:r>
      <w:r w:rsidR="00324995" w:rsidRPr="005F13D3">
        <w:rPr>
          <w:b/>
          <w:bCs/>
          <w:szCs w:val="24"/>
        </w:rPr>
        <w:t>Witness Protection Scheme</w:t>
      </w:r>
      <w:r w:rsidR="00AB539D">
        <w:rPr>
          <w:b/>
          <w:bCs/>
          <w:szCs w:val="24"/>
        </w:rPr>
        <w:t xml:space="preserve"> </w:t>
      </w:r>
      <w:r w:rsidR="00324995" w:rsidRPr="005F13D3">
        <w:rPr>
          <w:b/>
          <w:bCs/>
          <w:szCs w:val="24"/>
        </w:rPr>
        <w:t>2018</w:t>
      </w:r>
      <w:r w:rsidR="00AB539D">
        <w:rPr>
          <w:b/>
          <w:bCs/>
          <w:szCs w:val="24"/>
        </w:rPr>
        <w:t>,</w:t>
      </w:r>
      <w:r w:rsidR="00324995" w:rsidRPr="005F13D3">
        <w:rPr>
          <w:szCs w:val="24"/>
        </w:rPr>
        <w:t xml:space="preserve"> attempt to offer structural relief, the practical barriers extend far beyond legal texts</w:t>
      </w:r>
      <w:r w:rsidR="00AB539D">
        <w:rPr>
          <w:szCs w:val="24"/>
        </w:rPr>
        <w:t>,</w:t>
      </w:r>
      <w:r w:rsidR="00324995" w:rsidRPr="005F13D3">
        <w:rPr>
          <w:szCs w:val="24"/>
        </w:rPr>
        <w:t xml:space="preserve"> rooted instead in institutional dysfunction, social hierarchies, technological risks, and state inaction.</w:t>
      </w:r>
    </w:p>
    <w:p w14:paraId="7573DCBA" w14:textId="548D0AFE" w:rsidR="00FB2940" w:rsidRPr="000331D3" w:rsidRDefault="00D70BA7" w:rsidP="0017713C">
      <w:pPr>
        <w:rPr>
          <w:rFonts w:cs="Times New Roman"/>
          <w:szCs w:val="24"/>
        </w:rPr>
      </w:pPr>
      <w:r w:rsidRPr="00353C74">
        <w:rPr>
          <w:szCs w:val="24"/>
        </w:rPr>
        <w:t xml:space="preserve">It is fair to say that the criminal justice system operates under a </w:t>
      </w:r>
      <w:r w:rsidR="00F11212" w:rsidRPr="00353C74">
        <w:rPr>
          <w:szCs w:val="24"/>
        </w:rPr>
        <w:t>looming</w:t>
      </w:r>
      <w:r w:rsidRPr="00353C74">
        <w:rPr>
          <w:szCs w:val="24"/>
        </w:rPr>
        <w:t xml:space="preserve"> shadow of public distrust. </w:t>
      </w:r>
      <w:r w:rsidR="00F419E8" w:rsidRPr="00353C74">
        <w:rPr>
          <w:szCs w:val="24"/>
        </w:rPr>
        <w:t xml:space="preserve">According to </w:t>
      </w:r>
      <w:r w:rsidR="00AA5F08" w:rsidRPr="00353C74">
        <w:rPr>
          <w:szCs w:val="24"/>
        </w:rPr>
        <w:t xml:space="preserve">the </w:t>
      </w:r>
      <w:r w:rsidR="00F419E8" w:rsidRPr="00353C74">
        <w:rPr>
          <w:szCs w:val="24"/>
        </w:rPr>
        <w:t xml:space="preserve">State of Policing in India Report, </w:t>
      </w:r>
      <w:r w:rsidR="00073664">
        <w:rPr>
          <w:szCs w:val="24"/>
        </w:rPr>
        <w:t>approximate</w:t>
      </w:r>
      <w:r w:rsidR="00906E5E">
        <w:rPr>
          <w:szCs w:val="24"/>
        </w:rPr>
        <w:t xml:space="preserve">ly </w:t>
      </w:r>
      <w:r w:rsidR="00F419E8" w:rsidRPr="00353C74">
        <w:rPr>
          <w:szCs w:val="24"/>
        </w:rPr>
        <w:t xml:space="preserve">25% of respondents expressed </w:t>
      </w:r>
      <w:r w:rsidR="002C7A14" w:rsidRPr="00353C74">
        <w:rPr>
          <w:szCs w:val="24"/>
        </w:rPr>
        <w:t>trust in police</w:t>
      </w:r>
      <w:r w:rsidR="00AA5F08" w:rsidRPr="00353C74">
        <w:rPr>
          <w:szCs w:val="24"/>
        </w:rPr>
        <w:t>,</w:t>
      </w:r>
      <w:r w:rsidR="00084C36" w:rsidRPr="00353C74">
        <w:rPr>
          <w:szCs w:val="24"/>
        </w:rPr>
        <w:t xml:space="preserve"> which is </w:t>
      </w:r>
      <w:r w:rsidR="00AA5F08" w:rsidRPr="00353C74">
        <w:rPr>
          <w:szCs w:val="24"/>
        </w:rPr>
        <w:t>comparably</w:t>
      </w:r>
      <w:r w:rsidR="00084C36" w:rsidRPr="00353C74">
        <w:rPr>
          <w:szCs w:val="24"/>
        </w:rPr>
        <w:t xml:space="preserve"> low for a nation of billions. </w:t>
      </w:r>
      <w:r w:rsidR="00AF5139" w:rsidRPr="00353C74">
        <w:rPr>
          <w:szCs w:val="24"/>
        </w:rPr>
        <w:t xml:space="preserve">44% confessed to having </w:t>
      </w:r>
      <w:r w:rsidR="00AA5F08" w:rsidRPr="00353C74">
        <w:rPr>
          <w:szCs w:val="24"/>
        </w:rPr>
        <w:t xml:space="preserve">a </w:t>
      </w:r>
      <w:r w:rsidR="00AF5139" w:rsidRPr="00353C74">
        <w:rPr>
          <w:szCs w:val="24"/>
        </w:rPr>
        <w:t>fe</w:t>
      </w:r>
      <w:r w:rsidR="007935AC" w:rsidRPr="00353C74">
        <w:rPr>
          <w:szCs w:val="24"/>
        </w:rPr>
        <w:t>ar of police</w:t>
      </w:r>
      <w:r w:rsidR="00C6107A">
        <w:rPr>
          <w:rStyle w:val="FootnoteReference"/>
          <w:szCs w:val="24"/>
        </w:rPr>
        <w:footnoteReference w:id="13"/>
      </w:r>
      <w:r w:rsidR="007935AC" w:rsidRPr="00353C74">
        <w:rPr>
          <w:szCs w:val="24"/>
        </w:rPr>
        <w:t>. Reasons for this</w:t>
      </w:r>
      <w:r w:rsidR="00C60EB9" w:rsidRPr="00353C74">
        <w:rPr>
          <w:szCs w:val="24"/>
        </w:rPr>
        <w:t xml:space="preserve"> fear</w:t>
      </w:r>
      <w:r w:rsidR="007935AC" w:rsidRPr="00353C74">
        <w:rPr>
          <w:szCs w:val="24"/>
        </w:rPr>
        <w:t xml:space="preserve"> included</w:t>
      </w:r>
      <w:r w:rsidR="00C60EB9">
        <w:rPr>
          <w:szCs w:val="24"/>
        </w:rPr>
        <w:t xml:space="preserve"> </w:t>
      </w:r>
      <w:r w:rsidR="00C60EB9" w:rsidRPr="008C6986">
        <w:rPr>
          <w:rFonts w:cs="Times New Roman"/>
          <w:szCs w:val="24"/>
        </w:rPr>
        <w:t>concerns about physical abuse, arrest, false accusations, and sexual harassment.</w:t>
      </w:r>
      <w:r w:rsidR="00324995" w:rsidRPr="00324995">
        <w:rPr>
          <w:szCs w:val="24"/>
        </w:rPr>
        <w:t xml:space="preserve"> </w:t>
      </w:r>
      <w:r w:rsidR="00F556E8" w:rsidRPr="00F556E8">
        <w:rPr>
          <w:szCs w:val="24"/>
        </w:rPr>
        <w:t>The erosion of trust shakes the foundation of witness protection.</w:t>
      </w:r>
      <w:r w:rsidR="00E646DD">
        <w:rPr>
          <w:szCs w:val="24"/>
        </w:rPr>
        <w:t xml:space="preserve"> P</w:t>
      </w:r>
      <w:r w:rsidR="00F556E8">
        <w:rPr>
          <w:szCs w:val="24"/>
        </w:rPr>
        <w:t xml:space="preserve">olice </w:t>
      </w:r>
      <w:r w:rsidR="00F71AC0">
        <w:rPr>
          <w:szCs w:val="24"/>
        </w:rPr>
        <w:t>remain</w:t>
      </w:r>
      <w:r w:rsidR="00324995" w:rsidRPr="00324995">
        <w:rPr>
          <w:szCs w:val="24"/>
        </w:rPr>
        <w:t xml:space="preserve"> the primary enforcers of protective orders.</w:t>
      </w:r>
      <w:r w:rsidR="005E6BC6">
        <w:rPr>
          <w:szCs w:val="24"/>
        </w:rPr>
        <w:t xml:space="preserve"> </w:t>
      </w:r>
      <w:r w:rsidR="00F71AC0" w:rsidRPr="00F71AC0">
        <w:rPr>
          <w:szCs w:val="24"/>
        </w:rPr>
        <w:t xml:space="preserve">But without independent witness protection units that operate outside the traditional police structure, fears of intimidation and corruption </w:t>
      </w:r>
      <w:r w:rsidR="007D6C01">
        <w:rPr>
          <w:szCs w:val="24"/>
        </w:rPr>
        <w:t>continue</w:t>
      </w:r>
      <w:r w:rsidR="0061253D">
        <w:rPr>
          <w:szCs w:val="24"/>
        </w:rPr>
        <w:t xml:space="preserve"> </w:t>
      </w:r>
      <w:r w:rsidR="00F71AC0">
        <w:rPr>
          <w:szCs w:val="24"/>
        </w:rPr>
        <w:t>to persist</w:t>
      </w:r>
      <w:r w:rsidR="00EA5397">
        <w:rPr>
          <w:szCs w:val="24"/>
        </w:rPr>
        <w:t xml:space="preserve">. </w:t>
      </w:r>
      <w:r w:rsidR="00F96E2C">
        <w:rPr>
          <w:szCs w:val="24"/>
        </w:rPr>
        <w:t xml:space="preserve"> </w:t>
      </w:r>
      <w:r w:rsidR="00FB23BE" w:rsidRPr="00FB23BE">
        <w:rPr>
          <w:szCs w:val="24"/>
        </w:rPr>
        <w:t>Additionally, polic</w:t>
      </w:r>
      <w:r w:rsidR="000D0B12">
        <w:rPr>
          <w:szCs w:val="24"/>
        </w:rPr>
        <w:t>e forces</w:t>
      </w:r>
      <w:r w:rsidR="00FB23BE" w:rsidRPr="00FB23BE">
        <w:rPr>
          <w:szCs w:val="24"/>
        </w:rPr>
        <w:t xml:space="preserve"> in India are </w:t>
      </w:r>
      <w:r w:rsidR="000D0B12">
        <w:rPr>
          <w:szCs w:val="24"/>
        </w:rPr>
        <w:t>understaffed</w:t>
      </w:r>
      <w:r w:rsidR="00C60EB9">
        <w:rPr>
          <w:szCs w:val="24"/>
        </w:rPr>
        <w:t xml:space="preserve"> and overburdened</w:t>
      </w:r>
      <w:r w:rsidR="00C60EB9" w:rsidRPr="00ED73BB">
        <w:rPr>
          <w:szCs w:val="24"/>
        </w:rPr>
        <w:t>.</w:t>
      </w:r>
      <w:r w:rsidR="00FB23BE" w:rsidRPr="00ED73BB">
        <w:rPr>
          <w:szCs w:val="24"/>
        </w:rPr>
        <w:t xml:space="preserve"> </w:t>
      </w:r>
      <w:r w:rsidR="005906FE" w:rsidRPr="00ED73BB">
        <w:rPr>
          <w:szCs w:val="24"/>
        </w:rPr>
        <w:t>UN</w:t>
      </w:r>
      <w:r w:rsidR="000D0B12" w:rsidRPr="00ED73BB">
        <w:rPr>
          <w:szCs w:val="24"/>
        </w:rPr>
        <w:t xml:space="preserve"> </w:t>
      </w:r>
      <w:r w:rsidR="00DD7D12" w:rsidRPr="00ED73BB">
        <w:rPr>
          <w:szCs w:val="24"/>
        </w:rPr>
        <w:t>recommends a ratio of 222 officers per lakh population</w:t>
      </w:r>
      <w:r w:rsidR="006967D1">
        <w:rPr>
          <w:b/>
          <w:bCs/>
          <w:szCs w:val="24"/>
        </w:rPr>
        <w:t>,</w:t>
      </w:r>
      <w:r w:rsidR="00DD7D12">
        <w:rPr>
          <w:szCs w:val="24"/>
        </w:rPr>
        <w:t xml:space="preserve"> </w:t>
      </w:r>
      <w:r w:rsidR="00DD7D12">
        <w:rPr>
          <w:szCs w:val="24"/>
        </w:rPr>
        <w:lastRenderedPageBreak/>
        <w:t>while</w:t>
      </w:r>
      <w:r w:rsidR="006967D1">
        <w:rPr>
          <w:szCs w:val="24"/>
        </w:rPr>
        <w:t xml:space="preserve"> </w:t>
      </w:r>
      <w:r w:rsidR="00DD7D12">
        <w:rPr>
          <w:szCs w:val="24"/>
        </w:rPr>
        <w:t>India</w:t>
      </w:r>
      <w:r w:rsidR="006967D1">
        <w:rPr>
          <w:szCs w:val="24"/>
        </w:rPr>
        <w:t xml:space="preserve"> has </w:t>
      </w:r>
      <w:r w:rsidR="006967D1" w:rsidRPr="008C6986">
        <w:rPr>
          <w:rFonts w:cs="Times New Roman"/>
          <w:szCs w:val="24"/>
        </w:rPr>
        <w:t>144 police officers per 100,000 people in Indi</w:t>
      </w:r>
      <w:r w:rsidR="006967D1">
        <w:rPr>
          <w:rFonts w:cs="Times New Roman"/>
          <w:szCs w:val="24"/>
        </w:rPr>
        <w:t>a</w:t>
      </w:r>
      <w:r w:rsidR="00A501F9">
        <w:rPr>
          <w:rStyle w:val="FootnoteReference"/>
          <w:rFonts w:cs="Times New Roman"/>
          <w:szCs w:val="24"/>
        </w:rPr>
        <w:footnoteReference w:id="14"/>
      </w:r>
      <w:r w:rsidR="006967D1">
        <w:rPr>
          <w:rFonts w:cs="Times New Roman"/>
          <w:szCs w:val="24"/>
        </w:rPr>
        <w:t xml:space="preserve">. </w:t>
      </w:r>
      <w:r w:rsidR="001650B2">
        <w:rPr>
          <w:szCs w:val="24"/>
        </w:rPr>
        <w:t xml:space="preserve">In such situations, </w:t>
      </w:r>
      <w:r w:rsidR="0030365A">
        <w:rPr>
          <w:szCs w:val="24"/>
        </w:rPr>
        <w:t xml:space="preserve">the </w:t>
      </w:r>
      <w:r w:rsidR="00DD7D12" w:rsidRPr="00FB23BE">
        <w:rPr>
          <w:szCs w:val="24"/>
        </w:rPr>
        <w:t xml:space="preserve">responsibility of safeguarding witnesses </w:t>
      </w:r>
      <w:r w:rsidR="0030365A">
        <w:rPr>
          <w:szCs w:val="24"/>
        </w:rPr>
        <w:t xml:space="preserve">doesn’t remain </w:t>
      </w:r>
      <w:r w:rsidR="005906FE">
        <w:rPr>
          <w:szCs w:val="24"/>
        </w:rPr>
        <w:t>at the top of t</w:t>
      </w:r>
      <w:r w:rsidR="00DD7D12" w:rsidRPr="00FB23BE">
        <w:rPr>
          <w:szCs w:val="24"/>
        </w:rPr>
        <w:t xml:space="preserve">he priority list amid </w:t>
      </w:r>
      <w:r w:rsidR="0030365A">
        <w:rPr>
          <w:szCs w:val="24"/>
        </w:rPr>
        <w:t>routine</w:t>
      </w:r>
      <w:r w:rsidR="00DD7D12" w:rsidRPr="00FB23BE">
        <w:rPr>
          <w:szCs w:val="24"/>
        </w:rPr>
        <w:t xml:space="preserve"> policing duties</w:t>
      </w:r>
      <w:r w:rsidR="005906FE">
        <w:rPr>
          <w:szCs w:val="24"/>
        </w:rPr>
        <w:t xml:space="preserve">. </w:t>
      </w:r>
      <w:r w:rsidR="00213D54" w:rsidRPr="008C6986">
        <w:rPr>
          <w:rFonts w:cs="Times New Roman"/>
          <w:szCs w:val="24"/>
        </w:rPr>
        <w:t xml:space="preserve">Another important thing to note </w:t>
      </w:r>
      <w:r w:rsidR="00014A9A">
        <w:rPr>
          <w:rFonts w:cs="Times New Roman"/>
          <w:szCs w:val="24"/>
        </w:rPr>
        <w:t>is</w:t>
      </w:r>
      <w:r w:rsidR="00213D54" w:rsidRPr="008C6986">
        <w:rPr>
          <w:rFonts w:cs="Times New Roman"/>
          <w:szCs w:val="24"/>
        </w:rPr>
        <w:t xml:space="preserve"> the number of female police officers in India</w:t>
      </w:r>
      <w:r w:rsidR="00213D54">
        <w:rPr>
          <w:rFonts w:cs="Times New Roman"/>
          <w:szCs w:val="24"/>
        </w:rPr>
        <w:t xml:space="preserve">. Women account for </w:t>
      </w:r>
      <w:r w:rsidR="003E63CB">
        <w:rPr>
          <w:rFonts w:cs="Times New Roman"/>
          <w:szCs w:val="24"/>
        </w:rPr>
        <w:t>less than 10%</w:t>
      </w:r>
      <w:r w:rsidR="00213D54" w:rsidRPr="002110BD">
        <w:rPr>
          <w:rFonts w:cs="Times New Roman"/>
          <w:szCs w:val="24"/>
        </w:rPr>
        <w:t xml:space="preserve"> of the </w:t>
      </w:r>
      <w:r w:rsidR="00007D49">
        <w:rPr>
          <w:rFonts w:cs="Times New Roman"/>
          <w:szCs w:val="24"/>
        </w:rPr>
        <w:t xml:space="preserve">total </w:t>
      </w:r>
      <w:r w:rsidR="00213D54" w:rsidRPr="002110BD">
        <w:rPr>
          <w:rFonts w:cs="Times New Roman"/>
          <w:szCs w:val="24"/>
        </w:rPr>
        <w:t>police force</w:t>
      </w:r>
      <w:r w:rsidR="006F1822">
        <w:rPr>
          <w:rStyle w:val="FootnoteReference"/>
          <w:rFonts w:cs="Times New Roman"/>
          <w:szCs w:val="24"/>
        </w:rPr>
        <w:footnoteReference w:id="15"/>
      </w:r>
      <w:r w:rsidR="00F96E2C">
        <w:rPr>
          <w:rFonts w:cs="Times New Roman"/>
          <w:szCs w:val="24"/>
        </w:rPr>
        <w:t xml:space="preserve">. This </w:t>
      </w:r>
      <w:r w:rsidR="00F96E2C" w:rsidRPr="008C6986">
        <w:rPr>
          <w:rFonts w:cs="Times New Roman"/>
          <w:szCs w:val="24"/>
        </w:rPr>
        <w:t>discourage</w:t>
      </w:r>
      <w:r w:rsidR="000331D3">
        <w:rPr>
          <w:rFonts w:cs="Times New Roman"/>
          <w:szCs w:val="24"/>
        </w:rPr>
        <w:t>s</w:t>
      </w:r>
      <w:r w:rsidR="00F96E2C" w:rsidRPr="008C6986">
        <w:rPr>
          <w:rFonts w:cs="Times New Roman"/>
          <w:szCs w:val="24"/>
        </w:rPr>
        <w:t xml:space="preserve"> female witnesses from seeking protection from male officers.</w:t>
      </w:r>
    </w:p>
    <w:p w14:paraId="5E1DC4C1" w14:textId="5D608EE8" w:rsidR="004D613D" w:rsidRDefault="005E71C6" w:rsidP="0036457E">
      <w:pPr>
        <w:spacing w:before="0" w:after="160"/>
        <w:rPr>
          <w:szCs w:val="24"/>
        </w:rPr>
      </w:pPr>
      <w:r w:rsidRPr="005E71C6">
        <w:rPr>
          <w:szCs w:val="24"/>
        </w:rPr>
        <w:t>One major issue that hasn’t received enough attention in the current literature is the disparity in witness protection resources between urban and rural areas.</w:t>
      </w:r>
      <w:r w:rsidR="00324995" w:rsidRPr="00324995">
        <w:rPr>
          <w:szCs w:val="24"/>
        </w:rPr>
        <w:t xml:space="preserve"> While metropolitan courts may provide in-camera proceedings or identity concealment, rural and semi-urban </w:t>
      </w:r>
      <w:r w:rsidR="0036457E">
        <w:rPr>
          <w:szCs w:val="24"/>
        </w:rPr>
        <w:t>regions</w:t>
      </w:r>
      <w:r w:rsidR="00324995" w:rsidRPr="00324995">
        <w:rPr>
          <w:szCs w:val="24"/>
        </w:rPr>
        <w:t xml:space="preserve"> lack even basic infrastructure like separate witness waiting rooms or secure court premises. In districts </w:t>
      </w:r>
      <w:r w:rsidR="008C05E8" w:rsidRPr="008C05E8">
        <w:rPr>
          <w:szCs w:val="24"/>
        </w:rPr>
        <w:t>where witnesses have to travel for hours just to get to court, the risks increase significantly</w:t>
      </w:r>
      <w:r w:rsidR="008C05E8">
        <w:rPr>
          <w:szCs w:val="24"/>
        </w:rPr>
        <w:t>,</w:t>
      </w:r>
      <w:r w:rsidR="008C05E8" w:rsidRPr="008C05E8">
        <w:rPr>
          <w:szCs w:val="24"/>
        </w:rPr>
        <w:t xml:space="preserve"> from being exposed in public to not having proper logistical or police support during their journey.</w:t>
      </w:r>
      <w:r w:rsidR="008C05E8">
        <w:rPr>
          <w:szCs w:val="24"/>
        </w:rPr>
        <w:t xml:space="preserve"> </w:t>
      </w:r>
      <w:r w:rsidR="00324995" w:rsidRPr="00324995">
        <w:rPr>
          <w:szCs w:val="24"/>
        </w:rPr>
        <w:t>Additionally,</w:t>
      </w:r>
      <w:r w:rsidR="002315DA" w:rsidRPr="002315DA">
        <w:rPr>
          <w:rFonts w:ascii="Arial" w:hAnsi="Arial" w:cs="Arial"/>
          <w:color w:val="000000"/>
          <w:sz w:val="27"/>
          <w:szCs w:val="27"/>
          <w:shd w:val="clear" w:color="auto" w:fill="F4F5F6"/>
        </w:rPr>
        <w:t xml:space="preserve"> </w:t>
      </w:r>
      <w:r w:rsidR="002315DA" w:rsidRPr="002315DA">
        <w:rPr>
          <w:szCs w:val="24"/>
        </w:rPr>
        <w:t>awareness of protection programs is alarmingly low in these non-metropolitan areas</w:t>
      </w:r>
      <w:r w:rsidR="00324995" w:rsidRPr="00324995">
        <w:rPr>
          <w:szCs w:val="24"/>
        </w:rPr>
        <w:t xml:space="preserve">. </w:t>
      </w:r>
      <w:r w:rsidR="009D685F" w:rsidRPr="009D685F">
        <w:rPr>
          <w:szCs w:val="24"/>
        </w:rPr>
        <w:t xml:space="preserve">People from </w:t>
      </w:r>
      <w:r w:rsidR="004D613D">
        <w:rPr>
          <w:szCs w:val="24"/>
        </w:rPr>
        <w:t>marginalised</w:t>
      </w:r>
      <w:r w:rsidR="009D685F">
        <w:rPr>
          <w:szCs w:val="24"/>
        </w:rPr>
        <w:t xml:space="preserve"> </w:t>
      </w:r>
      <w:r w:rsidR="009D685F" w:rsidRPr="009D685F">
        <w:rPr>
          <w:szCs w:val="24"/>
        </w:rPr>
        <w:t>communities</w:t>
      </w:r>
      <w:r w:rsidR="00AB539D">
        <w:rPr>
          <w:szCs w:val="24"/>
        </w:rPr>
        <w:t>,</w:t>
      </w:r>
      <w:r w:rsidR="009D685F" w:rsidRPr="009D685F">
        <w:rPr>
          <w:szCs w:val="24"/>
        </w:rPr>
        <w:t xml:space="preserve"> along with other witnesses</w:t>
      </w:r>
      <w:r w:rsidR="00AB539D">
        <w:rPr>
          <w:szCs w:val="24"/>
        </w:rPr>
        <w:t>,</w:t>
      </w:r>
      <w:r w:rsidR="009D685F" w:rsidRPr="009D685F">
        <w:rPr>
          <w:szCs w:val="24"/>
        </w:rPr>
        <w:t xml:space="preserve"> remain ignorant about </w:t>
      </w:r>
      <w:r w:rsidR="009D685F">
        <w:rPr>
          <w:szCs w:val="24"/>
        </w:rPr>
        <w:t xml:space="preserve">the protective measures that can be obtained from the authorities. </w:t>
      </w:r>
      <w:r w:rsidR="004D613D">
        <w:rPr>
          <w:szCs w:val="24"/>
        </w:rPr>
        <w:t xml:space="preserve">And those who did </w:t>
      </w:r>
      <w:r w:rsidR="004D613D" w:rsidRPr="000E736B">
        <w:rPr>
          <w:szCs w:val="24"/>
        </w:rPr>
        <w:t xml:space="preserve">often felt skeptical about receiving help due to political </w:t>
      </w:r>
      <w:r w:rsidR="004D613D">
        <w:rPr>
          <w:szCs w:val="24"/>
        </w:rPr>
        <w:t>favouritism</w:t>
      </w:r>
      <w:r w:rsidR="004D613D" w:rsidRPr="000E736B">
        <w:rPr>
          <w:szCs w:val="24"/>
        </w:rPr>
        <w:t xml:space="preserve"> shielding local accused individuals.</w:t>
      </w:r>
    </w:p>
    <w:p w14:paraId="46E8DCAE" w14:textId="67874624" w:rsidR="00B81325" w:rsidRPr="004D613D" w:rsidRDefault="00B81325" w:rsidP="0036457E">
      <w:pPr>
        <w:spacing w:before="0" w:after="160"/>
        <w:rPr>
          <w:szCs w:val="24"/>
        </w:rPr>
      </w:pPr>
      <w:r>
        <w:rPr>
          <w:rFonts w:cs="Times New Roman"/>
          <w:szCs w:val="24"/>
        </w:rPr>
        <w:t>It has been observed in several landmark cases</w:t>
      </w:r>
      <w:r w:rsidR="00BC1D2D">
        <w:rPr>
          <w:rFonts w:cs="Times New Roman"/>
          <w:szCs w:val="24"/>
        </w:rPr>
        <w:t>,</w:t>
      </w:r>
      <w:r>
        <w:rPr>
          <w:rFonts w:cs="Times New Roman"/>
          <w:szCs w:val="24"/>
        </w:rPr>
        <w:t xml:space="preserve"> such as those of </w:t>
      </w:r>
      <w:r w:rsidR="00BC1D2D">
        <w:rPr>
          <w:rFonts w:cs="Times New Roman"/>
          <w:szCs w:val="24"/>
        </w:rPr>
        <w:t>the “Jessica Lal” murder case, “Best Bakery case: and “NHRC v. State of Gujarat”</w:t>
      </w:r>
      <w:r>
        <w:rPr>
          <w:rFonts w:cs="Times New Roman"/>
          <w:szCs w:val="24"/>
        </w:rPr>
        <w:t xml:space="preserve"> by the Supreme Court that key prosecution witnesses have turned hostile during trials. </w:t>
      </w:r>
      <w:r w:rsidR="00241BF7">
        <w:rPr>
          <w:rFonts w:cs="Times New Roman"/>
          <w:szCs w:val="24"/>
        </w:rPr>
        <w:t xml:space="preserve">Money has been found as </w:t>
      </w:r>
      <w:r w:rsidR="00A86818">
        <w:rPr>
          <w:rFonts w:cs="Times New Roman"/>
          <w:szCs w:val="24"/>
        </w:rPr>
        <w:t xml:space="preserve">the </w:t>
      </w:r>
      <w:r w:rsidR="00241BF7">
        <w:rPr>
          <w:rFonts w:cs="Times New Roman"/>
          <w:szCs w:val="24"/>
        </w:rPr>
        <w:t xml:space="preserve">primary motivator </w:t>
      </w:r>
      <w:r w:rsidR="008D567C">
        <w:rPr>
          <w:rFonts w:cs="Times New Roman"/>
          <w:szCs w:val="24"/>
        </w:rPr>
        <w:t xml:space="preserve">for </w:t>
      </w:r>
      <w:r w:rsidR="00A86818">
        <w:rPr>
          <w:rFonts w:cs="Times New Roman"/>
          <w:szCs w:val="24"/>
        </w:rPr>
        <w:t>these incidents</w:t>
      </w:r>
      <w:r w:rsidR="008D567C">
        <w:rPr>
          <w:rFonts w:cs="Times New Roman"/>
          <w:szCs w:val="24"/>
        </w:rPr>
        <w:t xml:space="preserve">. Witnesses </w:t>
      </w:r>
      <w:r w:rsidR="00A86818">
        <w:rPr>
          <w:rFonts w:cs="Times New Roman"/>
          <w:szCs w:val="24"/>
        </w:rPr>
        <w:t>from</w:t>
      </w:r>
      <w:r w:rsidR="008D567C">
        <w:rPr>
          <w:rFonts w:cs="Times New Roman"/>
          <w:szCs w:val="24"/>
        </w:rPr>
        <w:t xml:space="preserve"> </w:t>
      </w:r>
      <w:r w:rsidR="00A86818">
        <w:rPr>
          <w:rFonts w:cs="Times New Roman"/>
          <w:szCs w:val="24"/>
        </w:rPr>
        <w:t>lower-income</w:t>
      </w:r>
      <w:r w:rsidR="008D567C">
        <w:rPr>
          <w:rFonts w:cs="Times New Roman"/>
          <w:szCs w:val="24"/>
        </w:rPr>
        <w:t xml:space="preserve"> </w:t>
      </w:r>
      <w:r w:rsidR="00AB539D">
        <w:rPr>
          <w:rFonts w:cs="Times New Roman"/>
          <w:szCs w:val="24"/>
        </w:rPr>
        <w:t>backgrounds</w:t>
      </w:r>
      <w:r w:rsidR="008D567C">
        <w:rPr>
          <w:rFonts w:cs="Times New Roman"/>
          <w:szCs w:val="24"/>
        </w:rPr>
        <w:t xml:space="preserve"> often fell prey to this tactic used by </w:t>
      </w:r>
      <w:r w:rsidR="00A86818">
        <w:rPr>
          <w:rFonts w:cs="Times New Roman"/>
          <w:szCs w:val="24"/>
        </w:rPr>
        <w:t xml:space="preserve">the </w:t>
      </w:r>
      <w:r w:rsidR="00B3665B">
        <w:rPr>
          <w:rFonts w:cs="Times New Roman"/>
          <w:szCs w:val="24"/>
        </w:rPr>
        <w:t>opposite party.</w:t>
      </w:r>
      <w:r w:rsidR="00A018D0">
        <w:rPr>
          <w:rFonts w:cs="Times New Roman"/>
          <w:szCs w:val="24"/>
        </w:rPr>
        <w:t xml:space="preserve"> </w:t>
      </w:r>
      <w:r w:rsidR="003E16E8" w:rsidRPr="003E16E8">
        <w:rPr>
          <w:rFonts w:cs="Times New Roman"/>
          <w:szCs w:val="24"/>
        </w:rPr>
        <w:t>To strengthen witness protection and encourage public participation against powerful offenders,</w:t>
      </w:r>
      <w:r w:rsidR="003E16E8">
        <w:rPr>
          <w:rFonts w:cs="Times New Roman"/>
          <w:szCs w:val="24"/>
        </w:rPr>
        <w:t xml:space="preserve"> it is crucial to </w:t>
      </w:r>
      <w:r w:rsidR="00E15E5E">
        <w:rPr>
          <w:rFonts w:cs="Times New Roman"/>
          <w:szCs w:val="24"/>
        </w:rPr>
        <w:t xml:space="preserve">bring stringent perjury laws that </w:t>
      </w:r>
      <w:r w:rsidR="00A86818">
        <w:rPr>
          <w:rFonts w:cs="Times New Roman"/>
          <w:szCs w:val="24"/>
        </w:rPr>
        <w:t>discourage</w:t>
      </w:r>
      <w:r w:rsidR="00E15E5E">
        <w:rPr>
          <w:rFonts w:cs="Times New Roman"/>
          <w:szCs w:val="24"/>
        </w:rPr>
        <w:t xml:space="preserve"> hostile behaviour and prevent them </w:t>
      </w:r>
      <w:r w:rsidR="00A86818">
        <w:rPr>
          <w:rFonts w:cs="Times New Roman"/>
          <w:szCs w:val="24"/>
        </w:rPr>
        <w:t xml:space="preserve">from retracting their </w:t>
      </w:r>
      <w:r w:rsidR="00AB539D">
        <w:rPr>
          <w:rFonts w:cs="Times New Roman"/>
          <w:szCs w:val="24"/>
        </w:rPr>
        <w:t>crucial</w:t>
      </w:r>
      <w:r w:rsidR="00A86818">
        <w:rPr>
          <w:rFonts w:cs="Times New Roman"/>
          <w:szCs w:val="24"/>
        </w:rPr>
        <w:t xml:space="preserve"> statements</w:t>
      </w:r>
      <w:r w:rsidR="00014A9A">
        <w:rPr>
          <w:rFonts w:cs="Times New Roman"/>
          <w:szCs w:val="24"/>
        </w:rPr>
        <w:t>.</w:t>
      </w:r>
    </w:p>
    <w:p w14:paraId="321CC79B" w14:textId="59D0D4DC" w:rsidR="00324995" w:rsidRPr="00324995" w:rsidRDefault="00CB2A43" w:rsidP="0017713C">
      <w:pPr>
        <w:rPr>
          <w:szCs w:val="24"/>
        </w:rPr>
      </w:pPr>
      <w:r w:rsidRPr="00CB2A43">
        <w:rPr>
          <w:szCs w:val="24"/>
        </w:rPr>
        <w:t xml:space="preserve">In </w:t>
      </w:r>
      <w:r w:rsidR="004D613D">
        <w:rPr>
          <w:szCs w:val="24"/>
        </w:rPr>
        <w:t xml:space="preserve">this </w:t>
      </w:r>
      <w:r w:rsidRPr="00CB2A43">
        <w:rPr>
          <w:szCs w:val="24"/>
        </w:rPr>
        <w:t xml:space="preserve">increasingly interconnected world, witness intimidation has evolved beyond just physical threats. </w:t>
      </w:r>
      <w:r w:rsidRPr="006C50A3">
        <w:rPr>
          <w:szCs w:val="24"/>
        </w:rPr>
        <w:t xml:space="preserve">The rise of anonymous social media accounts, encrypted messaging apps, and public doxxing has created new ways to </w:t>
      </w:r>
      <w:r w:rsidR="00522160" w:rsidRPr="006C50A3">
        <w:rPr>
          <w:szCs w:val="24"/>
        </w:rPr>
        <w:t xml:space="preserve">intimidate </w:t>
      </w:r>
      <w:r w:rsidRPr="006C50A3">
        <w:rPr>
          <w:szCs w:val="24"/>
        </w:rPr>
        <w:t>witnesses</w:t>
      </w:r>
      <w:r w:rsidR="00324995" w:rsidRPr="00324995">
        <w:rPr>
          <w:szCs w:val="24"/>
        </w:rPr>
        <w:t xml:space="preserve">. </w:t>
      </w:r>
      <w:r w:rsidR="001715BD">
        <w:rPr>
          <w:szCs w:val="24"/>
        </w:rPr>
        <w:t xml:space="preserve">With apps </w:t>
      </w:r>
      <w:r w:rsidR="001525B4">
        <w:rPr>
          <w:szCs w:val="24"/>
        </w:rPr>
        <w:t xml:space="preserve">that </w:t>
      </w:r>
      <w:r w:rsidR="00127170">
        <w:rPr>
          <w:szCs w:val="24"/>
        </w:rPr>
        <w:t>stress</w:t>
      </w:r>
      <w:r w:rsidR="001525B4">
        <w:rPr>
          <w:szCs w:val="24"/>
        </w:rPr>
        <w:t xml:space="preserve"> end-to-end encrypted data</w:t>
      </w:r>
      <w:r w:rsidR="00127170">
        <w:rPr>
          <w:szCs w:val="24"/>
        </w:rPr>
        <w:t xml:space="preserve"> </w:t>
      </w:r>
      <w:r w:rsidR="006C50A3">
        <w:rPr>
          <w:szCs w:val="24"/>
        </w:rPr>
        <w:t>protection, identifying the wrongdoer becomes difficult.</w:t>
      </w:r>
      <w:r w:rsidR="001525B4">
        <w:rPr>
          <w:szCs w:val="24"/>
        </w:rPr>
        <w:t xml:space="preserve">  </w:t>
      </w:r>
      <w:r w:rsidR="00324995" w:rsidRPr="00324995">
        <w:rPr>
          <w:szCs w:val="24"/>
        </w:rPr>
        <w:t>This dimension</w:t>
      </w:r>
      <w:r>
        <w:rPr>
          <w:szCs w:val="24"/>
        </w:rPr>
        <w:t xml:space="preserve"> hasn't been addressed</w:t>
      </w:r>
      <w:r w:rsidR="00324995" w:rsidRPr="00324995">
        <w:rPr>
          <w:szCs w:val="24"/>
        </w:rPr>
        <w:t xml:space="preserve"> in the Witness Protection Scheme, which focuses on physical relocation and </w:t>
      </w:r>
      <w:r w:rsidR="00324995" w:rsidRPr="00324995">
        <w:rPr>
          <w:szCs w:val="24"/>
        </w:rPr>
        <w:lastRenderedPageBreak/>
        <w:t>courtroom security but offers no mechanisms for digital protection.</w:t>
      </w:r>
      <w:r w:rsidR="00324995" w:rsidRPr="005F13D3">
        <w:rPr>
          <w:szCs w:val="24"/>
        </w:rPr>
        <w:t xml:space="preserve"> </w:t>
      </w:r>
      <w:r w:rsidR="00094FB6" w:rsidRPr="00094FB6">
        <w:rPr>
          <w:szCs w:val="24"/>
        </w:rPr>
        <w:t>A striking example from 202</w:t>
      </w:r>
      <w:r w:rsidR="00413FA4">
        <w:rPr>
          <w:szCs w:val="24"/>
        </w:rPr>
        <w:t>5</w:t>
      </w:r>
      <w:r w:rsidR="00094FB6" w:rsidRPr="00094FB6">
        <w:rPr>
          <w:szCs w:val="24"/>
        </w:rPr>
        <w:t xml:space="preserve"> involved a whistleblower in a financial fraud case whose personal and family information was leaked online, leading to </w:t>
      </w:r>
      <w:r w:rsidR="00175ABD">
        <w:rPr>
          <w:szCs w:val="24"/>
        </w:rPr>
        <w:t>death threats.</w:t>
      </w:r>
      <w:r w:rsidR="00094FB6" w:rsidRPr="00094FB6">
        <w:rPr>
          <w:szCs w:val="24"/>
        </w:rPr>
        <w:t xml:space="preserve"> Even after filing police complaints, there was no provision for protective cyber-monitoring, underscoring the scheme’s outdated views on the vulnerabilities witnesses face today.</w:t>
      </w:r>
      <w:r w:rsidR="006C50A3">
        <w:rPr>
          <w:rStyle w:val="FootnoteReference"/>
          <w:szCs w:val="24"/>
        </w:rPr>
        <w:footnoteReference w:id="16"/>
      </w:r>
    </w:p>
    <w:p w14:paraId="6366BDF0" w14:textId="3E0B039E" w:rsidR="00324995" w:rsidRPr="00324995" w:rsidRDefault="001910D2" w:rsidP="0017713C">
      <w:pPr>
        <w:rPr>
          <w:szCs w:val="24"/>
        </w:rPr>
      </w:pPr>
      <w:r w:rsidRPr="001910D2">
        <w:rPr>
          <w:szCs w:val="24"/>
        </w:rPr>
        <w:t>Protection needs can differ dramatically based on socio-economic status, gender, caste, and religio</w:t>
      </w:r>
      <w:r w:rsidR="000F7768">
        <w:rPr>
          <w:szCs w:val="24"/>
        </w:rPr>
        <w:t xml:space="preserve">n - </w:t>
      </w:r>
      <w:r w:rsidR="000F7768" w:rsidRPr="000F7768">
        <w:rPr>
          <w:szCs w:val="24"/>
        </w:rPr>
        <w:t>something that current policies often overlook</w:t>
      </w:r>
      <w:r w:rsidR="00324995" w:rsidRPr="00324995">
        <w:rPr>
          <w:szCs w:val="24"/>
        </w:rPr>
        <w:t>.</w:t>
      </w:r>
      <w:r w:rsidR="00FF63C6" w:rsidRPr="00FF63C6">
        <w:rPr>
          <w:rFonts w:ascii="Arial" w:hAnsi="Arial" w:cs="Arial"/>
          <w:color w:val="000000"/>
          <w:sz w:val="27"/>
          <w:szCs w:val="27"/>
          <w:shd w:val="clear" w:color="auto" w:fill="F4F5F6"/>
        </w:rPr>
        <w:t xml:space="preserve"> </w:t>
      </w:r>
      <w:r w:rsidR="00FF63C6" w:rsidRPr="00FF63C6">
        <w:rPr>
          <w:szCs w:val="24"/>
        </w:rPr>
        <w:t>Women who serve as witnesses, particularly those who have experienced sexual violence, deal with heightened stigma and the risk of retaliation</w:t>
      </w:r>
      <w:r w:rsidR="00324995" w:rsidRPr="00324995">
        <w:rPr>
          <w:szCs w:val="24"/>
        </w:rPr>
        <w:t xml:space="preserve">. The lack of </w:t>
      </w:r>
      <w:r w:rsidR="00324995" w:rsidRPr="000A045B">
        <w:rPr>
          <w:szCs w:val="24"/>
        </w:rPr>
        <w:t xml:space="preserve">female protection officers, gender-sensitive holding facilities, and trauma </w:t>
      </w:r>
      <w:r w:rsidR="000F7768" w:rsidRPr="000A045B">
        <w:rPr>
          <w:szCs w:val="24"/>
        </w:rPr>
        <w:t>counsellors</w:t>
      </w:r>
      <w:r w:rsidR="00324995" w:rsidRPr="00324995">
        <w:rPr>
          <w:szCs w:val="24"/>
        </w:rPr>
        <w:t xml:space="preserve"> </w:t>
      </w:r>
      <w:r w:rsidR="000A045B">
        <w:rPr>
          <w:szCs w:val="24"/>
        </w:rPr>
        <w:t>aggravates t</w:t>
      </w:r>
      <w:r w:rsidR="00324995" w:rsidRPr="00324995">
        <w:rPr>
          <w:szCs w:val="24"/>
        </w:rPr>
        <w:t xml:space="preserve">his crisis. </w:t>
      </w:r>
      <w:r w:rsidR="00607832" w:rsidRPr="00607832">
        <w:rPr>
          <w:szCs w:val="24"/>
        </w:rPr>
        <w:t xml:space="preserve">Furthermore, people from </w:t>
      </w:r>
      <w:r w:rsidR="00ED73BB">
        <w:rPr>
          <w:szCs w:val="24"/>
        </w:rPr>
        <w:t>marginalised</w:t>
      </w:r>
      <w:r w:rsidR="00607832" w:rsidRPr="00607832">
        <w:rPr>
          <w:szCs w:val="24"/>
        </w:rPr>
        <w:t xml:space="preserve"> castes or minority religious groups frequently face a double whamm</w:t>
      </w:r>
      <w:r w:rsidR="00C943A1">
        <w:rPr>
          <w:szCs w:val="24"/>
        </w:rPr>
        <w:t>y</w:t>
      </w:r>
      <w:r w:rsidR="007E674C">
        <w:rPr>
          <w:szCs w:val="24"/>
        </w:rPr>
        <w:t>,</w:t>
      </w:r>
      <w:r w:rsidR="00C943A1">
        <w:rPr>
          <w:szCs w:val="24"/>
        </w:rPr>
        <w:t xml:space="preserve"> as</w:t>
      </w:r>
      <w:r w:rsidR="00607832" w:rsidRPr="00607832">
        <w:rPr>
          <w:szCs w:val="24"/>
        </w:rPr>
        <w:t xml:space="preserve"> they are</w:t>
      </w:r>
      <w:r w:rsidR="009D4320">
        <w:rPr>
          <w:szCs w:val="24"/>
        </w:rPr>
        <w:t xml:space="preserve"> both</w:t>
      </w:r>
      <w:r w:rsidR="00607832" w:rsidRPr="00607832">
        <w:rPr>
          <w:szCs w:val="24"/>
        </w:rPr>
        <w:t xml:space="preserve"> targeted by the accused and overlooked by indifferent enforcement </w:t>
      </w:r>
      <w:r w:rsidR="00607832">
        <w:rPr>
          <w:szCs w:val="24"/>
        </w:rPr>
        <w:t xml:space="preserve">officials. </w:t>
      </w:r>
      <w:r w:rsidR="00324995" w:rsidRPr="00324995">
        <w:rPr>
          <w:szCs w:val="24"/>
        </w:rPr>
        <w:t>For instance,</w:t>
      </w:r>
      <w:r w:rsidR="003C3031">
        <w:rPr>
          <w:szCs w:val="24"/>
        </w:rPr>
        <w:t xml:space="preserve"> </w:t>
      </w:r>
      <w:r w:rsidR="00324995" w:rsidRPr="00324995">
        <w:rPr>
          <w:szCs w:val="24"/>
        </w:rPr>
        <w:t xml:space="preserve">Dalit witnesses in inter-caste violence cases </w:t>
      </w:r>
      <w:r w:rsidR="00A76701">
        <w:rPr>
          <w:szCs w:val="24"/>
        </w:rPr>
        <w:t>faced</w:t>
      </w:r>
      <w:r w:rsidR="00324995" w:rsidRPr="00324995">
        <w:rPr>
          <w:szCs w:val="24"/>
        </w:rPr>
        <w:t xml:space="preserve"> threats not only from accused parties but </w:t>
      </w:r>
      <w:r w:rsidR="00676FAB">
        <w:rPr>
          <w:szCs w:val="24"/>
        </w:rPr>
        <w:t xml:space="preserve">also </w:t>
      </w:r>
      <w:r w:rsidR="00324995" w:rsidRPr="00324995">
        <w:rPr>
          <w:szCs w:val="24"/>
        </w:rPr>
        <w:t>from local officials and political intermediaries</w:t>
      </w:r>
      <w:r w:rsidR="00676FAB">
        <w:rPr>
          <w:szCs w:val="24"/>
        </w:rPr>
        <w:t>. Th</w:t>
      </w:r>
      <w:r w:rsidR="00D86446">
        <w:rPr>
          <w:szCs w:val="24"/>
        </w:rPr>
        <w:t>ey were left without any access</w:t>
      </w:r>
      <w:r w:rsidR="00324995" w:rsidRPr="00324995">
        <w:rPr>
          <w:szCs w:val="24"/>
        </w:rPr>
        <w:t xml:space="preserve"> to impartial protection services</w:t>
      </w:r>
      <w:r w:rsidR="00676FAB">
        <w:rPr>
          <w:szCs w:val="24"/>
        </w:rPr>
        <w:t>.</w:t>
      </w:r>
      <w:r w:rsidR="00324995" w:rsidRPr="00324995">
        <w:rPr>
          <w:szCs w:val="24"/>
        </w:rPr>
        <w:t xml:space="preserve"> </w:t>
      </w:r>
      <w:r w:rsidR="000F2A09" w:rsidRPr="000F2A09">
        <w:rPr>
          <w:szCs w:val="24"/>
        </w:rPr>
        <w:t>These intersecting issues call for a more nuanced protection model, which India currently lacks.</w:t>
      </w:r>
      <w:r w:rsidR="008537CB">
        <w:rPr>
          <w:rStyle w:val="FootnoteReference"/>
          <w:szCs w:val="24"/>
        </w:rPr>
        <w:footnoteReference w:id="17"/>
      </w:r>
    </w:p>
    <w:p w14:paraId="77919C7E" w14:textId="60FCE264" w:rsidR="00324995" w:rsidRPr="00324995" w:rsidRDefault="00324995" w:rsidP="0017713C">
      <w:pPr>
        <w:rPr>
          <w:szCs w:val="24"/>
        </w:rPr>
      </w:pPr>
      <w:r w:rsidRPr="00324995">
        <w:rPr>
          <w:szCs w:val="24"/>
        </w:rPr>
        <w:t xml:space="preserve">Witness security is an expensive </w:t>
      </w:r>
      <w:r w:rsidR="006C7ACC">
        <w:rPr>
          <w:szCs w:val="24"/>
        </w:rPr>
        <w:t>endeavour</w:t>
      </w:r>
      <w:r w:rsidR="0025303D">
        <w:rPr>
          <w:szCs w:val="24"/>
        </w:rPr>
        <w:t xml:space="preserve"> which </w:t>
      </w:r>
      <w:r w:rsidRPr="00324995">
        <w:rPr>
          <w:szCs w:val="24"/>
        </w:rPr>
        <w:t>requir</w:t>
      </w:r>
      <w:r w:rsidR="0025303D">
        <w:rPr>
          <w:szCs w:val="24"/>
        </w:rPr>
        <w:t>es sufficient</w:t>
      </w:r>
      <w:r w:rsidRPr="00324995">
        <w:rPr>
          <w:szCs w:val="24"/>
        </w:rPr>
        <w:t xml:space="preserve"> manpower, housing</w:t>
      </w:r>
      <w:r w:rsidR="006C7ACC">
        <w:rPr>
          <w:szCs w:val="24"/>
        </w:rPr>
        <w:t xml:space="preserve"> and relocation</w:t>
      </w:r>
      <w:r w:rsidRPr="00324995">
        <w:rPr>
          <w:szCs w:val="24"/>
        </w:rPr>
        <w:t xml:space="preserve">, secure transport, and employment </w:t>
      </w:r>
      <w:r w:rsidR="006C7ACC">
        <w:rPr>
          <w:szCs w:val="24"/>
        </w:rPr>
        <w:t>assistance</w:t>
      </w:r>
      <w:r w:rsidR="00CE0807" w:rsidRPr="00324995">
        <w:rPr>
          <w:szCs w:val="24"/>
        </w:rPr>
        <w:t>.</w:t>
      </w:r>
      <w:r w:rsidR="00CE0807" w:rsidRPr="001059B4">
        <w:rPr>
          <w:szCs w:val="24"/>
        </w:rPr>
        <w:t xml:space="preserve"> </w:t>
      </w:r>
      <w:r w:rsidR="00CE0807">
        <w:rPr>
          <w:szCs w:val="24"/>
        </w:rPr>
        <w:t xml:space="preserve">An estimate of 7 lakhs </w:t>
      </w:r>
      <w:r w:rsidR="00012983">
        <w:rPr>
          <w:szCs w:val="24"/>
        </w:rPr>
        <w:t>could be</w:t>
      </w:r>
      <w:r w:rsidR="00CE0807">
        <w:rPr>
          <w:szCs w:val="24"/>
        </w:rPr>
        <w:t xml:space="preserve"> incurred for providing security to a witness for one year.</w:t>
      </w:r>
      <w:r w:rsidR="00CE0807" w:rsidRPr="00324995">
        <w:rPr>
          <w:szCs w:val="24"/>
        </w:rPr>
        <w:t xml:space="preserve"> </w:t>
      </w:r>
      <w:r w:rsidR="00CE0807" w:rsidRPr="00337425">
        <w:rPr>
          <w:szCs w:val="24"/>
        </w:rPr>
        <w:t>T</w:t>
      </w:r>
      <w:r w:rsidRPr="00337425">
        <w:rPr>
          <w:szCs w:val="24"/>
        </w:rPr>
        <w:t xml:space="preserve">he Witness Protection Fund </w:t>
      </w:r>
      <w:r w:rsidR="00696206" w:rsidRPr="00337425">
        <w:rPr>
          <w:szCs w:val="24"/>
        </w:rPr>
        <w:t>has</w:t>
      </w:r>
      <w:r w:rsidR="00696206">
        <w:rPr>
          <w:szCs w:val="24"/>
        </w:rPr>
        <w:t xml:space="preserve"> been </w:t>
      </w:r>
      <w:r w:rsidRPr="00324995">
        <w:rPr>
          <w:szCs w:val="24"/>
        </w:rPr>
        <w:t>established to meet these needs</w:t>
      </w:r>
      <w:r w:rsidR="00ED73BB">
        <w:rPr>
          <w:szCs w:val="24"/>
        </w:rPr>
        <w:t>,</w:t>
      </w:r>
      <w:r w:rsidR="00696206">
        <w:rPr>
          <w:szCs w:val="24"/>
        </w:rPr>
        <w:t xml:space="preserve"> but its</w:t>
      </w:r>
      <w:r w:rsidRPr="00324995">
        <w:rPr>
          <w:szCs w:val="24"/>
        </w:rPr>
        <w:t xml:space="preserve"> allocations remain erratic</w:t>
      </w:r>
      <w:r w:rsidR="00696206">
        <w:rPr>
          <w:szCs w:val="24"/>
        </w:rPr>
        <w:t xml:space="preserve"> and vary </w:t>
      </w:r>
      <w:r w:rsidRPr="00324995">
        <w:rPr>
          <w:szCs w:val="24"/>
        </w:rPr>
        <w:t>across states.</w:t>
      </w:r>
      <w:r w:rsidR="006475B5" w:rsidRPr="006475B5">
        <w:rPr>
          <w:rFonts w:cs="Times New Roman"/>
          <w:szCs w:val="24"/>
        </w:rPr>
        <w:t xml:space="preserve"> </w:t>
      </w:r>
      <w:r w:rsidR="00685B66">
        <w:rPr>
          <w:rFonts w:cs="Times New Roman"/>
          <w:szCs w:val="24"/>
        </w:rPr>
        <w:t>The</w:t>
      </w:r>
      <w:r w:rsidR="006475B5" w:rsidRPr="008C6986">
        <w:rPr>
          <w:rFonts w:cs="Times New Roman"/>
          <w:szCs w:val="24"/>
        </w:rPr>
        <w:t xml:space="preserve"> scheme does not specify a fixed budget for </w:t>
      </w:r>
      <w:r w:rsidR="00685B66">
        <w:rPr>
          <w:rFonts w:cs="Times New Roman"/>
          <w:szCs w:val="24"/>
        </w:rPr>
        <w:t>implementing</w:t>
      </w:r>
      <w:r w:rsidR="006475B5" w:rsidRPr="008C6986">
        <w:rPr>
          <w:rFonts w:cs="Times New Roman"/>
          <w:szCs w:val="24"/>
        </w:rPr>
        <w:t xml:space="preserve"> the Witness Protection Program, which may vary from </w:t>
      </w:r>
      <w:r w:rsidR="001F3909">
        <w:rPr>
          <w:rFonts w:cs="Times New Roman"/>
          <w:szCs w:val="24"/>
        </w:rPr>
        <w:t>one</w:t>
      </w:r>
      <w:r w:rsidR="006475B5" w:rsidRPr="008C6986">
        <w:rPr>
          <w:rFonts w:cs="Times New Roman"/>
          <w:szCs w:val="24"/>
        </w:rPr>
        <w:t xml:space="preserve"> state to another based on the necessity and significance of witness protection</w:t>
      </w:r>
      <w:r w:rsidR="00685B66">
        <w:rPr>
          <w:rFonts w:cs="Times New Roman"/>
          <w:szCs w:val="24"/>
        </w:rPr>
        <w:t>.</w:t>
      </w:r>
      <w:r w:rsidR="00570045" w:rsidRPr="00570045">
        <w:rPr>
          <w:rFonts w:ascii="Arial" w:hAnsi="Arial" w:cs="Arial"/>
          <w:color w:val="000000"/>
          <w:sz w:val="27"/>
          <w:szCs w:val="27"/>
          <w:shd w:val="clear" w:color="auto" w:fill="F4F5F6"/>
        </w:rPr>
        <w:t xml:space="preserve"> </w:t>
      </w:r>
      <w:r w:rsidR="00570045" w:rsidRPr="00570045">
        <w:rPr>
          <w:szCs w:val="24"/>
        </w:rPr>
        <w:t xml:space="preserve">Unlike countries such as the US or South Africa, which have </w:t>
      </w:r>
      <w:r w:rsidR="00685B66">
        <w:rPr>
          <w:szCs w:val="24"/>
        </w:rPr>
        <w:t>centralised</w:t>
      </w:r>
      <w:r w:rsidR="00570045" w:rsidRPr="00570045">
        <w:rPr>
          <w:szCs w:val="24"/>
        </w:rPr>
        <w:t xml:space="preserve"> budgets, India places the financial burden on individual states</w:t>
      </w:r>
      <w:r w:rsidR="000A6FEB">
        <w:rPr>
          <w:szCs w:val="24"/>
        </w:rPr>
        <w:t>.</w:t>
      </w:r>
      <w:r w:rsidR="000B6C15">
        <w:rPr>
          <w:szCs w:val="24"/>
        </w:rPr>
        <w:t xml:space="preserve"> The longer </w:t>
      </w:r>
      <w:r w:rsidR="00711E5E">
        <w:rPr>
          <w:szCs w:val="24"/>
        </w:rPr>
        <w:t xml:space="preserve">the trial, </w:t>
      </w:r>
      <w:r w:rsidR="00ED73BB">
        <w:rPr>
          <w:szCs w:val="24"/>
        </w:rPr>
        <w:t xml:space="preserve">the </w:t>
      </w:r>
      <w:r w:rsidR="00711E5E">
        <w:rPr>
          <w:szCs w:val="24"/>
        </w:rPr>
        <w:t xml:space="preserve">longer the witnesses need </w:t>
      </w:r>
      <w:r w:rsidR="00012F7A">
        <w:rPr>
          <w:szCs w:val="24"/>
        </w:rPr>
        <w:t xml:space="preserve">protection and that adds to the </w:t>
      </w:r>
      <w:r w:rsidR="00ED73BB">
        <w:rPr>
          <w:szCs w:val="24"/>
        </w:rPr>
        <w:t>state's</w:t>
      </w:r>
      <w:r w:rsidR="00012F7A">
        <w:rPr>
          <w:szCs w:val="24"/>
        </w:rPr>
        <w:t xml:space="preserve"> expenses.</w:t>
      </w:r>
      <w:r w:rsidR="000A6FEB">
        <w:rPr>
          <w:szCs w:val="24"/>
        </w:rPr>
        <w:t xml:space="preserve"> </w:t>
      </w:r>
      <w:r w:rsidR="00F80625" w:rsidRPr="00F80625">
        <w:rPr>
          <w:szCs w:val="24"/>
        </w:rPr>
        <w:t>Moreover, there are no clear provisions for employment protection or income compensation for witnesses, many of whom risk losing their jobs and facing economic instability during lengthy trials</w:t>
      </w:r>
      <w:r w:rsidR="00F80625">
        <w:rPr>
          <w:szCs w:val="24"/>
        </w:rPr>
        <w:t xml:space="preserve">. </w:t>
      </w:r>
      <w:r w:rsidRPr="00324995">
        <w:rPr>
          <w:szCs w:val="24"/>
        </w:rPr>
        <w:t xml:space="preserve">This economic </w:t>
      </w:r>
      <w:r w:rsidRPr="00324995">
        <w:rPr>
          <w:szCs w:val="24"/>
        </w:rPr>
        <w:lastRenderedPageBreak/>
        <w:t>vulnerability is often exploited by</w:t>
      </w:r>
      <w:r w:rsidR="00B243D6">
        <w:rPr>
          <w:szCs w:val="24"/>
        </w:rPr>
        <w:t xml:space="preserve"> </w:t>
      </w:r>
      <w:r w:rsidRPr="00324995">
        <w:rPr>
          <w:szCs w:val="24"/>
        </w:rPr>
        <w:t>powerful</w:t>
      </w:r>
      <w:r w:rsidR="008B092E">
        <w:rPr>
          <w:szCs w:val="24"/>
        </w:rPr>
        <w:t xml:space="preserve"> accused par</w:t>
      </w:r>
      <w:r w:rsidR="00B243D6">
        <w:rPr>
          <w:szCs w:val="24"/>
        </w:rPr>
        <w:t>ties</w:t>
      </w:r>
      <w:r w:rsidR="008B092E">
        <w:rPr>
          <w:szCs w:val="24"/>
        </w:rPr>
        <w:t xml:space="preserve"> who may offer bribes or </w:t>
      </w:r>
      <w:r w:rsidR="00B243D6">
        <w:rPr>
          <w:szCs w:val="24"/>
        </w:rPr>
        <w:t>threats of job loss.</w:t>
      </w:r>
      <w:r w:rsidR="00D47B9D">
        <w:rPr>
          <w:szCs w:val="24"/>
        </w:rPr>
        <w:t xml:space="preserve"> </w:t>
      </w:r>
    </w:p>
    <w:p w14:paraId="282D74BA" w14:textId="2D757F37" w:rsidR="00324995" w:rsidRPr="005F13D3" w:rsidRDefault="00324995" w:rsidP="0017713C">
      <w:pPr>
        <w:rPr>
          <w:szCs w:val="24"/>
        </w:rPr>
      </w:pPr>
      <w:r w:rsidRPr="005F13D3">
        <w:rPr>
          <w:szCs w:val="24"/>
        </w:rPr>
        <w:t xml:space="preserve">Testifying in court, </w:t>
      </w:r>
      <w:r w:rsidR="005208ED" w:rsidRPr="005208ED">
        <w:rPr>
          <w:szCs w:val="24"/>
        </w:rPr>
        <w:t>particularly in cases of violent crime or communal violence</w:t>
      </w:r>
      <w:r w:rsidRPr="005F13D3">
        <w:rPr>
          <w:szCs w:val="24"/>
        </w:rPr>
        <w:t>,</w:t>
      </w:r>
      <w:r w:rsidR="00C63952">
        <w:rPr>
          <w:szCs w:val="24"/>
        </w:rPr>
        <w:t xml:space="preserve"> can lead to</w:t>
      </w:r>
      <w:r w:rsidRPr="005F13D3">
        <w:rPr>
          <w:szCs w:val="24"/>
        </w:rPr>
        <w:t xml:space="preserve"> severe psychological stress,</w:t>
      </w:r>
      <w:r w:rsidR="00C63952">
        <w:rPr>
          <w:szCs w:val="24"/>
        </w:rPr>
        <w:t xml:space="preserve"> </w:t>
      </w:r>
      <w:r w:rsidRPr="00012983">
        <w:rPr>
          <w:szCs w:val="24"/>
        </w:rPr>
        <w:t>anxiety, depression, or post-traumatic symptoms.</w:t>
      </w:r>
      <w:r w:rsidRPr="005F13D3">
        <w:rPr>
          <w:szCs w:val="24"/>
        </w:rPr>
        <w:t xml:space="preserve"> </w:t>
      </w:r>
      <w:r w:rsidR="00886A78" w:rsidRPr="008C6986">
        <w:rPr>
          <w:rFonts w:cs="Times New Roman"/>
          <w:szCs w:val="24"/>
        </w:rPr>
        <w:t>Another area where the Witness Protection Scheme (WPS) lacks provisions is for the emotional and psychological well-being of witnesses</w:t>
      </w:r>
      <w:r w:rsidR="00886A78">
        <w:rPr>
          <w:szCs w:val="24"/>
        </w:rPr>
        <w:t xml:space="preserve">. </w:t>
      </w:r>
      <w:r w:rsidR="00960B8D">
        <w:rPr>
          <w:szCs w:val="24"/>
        </w:rPr>
        <w:t>T</w:t>
      </w:r>
      <w:r w:rsidR="00C63952">
        <w:rPr>
          <w:szCs w:val="24"/>
        </w:rPr>
        <w:t xml:space="preserve">he </w:t>
      </w:r>
      <w:r w:rsidR="000F06B7">
        <w:rPr>
          <w:szCs w:val="24"/>
        </w:rPr>
        <w:t>scheme's</w:t>
      </w:r>
      <w:r w:rsidR="00D06D2F">
        <w:rPr>
          <w:szCs w:val="24"/>
        </w:rPr>
        <w:t xml:space="preserve"> </w:t>
      </w:r>
      <w:r w:rsidR="000F06B7">
        <w:rPr>
          <w:szCs w:val="24"/>
        </w:rPr>
        <w:t xml:space="preserve">focus is confined to </w:t>
      </w:r>
      <w:r w:rsidRPr="005F13D3">
        <w:rPr>
          <w:szCs w:val="24"/>
        </w:rPr>
        <w:t xml:space="preserve">physical safety, with negligible investment in </w:t>
      </w:r>
      <w:r w:rsidR="00C63952">
        <w:rPr>
          <w:szCs w:val="24"/>
        </w:rPr>
        <w:t>counselling</w:t>
      </w:r>
      <w:r w:rsidRPr="005F13D3">
        <w:rPr>
          <w:szCs w:val="24"/>
        </w:rPr>
        <w:t xml:space="preserve"> services, psychiatric support, or trauma care for witnesses. </w:t>
      </w:r>
      <w:r w:rsidR="009228C7" w:rsidRPr="008C6986">
        <w:rPr>
          <w:rFonts w:cs="Times New Roman"/>
          <w:szCs w:val="24"/>
        </w:rPr>
        <w:t>Child witnesses are not adequately</w:t>
      </w:r>
      <w:r w:rsidR="00983A5E">
        <w:rPr>
          <w:rFonts w:cs="Times New Roman"/>
          <w:szCs w:val="24"/>
        </w:rPr>
        <w:t xml:space="preserve"> covered </w:t>
      </w:r>
      <w:r w:rsidR="009228C7" w:rsidRPr="008C6986">
        <w:rPr>
          <w:rFonts w:cs="Times New Roman"/>
          <w:szCs w:val="24"/>
        </w:rPr>
        <w:t>by WPS regulations</w:t>
      </w:r>
      <w:r w:rsidR="009228C7">
        <w:rPr>
          <w:szCs w:val="24"/>
        </w:rPr>
        <w:t xml:space="preserve">. </w:t>
      </w:r>
      <w:r w:rsidR="00546B63" w:rsidRPr="00546B63">
        <w:rPr>
          <w:szCs w:val="24"/>
        </w:rPr>
        <w:t xml:space="preserve">Recommendations like those from the </w:t>
      </w:r>
      <w:r w:rsidR="00B96539">
        <w:rPr>
          <w:szCs w:val="24"/>
        </w:rPr>
        <w:t>“</w:t>
      </w:r>
      <w:r w:rsidR="00546B63" w:rsidRPr="00B96539">
        <w:rPr>
          <w:szCs w:val="24"/>
        </w:rPr>
        <w:t xml:space="preserve">UN Model Law on </w:t>
      </w:r>
      <w:r w:rsidR="00B96539" w:rsidRPr="00B96539">
        <w:rPr>
          <w:rFonts w:cs="Times New Roman"/>
          <w:szCs w:val="24"/>
        </w:rPr>
        <w:t>Justice in Matters Involving Child Victims and Witnesses in Crime"</w:t>
      </w:r>
      <w:r w:rsidR="00B96539" w:rsidRPr="008C6986">
        <w:rPr>
          <w:rFonts w:cs="Times New Roman"/>
          <w:szCs w:val="24"/>
        </w:rPr>
        <w:t xml:space="preserve"> </w:t>
      </w:r>
      <w:r w:rsidR="00B96539">
        <w:rPr>
          <w:rFonts w:cs="Times New Roman"/>
          <w:szCs w:val="24"/>
        </w:rPr>
        <w:t xml:space="preserve">of 2009 </w:t>
      </w:r>
      <w:r w:rsidR="00ED73BB">
        <w:rPr>
          <w:szCs w:val="24"/>
        </w:rPr>
        <w:t>emphasise</w:t>
      </w:r>
      <w:r w:rsidR="00546B63" w:rsidRPr="00546B63">
        <w:rPr>
          <w:szCs w:val="24"/>
        </w:rPr>
        <w:t xml:space="preserve"> the need for </w:t>
      </w:r>
      <w:r w:rsidR="00EA251F">
        <w:rPr>
          <w:szCs w:val="24"/>
        </w:rPr>
        <w:t>adopting</w:t>
      </w:r>
      <w:r w:rsidR="00B96539">
        <w:rPr>
          <w:szCs w:val="24"/>
        </w:rPr>
        <w:t xml:space="preserve"> </w:t>
      </w:r>
      <w:r w:rsidR="0067695A">
        <w:rPr>
          <w:szCs w:val="24"/>
        </w:rPr>
        <w:t xml:space="preserve">efficient practices </w:t>
      </w:r>
      <w:r w:rsidR="00F1159C">
        <w:rPr>
          <w:szCs w:val="24"/>
        </w:rPr>
        <w:t xml:space="preserve">such as </w:t>
      </w:r>
      <w:r w:rsidR="00ED73BB">
        <w:rPr>
          <w:szCs w:val="24"/>
        </w:rPr>
        <w:t>specialised</w:t>
      </w:r>
      <w:r w:rsidR="00EA251F">
        <w:rPr>
          <w:szCs w:val="24"/>
        </w:rPr>
        <w:t xml:space="preserve"> training for investigators</w:t>
      </w:r>
      <w:r w:rsidR="00E75B93">
        <w:rPr>
          <w:szCs w:val="24"/>
        </w:rPr>
        <w:t xml:space="preserve"> or </w:t>
      </w:r>
      <w:r w:rsidR="00EA251F">
        <w:rPr>
          <w:szCs w:val="24"/>
        </w:rPr>
        <w:t>negation of repetitive questioning,</w:t>
      </w:r>
      <w:r w:rsidR="00546B63" w:rsidRPr="00546B63">
        <w:rPr>
          <w:szCs w:val="24"/>
        </w:rPr>
        <w:t xml:space="preserve"> </w:t>
      </w:r>
      <w:r w:rsidR="00E75B93">
        <w:rPr>
          <w:szCs w:val="24"/>
        </w:rPr>
        <w:t xml:space="preserve">all of which could lead to better handling of child victims </w:t>
      </w:r>
      <w:r w:rsidR="0014012B">
        <w:rPr>
          <w:szCs w:val="24"/>
        </w:rPr>
        <w:t>undergoing distress and trauma.</w:t>
      </w:r>
    </w:p>
    <w:p w14:paraId="78219114" w14:textId="6E0ADE31" w:rsidR="000132D3" w:rsidRDefault="00460281" w:rsidP="0017713C">
      <w:pPr>
        <w:rPr>
          <w:szCs w:val="24"/>
        </w:rPr>
      </w:pPr>
      <w:r>
        <w:rPr>
          <w:szCs w:val="24"/>
        </w:rPr>
        <w:t xml:space="preserve">One of the fundamental issues with </w:t>
      </w:r>
      <w:r w:rsidR="00324995" w:rsidRPr="00324995">
        <w:rPr>
          <w:szCs w:val="24"/>
        </w:rPr>
        <w:t xml:space="preserve">the Witness Protection Scheme </w:t>
      </w:r>
      <w:r>
        <w:rPr>
          <w:szCs w:val="24"/>
        </w:rPr>
        <w:t xml:space="preserve">is </w:t>
      </w:r>
      <w:r w:rsidR="007751BB" w:rsidRPr="00337425">
        <w:rPr>
          <w:szCs w:val="24"/>
        </w:rPr>
        <w:t>-</w:t>
      </w:r>
      <w:r w:rsidR="00324995" w:rsidRPr="00337425">
        <w:rPr>
          <w:szCs w:val="24"/>
        </w:rPr>
        <w:t xml:space="preserve"> it </w:t>
      </w:r>
      <w:r w:rsidRPr="00337425">
        <w:rPr>
          <w:szCs w:val="24"/>
        </w:rPr>
        <w:t xml:space="preserve">is </w:t>
      </w:r>
      <w:r w:rsidR="00324995" w:rsidRPr="00337425">
        <w:rPr>
          <w:szCs w:val="24"/>
        </w:rPr>
        <w:t>not a formal statute</w:t>
      </w:r>
      <w:r w:rsidR="00B84725" w:rsidRPr="00337425">
        <w:rPr>
          <w:szCs w:val="24"/>
        </w:rPr>
        <w:t xml:space="preserve"> or act of law</w:t>
      </w:r>
      <w:r w:rsidR="00324995" w:rsidRPr="00337425">
        <w:rPr>
          <w:szCs w:val="24"/>
        </w:rPr>
        <w:t>.</w:t>
      </w:r>
      <w:r w:rsidR="00324995" w:rsidRPr="00324995">
        <w:rPr>
          <w:szCs w:val="24"/>
        </w:rPr>
        <w:t xml:space="preserve"> Th</w:t>
      </w:r>
      <w:r w:rsidR="007751BB">
        <w:rPr>
          <w:szCs w:val="24"/>
        </w:rPr>
        <w:t xml:space="preserve">at implies it lacks </w:t>
      </w:r>
      <w:r w:rsidR="00324995" w:rsidRPr="00324995">
        <w:rPr>
          <w:szCs w:val="24"/>
        </w:rPr>
        <w:t>binding legislative authority</w:t>
      </w:r>
      <w:r w:rsidR="007751BB">
        <w:rPr>
          <w:szCs w:val="24"/>
        </w:rPr>
        <w:t>, which</w:t>
      </w:r>
      <w:r w:rsidR="00324995" w:rsidRPr="00324995">
        <w:rPr>
          <w:szCs w:val="24"/>
        </w:rPr>
        <w:t xml:space="preserve"> dilutes its enforceability and allows discretionary implementation. </w:t>
      </w:r>
      <w:r w:rsidR="00224DCE">
        <w:rPr>
          <w:szCs w:val="24"/>
        </w:rPr>
        <w:t xml:space="preserve">There </w:t>
      </w:r>
      <w:r w:rsidR="00AA2151">
        <w:rPr>
          <w:szCs w:val="24"/>
        </w:rPr>
        <w:t xml:space="preserve">are no </w:t>
      </w:r>
      <w:r w:rsidR="00224DCE">
        <w:rPr>
          <w:szCs w:val="24"/>
        </w:rPr>
        <w:t>consequences for breach of the provisions of this scheme</w:t>
      </w:r>
      <w:r w:rsidR="00AA2151">
        <w:rPr>
          <w:szCs w:val="24"/>
        </w:rPr>
        <w:t xml:space="preserve">. </w:t>
      </w:r>
      <w:r w:rsidR="00224DCE">
        <w:rPr>
          <w:szCs w:val="24"/>
        </w:rPr>
        <w:t xml:space="preserve"> </w:t>
      </w:r>
      <w:r w:rsidR="005D141B" w:rsidRPr="005D141B">
        <w:rPr>
          <w:szCs w:val="24"/>
        </w:rPr>
        <w:t>Consequently, we see varying rates of adoption across states and a reluctance among trial courts to issue protective orders proactively.</w:t>
      </w:r>
      <w:r w:rsidR="005D141B">
        <w:rPr>
          <w:szCs w:val="24"/>
        </w:rPr>
        <w:t xml:space="preserve"> </w:t>
      </w:r>
      <w:r w:rsidR="0004094F" w:rsidRPr="0004094F">
        <w:rPr>
          <w:szCs w:val="24"/>
        </w:rPr>
        <w:t>Without such a binding authority, India’s scheme is left vulnerable to institutional neglect.</w:t>
      </w:r>
    </w:p>
    <w:p w14:paraId="30A2BBC9" w14:textId="7B3F0098" w:rsidR="007A4BFF" w:rsidRPr="00324995" w:rsidRDefault="000132D3" w:rsidP="000132D3">
      <w:pPr>
        <w:spacing w:before="0" w:after="160" w:line="259" w:lineRule="auto"/>
        <w:jc w:val="left"/>
        <w:rPr>
          <w:szCs w:val="24"/>
        </w:rPr>
      </w:pPr>
      <w:r>
        <w:rPr>
          <w:szCs w:val="24"/>
        </w:rPr>
        <w:br w:type="page"/>
      </w:r>
    </w:p>
    <w:p w14:paraId="3AC7AA98" w14:textId="77777777" w:rsidR="0017713C" w:rsidRPr="005F13D3" w:rsidRDefault="0017713C" w:rsidP="0017713C">
      <w:pPr>
        <w:pStyle w:val="Heading2"/>
        <w:pBdr>
          <w:bottom w:val="single" w:sz="4" w:space="1" w:color="auto"/>
        </w:pBdr>
        <w:rPr>
          <w:szCs w:val="24"/>
        </w:rPr>
      </w:pPr>
      <w:r w:rsidRPr="005F13D3">
        <w:rPr>
          <w:szCs w:val="24"/>
        </w:rPr>
        <w:lastRenderedPageBreak/>
        <w:t>Recommendations for Strengthening Witness Protection in India</w:t>
      </w:r>
    </w:p>
    <w:p w14:paraId="565029A9" w14:textId="52C5CBB2" w:rsidR="00CF24F1" w:rsidRDefault="00CF24F1" w:rsidP="0017713C">
      <w:pPr>
        <w:rPr>
          <w:szCs w:val="24"/>
        </w:rPr>
      </w:pPr>
      <w:r w:rsidRPr="00CF24F1">
        <w:rPr>
          <w:szCs w:val="24"/>
        </w:rPr>
        <w:t xml:space="preserve">For witness protection in India to be genuinely effective, it’s no longer enough to rely solely on executive guidelines. </w:t>
      </w:r>
      <w:r w:rsidRPr="00ED73BB">
        <w:rPr>
          <w:b/>
          <w:bCs/>
          <w:szCs w:val="24"/>
        </w:rPr>
        <w:t>What we truly need is a national law</w:t>
      </w:r>
      <w:r>
        <w:rPr>
          <w:szCs w:val="24"/>
        </w:rPr>
        <w:t xml:space="preserve"> - </w:t>
      </w:r>
      <w:r w:rsidRPr="00CF24F1">
        <w:rPr>
          <w:szCs w:val="24"/>
        </w:rPr>
        <w:t xml:space="preserve">one that not only guarantees protection as a legal right but also ensures consistent implementation across states. While initiatives like the 2025 schemes in Delhi and Goa, based on the Bharatiya Nagarik Suraksha Sanhita (BNSS), are steps in the right direction, they still operate within fragmented frameworks. A </w:t>
      </w:r>
      <w:r w:rsidR="00ED73BB">
        <w:rPr>
          <w:szCs w:val="24"/>
        </w:rPr>
        <w:t>centralised</w:t>
      </w:r>
      <w:r w:rsidRPr="00CF24F1">
        <w:rPr>
          <w:szCs w:val="24"/>
        </w:rPr>
        <w:t xml:space="preserve"> statute would unify efforts, give teeth to enforcement mechanisms, and impose clear consequences for any breaches.</w:t>
      </w:r>
    </w:p>
    <w:p w14:paraId="704297AB" w14:textId="7FACE285" w:rsidR="00C914AD" w:rsidRPr="004E1DD0" w:rsidRDefault="00CF24F1" w:rsidP="0017713C">
      <w:pPr>
        <w:rPr>
          <w:szCs w:val="24"/>
        </w:rPr>
      </w:pPr>
      <w:r>
        <w:rPr>
          <w:szCs w:val="24"/>
        </w:rPr>
        <w:t xml:space="preserve">We must rethink </w:t>
      </w:r>
      <w:r w:rsidR="00970DDF">
        <w:rPr>
          <w:szCs w:val="24"/>
        </w:rPr>
        <w:t xml:space="preserve">who has been holding the reins. </w:t>
      </w:r>
      <w:r w:rsidR="001F3909">
        <w:rPr>
          <w:szCs w:val="24"/>
        </w:rPr>
        <w:t>Police</w:t>
      </w:r>
      <w:r w:rsidR="0087461F">
        <w:rPr>
          <w:szCs w:val="24"/>
        </w:rPr>
        <w:t xml:space="preserve"> driven protection initiatives </w:t>
      </w:r>
      <w:r w:rsidR="00ED73BB">
        <w:rPr>
          <w:szCs w:val="24"/>
        </w:rPr>
        <w:t>have</w:t>
      </w:r>
      <w:r w:rsidR="00F50788">
        <w:rPr>
          <w:szCs w:val="24"/>
        </w:rPr>
        <w:t xml:space="preserve"> witnessed several flaws, especially the issue of </w:t>
      </w:r>
      <w:r w:rsidR="00A13F51">
        <w:rPr>
          <w:szCs w:val="24"/>
        </w:rPr>
        <w:t>their</w:t>
      </w:r>
      <w:r w:rsidR="00F50788">
        <w:rPr>
          <w:szCs w:val="24"/>
        </w:rPr>
        <w:t xml:space="preserve"> being</w:t>
      </w:r>
      <w:r w:rsidR="00A13F51">
        <w:rPr>
          <w:szCs w:val="24"/>
        </w:rPr>
        <w:t xml:space="preserve"> </w:t>
      </w:r>
      <w:r w:rsidR="00F50788">
        <w:rPr>
          <w:szCs w:val="24"/>
        </w:rPr>
        <w:t>vulnerable to political pressure</w:t>
      </w:r>
      <w:r w:rsidR="00DA54F7">
        <w:rPr>
          <w:szCs w:val="24"/>
        </w:rPr>
        <w:t xml:space="preserve">. </w:t>
      </w:r>
      <w:r w:rsidR="009266EB">
        <w:rPr>
          <w:szCs w:val="24"/>
        </w:rPr>
        <w:t xml:space="preserve">Recent </w:t>
      </w:r>
      <w:r w:rsidR="00A37FF8" w:rsidRPr="00A37FF8">
        <w:rPr>
          <w:szCs w:val="24"/>
        </w:rPr>
        <w:t>bomb threats sent via WhatsApp to leaders of the Jehovah’s Witness community in Kerala only highlight how easily these gaps can be exploited.</w:t>
      </w:r>
      <w:r w:rsidR="00A37FF8">
        <w:rPr>
          <w:rStyle w:val="FootnoteReference"/>
          <w:szCs w:val="24"/>
        </w:rPr>
        <w:footnoteReference w:id="18"/>
      </w:r>
      <w:r w:rsidR="000F5B44">
        <w:rPr>
          <w:szCs w:val="24"/>
        </w:rPr>
        <w:t xml:space="preserve"> To restore the faith, </w:t>
      </w:r>
      <w:r w:rsidR="000F5B44" w:rsidRPr="00FA0085">
        <w:rPr>
          <w:b/>
          <w:bCs/>
          <w:szCs w:val="24"/>
        </w:rPr>
        <w:t>independent protection authorities, free from police control, should be instituted</w:t>
      </w:r>
      <w:r w:rsidR="00A703F3">
        <w:rPr>
          <w:szCs w:val="24"/>
        </w:rPr>
        <w:t xml:space="preserve">. </w:t>
      </w:r>
      <w:r w:rsidR="00952CC6">
        <w:rPr>
          <w:szCs w:val="24"/>
        </w:rPr>
        <w:t xml:space="preserve">A statutory body led by retired judges and </w:t>
      </w:r>
      <w:r w:rsidR="00244293">
        <w:rPr>
          <w:szCs w:val="24"/>
        </w:rPr>
        <w:t xml:space="preserve">cyber-protection specialists </w:t>
      </w:r>
      <w:r w:rsidR="005A429B">
        <w:rPr>
          <w:szCs w:val="24"/>
        </w:rPr>
        <w:t>(based on the recent surge in cyber</w:t>
      </w:r>
      <w:r w:rsidR="00B42B0F">
        <w:rPr>
          <w:szCs w:val="24"/>
        </w:rPr>
        <w:t>-</w:t>
      </w:r>
      <w:r w:rsidR="005A429B">
        <w:rPr>
          <w:szCs w:val="24"/>
        </w:rPr>
        <w:t>crimes</w:t>
      </w:r>
      <w:r w:rsidR="00B42B0F">
        <w:rPr>
          <w:rStyle w:val="FootnoteReference"/>
          <w:szCs w:val="24"/>
        </w:rPr>
        <w:footnoteReference w:id="19"/>
      </w:r>
      <w:r w:rsidR="005A429B">
        <w:rPr>
          <w:szCs w:val="24"/>
        </w:rPr>
        <w:t>)</w:t>
      </w:r>
      <w:r w:rsidR="00B42B0F">
        <w:rPr>
          <w:szCs w:val="24"/>
        </w:rPr>
        <w:t xml:space="preserve"> </w:t>
      </w:r>
      <w:r w:rsidR="00B42B0F" w:rsidRPr="00B42B0F">
        <w:rPr>
          <w:szCs w:val="24"/>
        </w:rPr>
        <w:t>can bring both credibility and technical expertise to the table.</w:t>
      </w:r>
      <w:r w:rsidR="001516E7">
        <w:rPr>
          <w:szCs w:val="24"/>
        </w:rPr>
        <w:t xml:space="preserve"> Such a model could promote impartiality and rebuild witness confidence.</w:t>
      </w:r>
      <w:r w:rsidR="00E10C77">
        <w:rPr>
          <w:szCs w:val="24"/>
        </w:rPr>
        <w:t xml:space="preserve"> </w:t>
      </w:r>
      <w:r w:rsidR="00C914AD">
        <w:rPr>
          <w:szCs w:val="24"/>
        </w:rPr>
        <w:t>India has witnesse</w:t>
      </w:r>
      <w:r w:rsidR="00A40174">
        <w:rPr>
          <w:szCs w:val="24"/>
        </w:rPr>
        <w:t xml:space="preserve">d </w:t>
      </w:r>
      <w:r w:rsidR="00A40174" w:rsidRPr="00A40174">
        <w:rPr>
          <w:szCs w:val="24"/>
        </w:rPr>
        <w:t>digital arrest </w:t>
      </w:r>
      <w:r w:rsidR="004675E0">
        <w:rPr>
          <w:szCs w:val="24"/>
        </w:rPr>
        <w:t>scams costing</w:t>
      </w:r>
      <w:r w:rsidR="00A40174" w:rsidRPr="00A40174">
        <w:rPr>
          <w:szCs w:val="24"/>
        </w:rPr>
        <w:t> victims over </w:t>
      </w:r>
      <w:r w:rsidR="007111EC">
        <w:rPr>
          <w:szCs w:val="24"/>
        </w:rPr>
        <w:t>Rs 20</w:t>
      </w:r>
      <w:r w:rsidR="00A40174" w:rsidRPr="00A40174">
        <w:rPr>
          <w:szCs w:val="24"/>
        </w:rPr>
        <w:t>00 crore in 202</w:t>
      </w:r>
      <w:r w:rsidR="004675E0">
        <w:rPr>
          <w:szCs w:val="24"/>
        </w:rPr>
        <w:t xml:space="preserve">4 </w:t>
      </w:r>
      <w:r w:rsidR="00A40174">
        <w:rPr>
          <w:szCs w:val="24"/>
        </w:rPr>
        <w:t>alone.</w:t>
      </w:r>
      <w:r w:rsidR="00F70824">
        <w:rPr>
          <w:rStyle w:val="FootnoteReference"/>
          <w:szCs w:val="24"/>
        </w:rPr>
        <w:footnoteReference w:id="20"/>
      </w:r>
      <w:r w:rsidR="004675E0">
        <w:rPr>
          <w:szCs w:val="24"/>
        </w:rPr>
        <w:t xml:space="preserve"> </w:t>
      </w:r>
      <w:r w:rsidR="00EA0E85">
        <w:rPr>
          <w:szCs w:val="24"/>
        </w:rPr>
        <w:t xml:space="preserve">There is an alarming rise in </w:t>
      </w:r>
      <w:r w:rsidR="00097D1C">
        <w:rPr>
          <w:szCs w:val="24"/>
        </w:rPr>
        <w:t>cybercrimes</w:t>
      </w:r>
      <w:r w:rsidR="00EA0E85">
        <w:rPr>
          <w:szCs w:val="24"/>
        </w:rPr>
        <w:t xml:space="preserve">. To address </w:t>
      </w:r>
      <w:r w:rsidR="009933DC">
        <w:rPr>
          <w:szCs w:val="24"/>
        </w:rPr>
        <w:t>this issue and be future-proof</w:t>
      </w:r>
      <w:r w:rsidR="00097D1C">
        <w:rPr>
          <w:szCs w:val="24"/>
        </w:rPr>
        <w:t>,</w:t>
      </w:r>
      <w:r w:rsidR="009933DC">
        <w:rPr>
          <w:szCs w:val="24"/>
        </w:rPr>
        <w:t xml:space="preserve"> </w:t>
      </w:r>
      <w:r w:rsidR="009933DC" w:rsidRPr="00097D1C">
        <w:rPr>
          <w:b/>
          <w:bCs/>
          <w:szCs w:val="24"/>
        </w:rPr>
        <w:t xml:space="preserve">the </w:t>
      </w:r>
      <w:r w:rsidR="00FA0085" w:rsidRPr="00097D1C">
        <w:rPr>
          <w:b/>
          <w:bCs/>
          <w:szCs w:val="24"/>
        </w:rPr>
        <w:t>s</w:t>
      </w:r>
      <w:r w:rsidR="009933DC" w:rsidRPr="00097D1C">
        <w:rPr>
          <w:b/>
          <w:bCs/>
          <w:szCs w:val="24"/>
        </w:rPr>
        <w:t xml:space="preserve">cheme must incorporate </w:t>
      </w:r>
      <w:r w:rsidR="00097D1C">
        <w:rPr>
          <w:b/>
          <w:bCs/>
          <w:szCs w:val="24"/>
        </w:rPr>
        <w:t xml:space="preserve">a </w:t>
      </w:r>
      <w:r w:rsidR="009933DC" w:rsidRPr="00097D1C">
        <w:rPr>
          <w:b/>
          <w:bCs/>
          <w:szCs w:val="24"/>
        </w:rPr>
        <w:t>digital protection protocol</w:t>
      </w:r>
      <w:r w:rsidR="004D1013" w:rsidRPr="004E1DD0">
        <w:rPr>
          <w:szCs w:val="24"/>
        </w:rPr>
        <w:t>. This should include capabilities for quick social media takedowns, continuous cyber monitoring, encrypted communication, and digital anonymity so that they can better mitigate existing threats from WhatsApp, Telegram, and other social media sites.</w:t>
      </w:r>
    </w:p>
    <w:p w14:paraId="5EE3B4A3" w14:textId="0B409D46" w:rsidR="00111911" w:rsidRPr="00111911" w:rsidRDefault="00111911" w:rsidP="0017713C">
      <w:pPr>
        <w:rPr>
          <w:szCs w:val="24"/>
        </w:rPr>
      </w:pPr>
      <w:r w:rsidRPr="00111911">
        <w:rPr>
          <w:szCs w:val="24"/>
        </w:rPr>
        <w:t xml:space="preserve">It’s essential for the government to establish </w:t>
      </w:r>
      <w:r w:rsidRPr="00FA0085">
        <w:rPr>
          <w:b/>
          <w:bCs/>
          <w:szCs w:val="24"/>
        </w:rPr>
        <w:t xml:space="preserve">a </w:t>
      </w:r>
      <w:r w:rsidR="00E10C77" w:rsidRPr="00FA0085">
        <w:rPr>
          <w:b/>
          <w:bCs/>
          <w:szCs w:val="24"/>
        </w:rPr>
        <w:t>standardised</w:t>
      </w:r>
      <w:r w:rsidRPr="00FA0085">
        <w:rPr>
          <w:b/>
          <w:bCs/>
          <w:szCs w:val="24"/>
        </w:rPr>
        <w:t xml:space="preserve"> threat-assessment framework</w:t>
      </w:r>
      <w:r w:rsidRPr="00111911">
        <w:rPr>
          <w:szCs w:val="24"/>
        </w:rPr>
        <w:t xml:space="preserve"> that goes beyond the subjective nature of police reports. While Delhi and Haryana have already introduced structured threat categories A</w:t>
      </w:r>
      <w:r w:rsidR="001E104E">
        <w:rPr>
          <w:szCs w:val="24"/>
        </w:rPr>
        <w:t>,</w:t>
      </w:r>
      <w:r w:rsidR="004D1013">
        <w:rPr>
          <w:szCs w:val="24"/>
        </w:rPr>
        <w:t xml:space="preserve"> </w:t>
      </w:r>
      <w:r w:rsidR="001E104E">
        <w:rPr>
          <w:szCs w:val="24"/>
        </w:rPr>
        <w:t>B</w:t>
      </w:r>
      <w:r w:rsidR="00D1108D">
        <w:rPr>
          <w:szCs w:val="24"/>
        </w:rPr>
        <w:t>,</w:t>
      </w:r>
      <w:r w:rsidR="004D1013">
        <w:rPr>
          <w:szCs w:val="24"/>
        </w:rPr>
        <w:t xml:space="preserve"> </w:t>
      </w:r>
      <w:r w:rsidRPr="00111911">
        <w:rPr>
          <w:szCs w:val="24"/>
        </w:rPr>
        <w:t>C</w:t>
      </w:r>
      <w:r w:rsidR="004D1013">
        <w:rPr>
          <w:szCs w:val="24"/>
        </w:rPr>
        <w:t xml:space="preserve">, </w:t>
      </w:r>
      <w:r w:rsidRPr="00111911">
        <w:rPr>
          <w:szCs w:val="24"/>
        </w:rPr>
        <w:t xml:space="preserve">a comprehensive risk evaluation should also incorporate mental health assessments, social dynamics, and contextual factors, drawing from </w:t>
      </w:r>
      <w:r w:rsidRPr="00111911">
        <w:rPr>
          <w:szCs w:val="24"/>
        </w:rPr>
        <w:lastRenderedPageBreak/>
        <w:t>the UNODC’s best practices from 2009. Regular reassessments are a must to keep pace with evolving danger levels.</w:t>
      </w:r>
    </w:p>
    <w:p w14:paraId="6B9221EA" w14:textId="54546C0D" w:rsidR="0017713C" w:rsidRPr="00007D49" w:rsidRDefault="0017713C" w:rsidP="0017713C">
      <w:pPr>
        <w:rPr>
          <w:b/>
          <w:bCs/>
          <w:szCs w:val="24"/>
        </w:rPr>
      </w:pPr>
      <w:r w:rsidRPr="0017713C">
        <w:rPr>
          <w:b/>
          <w:bCs/>
          <w:szCs w:val="24"/>
        </w:rPr>
        <w:t>Budget transparency and statewide uniformity</w:t>
      </w:r>
      <w:r w:rsidRPr="0017713C">
        <w:rPr>
          <w:szCs w:val="24"/>
        </w:rPr>
        <w:t xml:space="preserve"> are vital. </w:t>
      </w:r>
      <w:r w:rsidR="00AA19A9" w:rsidRPr="00AA19A9">
        <w:rPr>
          <w:szCs w:val="24"/>
        </w:rPr>
        <w:t xml:space="preserve">Data indicates that the adoption of these measures has been </w:t>
      </w:r>
      <w:r w:rsidR="001E104E">
        <w:rPr>
          <w:szCs w:val="24"/>
        </w:rPr>
        <w:t xml:space="preserve">erratic - </w:t>
      </w:r>
      <w:r w:rsidR="00AA19A9" w:rsidRPr="00AA19A9">
        <w:rPr>
          <w:szCs w:val="24"/>
        </w:rPr>
        <w:t>Assam (2024), Chandigarh (2024), Goa (2025), Delhi (2025), and Haryana (2025) have all</w:t>
      </w:r>
      <w:r w:rsidR="00EB0572">
        <w:rPr>
          <w:szCs w:val="24"/>
        </w:rPr>
        <w:t xml:space="preserve"> started to </w:t>
      </w:r>
      <w:r w:rsidR="001F3909">
        <w:rPr>
          <w:szCs w:val="24"/>
        </w:rPr>
        <w:t>bring</w:t>
      </w:r>
      <w:r w:rsidR="00EB0572">
        <w:rPr>
          <w:szCs w:val="24"/>
        </w:rPr>
        <w:t xml:space="preserve"> </w:t>
      </w:r>
      <w:r w:rsidR="00AA19A9" w:rsidRPr="00AA19A9">
        <w:rPr>
          <w:szCs w:val="24"/>
        </w:rPr>
        <w:t>their schemes, but others are still lagging</w:t>
      </w:r>
      <w:r w:rsidR="00AA19A9">
        <w:rPr>
          <w:szCs w:val="24"/>
        </w:rPr>
        <w:t xml:space="preserve">. </w:t>
      </w:r>
      <w:r w:rsidR="001E104E" w:rsidRPr="001E104E">
        <w:rPr>
          <w:szCs w:val="24"/>
        </w:rPr>
        <w:t>By publishing annual reports that detail how funds are allocated, how they’re used, the number of protected witnesses, and the outcomes of cases, we can hold governments accountable and identify any funding gaps.</w:t>
      </w:r>
      <w:r w:rsidR="00007D49">
        <w:rPr>
          <w:b/>
          <w:bCs/>
          <w:szCs w:val="24"/>
        </w:rPr>
        <w:t xml:space="preserve"> </w:t>
      </w:r>
      <w:r w:rsidRPr="0017713C">
        <w:rPr>
          <w:szCs w:val="24"/>
        </w:rPr>
        <w:t xml:space="preserve">Protection programs must include </w:t>
      </w:r>
      <w:r w:rsidRPr="0017713C">
        <w:rPr>
          <w:b/>
          <w:bCs/>
          <w:szCs w:val="24"/>
        </w:rPr>
        <w:t>gender-sensitive and child-sensitive support</w:t>
      </w:r>
      <w:r w:rsidRPr="0017713C">
        <w:rPr>
          <w:szCs w:val="24"/>
        </w:rPr>
        <w:t>. With women comprising less than 10 </w:t>
      </w:r>
      <w:r w:rsidR="00B21D9C">
        <w:rPr>
          <w:szCs w:val="24"/>
        </w:rPr>
        <w:t xml:space="preserve">% </w:t>
      </w:r>
      <w:r w:rsidRPr="0017713C">
        <w:rPr>
          <w:szCs w:val="24"/>
        </w:rPr>
        <w:t>of police forces</w:t>
      </w:r>
      <w:r w:rsidR="00540F47">
        <w:rPr>
          <w:rStyle w:val="FootnoteReference"/>
          <w:szCs w:val="24"/>
        </w:rPr>
        <w:footnoteReference w:id="21"/>
      </w:r>
      <w:r w:rsidR="00097D1C">
        <w:rPr>
          <w:szCs w:val="24"/>
        </w:rPr>
        <w:t>, f</w:t>
      </w:r>
      <w:r w:rsidR="00097D1C">
        <w:t>emale</w:t>
      </w:r>
      <w:r w:rsidRPr="0017713C">
        <w:rPr>
          <w:szCs w:val="24"/>
        </w:rPr>
        <w:t xml:space="preserve"> witnesses</w:t>
      </w:r>
      <w:r w:rsidR="00B21D9C">
        <w:rPr>
          <w:szCs w:val="24"/>
        </w:rPr>
        <w:t xml:space="preserve"> - </w:t>
      </w:r>
      <w:r w:rsidRPr="0017713C">
        <w:rPr>
          <w:szCs w:val="24"/>
        </w:rPr>
        <w:t>especially those in sexual violence cases</w:t>
      </w:r>
      <w:r w:rsidR="00B21D9C">
        <w:rPr>
          <w:szCs w:val="24"/>
        </w:rPr>
        <w:t xml:space="preserve">- </w:t>
      </w:r>
      <w:r w:rsidR="00B21D9C" w:rsidRPr="00B21D9C">
        <w:rPr>
          <w:szCs w:val="24"/>
        </w:rPr>
        <w:t>a</w:t>
      </w:r>
      <w:r w:rsidR="007D79D5">
        <w:rPr>
          <w:szCs w:val="24"/>
        </w:rPr>
        <w:t>re</w:t>
      </w:r>
      <w:r w:rsidR="00B21D9C" w:rsidRPr="00B21D9C">
        <w:rPr>
          <w:szCs w:val="24"/>
        </w:rPr>
        <w:t xml:space="preserve"> particularly vulnerable</w:t>
      </w:r>
      <w:r w:rsidRPr="0017713C">
        <w:rPr>
          <w:szCs w:val="24"/>
        </w:rPr>
        <w:t xml:space="preserve">. </w:t>
      </w:r>
      <w:r w:rsidR="00B732FA" w:rsidRPr="00B732FA">
        <w:rPr>
          <w:szCs w:val="24"/>
        </w:rPr>
        <w:t xml:space="preserve">To address this, we should ensure that programs include female-led witness cells, trauma </w:t>
      </w:r>
      <w:r w:rsidR="00097D1C">
        <w:rPr>
          <w:szCs w:val="24"/>
        </w:rPr>
        <w:t>counsellors</w:t>
      </w:r>
      <w:r w:rsidR="00B732FA" w:rsidRPr="00B732FA">
        <w:rPr>
          <w:szCs w:val="24"/>
        </w:rPr>
        <w:t>, and modifications in court for child witnesses</w:t>
      </w:r>
      <w:r w:rsidR="001F3909">
        <w:rPr>
          <w:szCs w:val="24"/>
        </w:rPr>
        <w:t>.</w:t>
      </w:r>
    </w:p>
    <w:p w14:paraId="1B727EDA" w14:textId="73F9024D" w:rsidR="0017713C" w:rsidRPr="0017713C" w:rsidRDefault="009D286C" w:rsidP="0017713C">
      <w:pPr>
        <w:rPr>
          <w:szCs w:val="24"/>
        </w:rPr>
      </w:pPr>
      <w:r w:rsidRPr="00FA0085">
        <w:rPr>
          <w:b/>
          <w:bCs/>
          <w:szCs w:val="24"/>
        </w:rPr>
        <w:t>Livelihood support for witnesses must be integrated into the Scheme.</w:t>
      </w:r>
      <w:r w:rsidRPr="009D286C">
        <w:rPr>
          <w:szCs w:val="24"/>
        </w:rPr>
        <w:t xml:space="preserve"> Sadly, economic exploitation is often used to intimidate potential witnesses, and many schemes don’t offer any financial backing.</w:t>
      </w:r>
      <w:r>
        <w:rPr>
          <w:szCs w:val="24"/>
        </w:rPr>
        <w:t xml:space="preserve"> </w:t>
      </w:r>
      <w:r w:rsidR="0017713C" w:rsidRPr="0017713C">
        <w:rPr>
          <w:szCs w:val="24"/>
        </w:rPr>
        <w:t xml:space="preserve">To alleviate this, the Scheme should </w:t>
      </w:r>
      <w:r w:rsidR="00627B57">
        <w:rPr>
          <w:szCs w:val="24"/>
        </w:rPr>
        <w:t>provide</w:t>
      </w:r>
      <w:r w:rsidR="0017713C" w:rsidRPr="0017713C">
        <w:rPr>
          <w:szCs w:val="24"/>
        </w:rPr>
        <w:t xml:space="preserve"> interim maintenance, relocation grants, and linkages to vocational training or state welfare jobs, </w:t>
      </w:r>
      <w:r w:rsidR="00627B57">
        <w:rPr>
          <w:szCs w:val="24"/>
        </w:rPr>
        <w:t xml:space="preserve">all </w:t>
      </w:r>
      <w:r w:rsidR="0017713C" w:rsidRPr="0017713C">
        <w:rPr>
          <w:szCs w:val="24"/>
        </w:rPr>
        <w:t xml:space="preserve">funded </w:t>
      </w:r>
      <w:r w:rsidR="00627B57">
        <w:rPr>
          <w:szCs w:val="24"/>
        </w:rPr>
        <w:t>via</w:t>
      </w:r>
      <w:r w:rsidR="0017713C" w:rsidRPr="0017713C">
        <w:rPr>
          <w:szCs w:val="24"/>
        </w:rPr>
        <w:t xml:space="preserve"> the Witness Protection Fund.</w:t>
      </w:r>
      <w:r w:rsidR="00627B57">
        <w:rPr>
          <w:szCs w:val="24"/>
        </w:rPr>
        <w:t xml:space="preserve"> </w:t>
      </w:r>
      <w:r w:rsidR="00AE3874" w:rsidRPr="00AE3874">
        <w:rPr>
          <w:szCs w:val="24"/>
        </w:rPr>
        <w:t xml:space="preserve">It's also vital to extend protection beyond the trial phase. Cases like those of Asaram and Vyapam show that threats can linger even after a verdict is reached. Given the lengthy nature of judicial processes, there should be </w:t>
      </w:r>
      <w:r w:rsidR="00AE3874" w:rsidRPr="00AE3874">
        <w:rPr>
          <w:b/>
          <w:bCs/>
          <w:szCs w:val="24"/>
        </w:rPr>
        <w:t xml:space="preserve">a mandatory minimum of 12 months of protection </w:t>
      </w:r>
      <w:r w:rsidR="00AE3874" w:rsidRPr="00AE3874">
        <w:rPr>
          <w:szCs w:val="24"/>
        </w:rPr>
        <w:t>after a verdict, based on reassessed risk levels.</w:t>
      </w:r>
      <w:r w:rsidR="00627B57">
        <w:rPr>
          <w:szCs w:val="24"/>
        </w:rPr>
        <w:t xml:space="preserve"> </w:t>
      </w:r>
      <w:r w:rsidR="00531A82" w:rsidRPr="00531A82">
        <w:rPr>
          <w:szCs w:val="24"/>
        </w:rPr>
        <w:t>To tackle bureaucratic inefficiencies, we need a secure online portal</w:t>
      </w:r>
      <w:r w:rsidR="006E50C9">
        <w:rPr>
          <w:szCs w:val="24"/>
        </w:rPr>
        <w:t xml:space="preserve"> - </w:t>
      </w:r>
      <w:r w:rsidR="00531A82" w:rsidRPr="00531A82">
        <w:rPr>
          <w:szCs w:val="24"/>
        </w:rPr>
        <w:t xml:space="preserve">similar to India’s </w:t>
      </w:r>
      <w:r w:rsidR="00DE4726">
        <w:rPr>
          <w:szCs w:val="24"/>
        </w:rPr>
        <w:t>e-FIR</w:t>
      </w:r>
      <w:r w:rsidR="00531A82" w:rsidRPr="00531A82">
        <w:rPr>
          <w:szCs w:val="24"/>
        </w:rPr>
        <w:t xml:space="preserve"> and </w:t>
      </w:r>
      <w:r w:rsidR="00DE4726">
        <w:rPr>
          <w:szCs w:val="24"/>
        </w:rPr>
        <w:t>e-Courts</w:t>
      </w:r>
      <w:r w:rsidR="00531A82" w:rsidRPr="00531A82">
        <w:rPr>
          <w:szCs w:val="24"/>
        </w:rPr>
        <w:t xml:space="preserve"> systems</w:t>
      </w:r>
      <w:r w:rsidR="006E50C9">
        <w:rPr>
          <w:szCs w:val="24"/>
        </w:rPr>
        <w:t xml:space="preserve"> - </w:t>
      </w:r>
      <w:r w:rsidR="00531A82" w:rsidRPr="00531A82">
        <w:rPr>
          <w:szCs w:val="24"/>
        </w:rPr>
        <w:t>to streamline the protection process from application to threat assessment and periodic reviews. This would help reduce delays, ensure secure data handling, and create digital audit trails</w:t>
      </w:r>
      <w:r w:rsidR="0017713C" w:rsidRPr="0017713C">
        <w:rPr>
          <w:szCs w:val="24"/>
        </w:rPr>
        <w:t>.</w:t>
      </w:r>
    </w:p>
    <w:p w14:paraId="1EE709E7" w14:textId="230CD53A" w:rsidR="000132D3" w:rsidRDefault="0017713C" w:rsidP="0017713C">
      <w:pPr>
        <w:rPr>
          <w:szCs w:val="24"/>
        </w:rPr>
      </w:pPr>
      <w:r w:rsidRPr="0017713C">
        <w:rPr>
          <w:szCs w:val="24"/>
        </w:rPr>
        <w:t xml:space="preserve">Finally, </w:t>
      </w:r>
      <w:r w:rsidR="00B732FA">
        <w:rPr>
          <w:szCs w:val="24"/>
        </w:rPr>
        <w:t xml:space="preserve">initiating </w:t>
      </w:r>
      <w:r w:rsidRPr="0017713C">
        <w:rPr>
          <w:b/>
          <w:bCs/>
          <w:szCs w:val="24"/>
        </w:rPr>
        <w:t>public awareness campaigns</w:t>
      </w:r>
      <w:r w:rsidRPr="0017713C">
        <w:rPr>
          <w:szCs w:val="24"/>
        </w:rPr>
        <w:t xml:space="preserve"> is essential. </w:t>
      </w:r>
      <w:r w:rsidR="008D102B" w:rsidRPr="008D102B">
        <w:rPr>
          <w:szCs w:val="24"/>
        </w:rPr>
        <w:t xml:space="preserve">Reports from various legal and human rights </w:t>
      </w:r>
      <w:r w:rsidR="00097D1C">
        <w:rPr>
          <w:szCs w:val="24"/>
        </w:rPr>
        <w:t>organisations</w:t>
      </w:r>
      <w:r w:rsidR="008D102B" w:rsidRPr="008D102B">
        <w:rPr>
          <w:szCs w:val="24"/>
        </w:rPr>
        <w:t>, as well as observations</w:t>
      </w:r>
      <w:r w:rsidR="008D102B">
        <w:rPr>
          <w:szCs w:val="24"/>
        </w:rPr>
        <w:t xml:space="preserve"> made</w:t>
      </w:r>
      <w:r w:rsidR="008D102B" w:rsidRPr="008D102B">
        <w:rPr>
          <w:szCs w:val="24"/>
        </w:rPr>
        <w:t xml:space="preserve"> by the Indian judiciary, consistently indicate a significant lack of awareness among witnesses, particularly in rural and vulnerable communities, regarding their protection rights</w:t>
      </w:r>
      <w:r w:rsidR="008D102B">
        <w:rPr>
          <w:szCs w:val="24"/>
        </w:rPr>
        <w:t xml:space="preserve">. </w:t>
      </w:r>
      <w:r w:rsidR="008D102B" w:rsidRPr="008D102B">
        <w:rPr>
          <w:szCs w:val="24"/>
        </w:rPr>
        <w:t>This lack of awareness often leads to witnesses turning hostile or being reluctant to come forward</w:t>
      </w:r>
      <w:r w:rsidR="008D102B">
        <w:rPr>
          <w:szCs w:val="24"/>
        </w:rPr>
        <w:t xml:space="preserve">. </w:t>
      </w:r>
      <w:r w:rsidRPr="0017713C">
        <w:rPr>
          <w:szCs w:val="24"/>
        </w:rPr>
        <w:t xml:space="preserve">Legal aid clinics, community workshops, </w:t>
      </w:r>
      <w:r w:rsidRPr="0017713C">
        <w:rPr>
          <w:szCs w:val="24"/>
        </w:rPr>
        <w:lastRenderedPageBreak/>
        <w:t>radio programming, and NGO collaboration can bridge this gap and foster trust in legal protections</w:t>
      </w:r>
      <w:r w:rsidR="001F3909">
        <w:rPr>
          <w:szCs w:val="24"/>
        </w:rPr>
        <w:t>.</w:t>
      </w:r>
    </w:p>
    <w:p w14:paraId="3B8E2068" w14:textId="6D4AD659" w:rsidR="00107B01" w:rsidRPr="008D102B" w:rsidRDefault="008D102B" w:rsidP="000132D3">
      <w:pPr>
        <w:pStyle w:val="Heading2"/>
        <w:rPr>
          <w:szCs w:val="24"/>
        </w:rPr>
      </w:pPr>
      <w:r>
        <w:t xml:space="preserve">A </w:t>
      </w:r>
      <w:r w:rsidR="00E706B8" w:rsidRPr="00E706B8">
        <w:t>Closing Reflection</w:t>
      </w:r>
    </w:p>
    <w:p w14:paraId="50DBF9FA" w14:textId="7B016179" w:rsidR="007A4BFF" w:rsidRPr="0017713C" w:rsidRDefault="00322098" w:rsidP="0017713C">
      <w:pPr>
        <w:rPr>
          <w:szCs w:val="24"/>
        </w:rPr>
      </w:pPr>
      <w:r>
        <w:rPr>
          <w:szCs w:val="24"/>
        </w:rPr>
        <w:t xml:space="preserve">Justice isn’t </w:t>
      </w:r>
      <w:r w:rsidR="004D5985">
        <w:rPr>
          <w:szCs w:val="24"/>
        </w:rPr>
        <w:t xml:space="preserve">just confined to codified laws or judgments pronounced </w:t>
      </w:r>
      <w:r w:rsidR="00EB0572">
        <w:rPr>
          <w:szCs w:val="24"/>
        </w:rPr>
        <w:t>in</w:t>
      </w:r>
      <w:r w:rsidR="00F91E40">
        <w:rPr>
          <w:szCs w:val="24"/>
        </w:rPr>
        <w:t xml:space="preserve"> a courtroom</w:t>
      </w:r>
      <w:r w:rsidR="00EB4337">
        <w:rPr>
          <w:szCs w:val="24"/>
        </w:rPr>
        <w:t>.</w:t>
      </w:r>
      <w:r w:rsidR="00F91E40">
        <w:rPr>
          <w:szCs w:val="24"/>
        </w:rPr>
        <w:t xml:space="preserve"> It </w:t>
      </w:r>
      <w:r w:rsidR="00EB4337">
        <w:rPr>
          <w:szCs w:val="24"/>
        </w:rPr>
        <w:t xml:space="preserve">lives through those voices that dare to speak </w:t>
      </w:r>
      <w:r w:rsidR="00ED666F">
        <w:rPr>
          <w:szCs w:val="24"/>
        </w:rPr>
        <w:t xml:space="preserve">the </w:t>
      </w:r>
      <w:r w:rsidR="00EB4337">
        <w:rPr>
          <w:szCs w:val="24"/>
        </w:rPr>
        <w:t xml:space="preserve">truth. </w:t>
      </w:r>
      <w:r w:rsidR="008C4244">
        <w:rPr>
          <w:szCs w:val="24"/>
        </w:rPr>
        <w:t>Often</w:t>
      </w:r>
      <w:r w:rsidR="00ED666F">
        <w:rPr>
          <w:szCs w:val="24"/>
        </w:rPr>
        <w:t>,</w:t>
      </w:r>
      <w:r w:rsidR="008C4244">
        <w:rPr>
          <w:szCs w:val="24"/>
        </w:rPr>
        <w:t xml:space="preserve"> when the verdict is declared</w:t>
      </w:r>
      <w:r w:rsidR="00ED666F">
        <w:rPr>
          <w:szCs w:val="24"/>
        </w:rPr>
        <w:t xml:space="preserve">, the trial for our witnesses begins. </w:t>
      </w:r>
      <w:r w:rsidR="005412EE">
        <w:rPr>
          <w:szCs w:val="24"/>
        </w:rPr>
        <w:t>They are threatened</w:t>
      </w:r>
      <w:r w:rsidR="00E706B8">
        <w:rPr>
          <w:szCs w:val="24"/>
        </w:rPr>
        <w:t>,</w:t>
      </w:r>
      <w:r w:rsidR="005412EE">
        <w:rPr>
          <w:szCs w:val="24"/>
        </w:rPr>
        <w:t xml:space="preserve"> harassed</w:t>
      </w:r>
      <w:r w:rsidR="003727CA">
        <w:rPr>
          <w:szCs w:val="24"/>
        </w:rPr>
        <w:t>,</w:t>
      </w:r>
      <w:r w:rsidR="005412EE">
        <w:rPr>
          <w:szCs w:val="24"/>
        </w:rPr>
        <w:t xml:space="preserve"> or harmed</w:t>
      </w:r>
      <w:r w:rsidR="003727CA">
        <w:rPr>
          <w:szCs w:val="24"/>
        </w:rPr>
        <w:t xml:space="preserve">; they live with a constant fear that follows them home. </w:t>
      </w:r>
      <w:r w:rsidR="00813A10" w:rsidRPr="00813A10">
        <w:rPr>
          <w:szCs w:val="24"/>
        </w:rPr>
        <w:t>We build schemes, frame policies, and issue guidelines, but fail where it matters most</w:t>
      </w:r>
      <w:r w:rsidR="00813A10">
        <w:rPr>
          <w:szCs w:val="24"/>
        </w:rPr>
        <w:t xml:space="preserve"> - </w:t>
      </w:r>
      <w:r w:rsidR="00813A10" w:rsidRPr="00813A10">
        <w:rPr>
          <w:szCs w:val="24"/>
        </w:rPr>
        <w:t>in protecting the people who dare to tell the truth</w:t>
      </w:r>
      <w:r w:rsidR="00813A10">
        <w:rPr>
          <w:szCs w:val="24"/>
        </w:rPr>
        <w:t xml:space="preserve">. A </w:t>
      </w:r>
      <w:r w:rsidR="004D715F">
        <w:rPr>
          <w:szCs w:val="24"/>
        </w:rPr>
        <w:t xml:space="preserve">system that </w:t>
      </w:r>
      <w:r w:rsidR="00064F0D">
        <w:rPr>
          <w:szCs w:val="24"/>
        </w:rPr>
        <w:t xml:space="preserve">cannot protect its witnesses slowly loses its conscience. </w:t>
      </w:r>
      <w:r w:rsidR="007B18CA" w:rsidRPr="007B18CA">
        <w:rPr>
          <w:szCs w:val="24"/>
        </w:rPr>
        <w:t>Witness protection is not charity from the State; it is the State’s constitutional debt.</w:t>
      </w:r>
      <w:r w:rsidR="007B18CA">
        <w:rPr>
          <w:szCs w:val="24"/>
        </w:rPr>
        <w:t xml:space="preserve"> </w:t>
      </w:r>
      <w:r w:rsidR="00725480">
        <w:rPr>
          <w:szCs w:val="24"/>
        </w:rPr>
        <w:t xml:space="preserve">It isn’t privilege that is to </w:t>
      </w:r>
      <w:r w:rsidR="007B18CA">
        <w:rPr>
          <w:szCs w:val="24"/>
        </w:rPr>
        <w:t xml:space="preserve">be </w:t>
      </w:r>
      <w:r w:rsidR="00725480">
        <w:rPr>
          <w:szCs w:val="24"/>
        </w:rPr>
        <w:t>provided to those who demand</w:t>
      </w:r>
      <w:r w:rsidR="007B18CA">
        <w:rPr>
          <w:szCs w:val="24"/>
        </w:rPr>
        <w:t>,</w:t>
      </w:r>
      <w:r w:rsidR="00725480">
        <w:rPr>
          <w:szCs w:val="24"/>
        </w:rPr>
        <w:t xml:space="preserve"> but </w:t>
      </w:r>
      <w:r w:rsidR="009901A0">
        <w:rPr>
          <w:szCs w:val="24"/>
        </w:rPr>
        <w:t xml:space="preserve">rather the very foundation of a fair trial. </w:t>
      </w:r>
      <w:r w:rsidR="00E26174" w:rsidRPr="00E26174">
        <w:rPr>
          <w:szCs w:val="24"/>
        </w:rPr>
        <w:t>Until witness protection becomes a working reality, justice will remain a privilege for the powerful and a risk for the honest.</w:t>
      </w:r>
      <w:r w:rsidR="00002B4C">
        <w:rPr>
          <w:szCs w:val="24"/>
        </w:rPr>
        <w:t xml:space="preserve"> The law owes </w:t>
      </w:r>
      <w:r w:rsidR="001B2086">
        <w:rPr>
          <w:szCs w:val="24"/>
        </w:rPr>
        <w:t>at least</w:t>
      </w:r>
      <w:r w:rsidR="004D70E0">
        <w:rPr>
          <w:szCs w:val="24"/>
        </w:rPr>
        <w:t xml:space="preserve"> this much </w:t>
      </w:r>
      <w:r w:rsidR="001B2086">
        <w:rPr>
          <w:szCs w:val="24"/>
        </w:rPr>
        <w:t>courage</w:t>
      </w:r>
      <w:r w:rsidR="004D70E0">
        <w:rPr>
          <w:szCs w:val="24"/>
        </w:rPr>
        <w:t xml:space="preserve"> </w:t>
      </w:r>
      <w:r w:rsidR="001B2086">
        <w:rPr>
          <w:szCs w:val="24"/>
        </w:rPr>
        <w:t>to those</w:t>
      </w:r>
      <w:r w:rsidR="001B2086" w:rsidRPr="001B2086">
        <w:rPr>
          <w:szCs w:val="24"/>
        </w:rPr>
        <w:t xml:space="preserve"> who speak for it</w:t>
      </w:r>
      <w:r w:rsidR="00002B4C" w:rsidRPr="00002B4C">
        <w:rPr>
          <w:szCs w:val="24"/>
        </w:rPr>
        <w:t>.</w:t>
      </w:r>
    </w:p>
    <w:p w14:paraId="2211D180" w14:textId="1A6C7181" w:rsidR="00324995" w:rsidRPr="00D60FF6" w:rsidRDefault="00D60FF6" w:rsidP="00D60FF6">
      <w:pPr>
        <w:pBdr>
          <w:bottom w:val="single" w:sz="8" w:space="1" w:color="auto"/>
        </w:pBdr>
        <w:jc w:val="center"/>
        <w:rPr>
          <w:b/>
          <w:bCs/>
          <w:i/>
          <w:iCs/>
          <w:szCs w:val="24"/>
          <w:lang w:val="en-US"/>
        </w:rPr>
      </w:pPr>
      <w:r w:rsidRPr="00D60FF6">
        <w:rPr>
          <w:b/>
          <w:bCs/>
          <w:i/>
          <w:iCs/>
          <w:szCs w:val="24"/>
        </w:rPr>
        <w:t>Every witness is a candle in the darkness of injustice</w:t>
      </w:r>
      <w:r w:rsidR="00ED414A">
        <w:rPr>
          <w:b/>
          <w:bCs/>
          <w:i/>
          <w:iCs/>
          <w:szCs w:val="24"/>
        </w:rPr>
        <w:t>;</w:t>
      </w:r>
      <w:r w:rsidRPr="00D60FF6">
        <w:rPr>
          <w:b/>
          <w:bCs/>
          <w:i/>
          <w:iCs/>
          <w:szCs w:val="24"/>
        </w:rPr>
        <w:t xml:space="preserve"> it is for the law to keep them from being extinguished</w:t>
      </w:r>
    </w:p>
    <w:sectPr w:rsidR="00324995" w:rsidRPr="00D60FF6" w:rsidSect="0017713C">
      <w:headerReference w:type="default" r:id="rId8"/>
      <w:pgSz w:w="11906" w:h="16838"/>
      <w:pgMar w:top="1440" w:right="1440" w:bottom="1440" w:left="1440" w:header="708" w:footer="708" w:gutter="0"/>
      <w:pgBorders w:offsetFrom="page">
        <w:top w:val="thickThinSmallGap" w:sz="18" w:space="24" w:color="auto"/>
        <w:left w:val="thickThinSmallGap" w:sz="18" w:space="24" w:color="auto"/>
        <w:bottom w:val="thinThickSmallGap" w:sz="18" w:space="24" w:color="auto"/>
        <w:right w:val="thinThickSmallGap" w:sz="1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FA4F8" w14:textId="77777777" w:rsidR="00D8582A" w:rsidRDefault="00D8582A" w:rsidP="0017713C">
      <w:pPr>
        <w:spacing w:before="0" w:after="0" w:line="240" w:lineRule="auto"/>
      </w:pPr>
      <w:r>
        <w:separator/>
      </w:r>
    </w:p>
  </w:endnote>
  <w:endnote w:type="continuationSeparator" w:id="0">
    <w:p w14:paraId="55D90745" w14:textId="77777777" w:rsidR="00D8582A" w:rsidRDefault="00D8582A" w:rsidP="0017713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07353" w14:textId="77777777" w:rsidR="00D8582A" w:rsidRDefault="00D8582A" w:rsidP="0017713C">
      <w:pPr>
        <w:spacing w:before="0" w:after="0" w:line="240" w:lineRule="auto"/>
      </w:pPr>
      <w:r>
        <w:separator/>
      </w:r>
    </w:p>
  </w:footnote>
  <w:footnote w:type="continuationSeparator" w:id="0">
    <w:p w14:paraId="248FADC1" w14:textId="77777777" w:rsidR="00D8582A" w:rsidRDefault="00D8582A" w:rsidP="0017713C">
      <w:pPr>
        <w:spacing w:before="0" w:after="0" w:line="240" w:lineRule="auto"/>
      </w:pPr>
      <w:r>
        <w:continuationSeparator/>
      </w:r>
    </w:p>
  </w:footnote>
  <w:footnote w:id="1">
    <w:p w14:paraId="7B2B9406" w14:textId="37E4CA86" w:rsidR="00777873" w:rsidRPr="00BF465A" w:rsidRDefault="004A684E" w:rsidP="00BF465A">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3121EA" w:rsidRPr="00BF465A">
        <w:rPr>
          <w:rFonts w:ascii="Times New Roman" w:hAnsi="Times New Roman" w:cs="Times New Roman"/>
          <w:i/>
          <w:iCs/>
        </w:rPr>
        <w:t>Asaram case highlights need for witness and victim protection in India</w:t>
      </w:r>
      <w:r w:rsidR="003121EA" w:rsidRPr="00BF465A">
        <w:rPr>
          <w:rFonts w:ascii="Times New Roman" w:hAnsi="Times New Roman" w:cs="Times New Roman"/>
        </w:rPr>
        <w:t xml:space="preserve"> (2020) </w:t>
      </w:r>
      <w:r w:rsidR="003121EA" w:rsidRPr="00BF465A">
        <w:rPr>
          <w:rFonts w:ascii="Times New Roman" w:hAnsi="Times New Roman" w:cs="Times New Roman"/>
          <w:i/>
          <w:iCs/>
        </w:rPr>
        <w:t>Human Rights Watch</w:t>
      </w:r>
      <w:r w:rsidR="003121EA" w:rsidRPr="00BF465A">
        <w:rPr>
          <w:rFonts w:ascii="Times New Roman" w:hAnsi="Times New Roman" w:cs="Times New Roman"/>
        </w:rPr>
        <w:t xml:space="preserve">. Available at: https://www.hrw.org/news/2018/04/27/asaram-case-highlights-need-witness-and-victim-protection-india#:~:text=But%20in%20the%20course%20of,investigation%20said%20they%20were%20threatened. (Accessed: 25 June 2025). </w:t>
      </w:r>
    </w:p>
  </w:footnote>
  <w:footnote w:id="2">
    <w:p w14:paraId="5BE7C7B6" w14:textId="4DCB0B4B" w:rsidR="003121EA" w:rsidRPr="00BF465A" w:rsidRDefault="004A684E" w:rsidP="00BF465A">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395BFB" w:rsidRPr="00BF465A">
        <w:rPr>
          <w:rFonts w:ascii="Times New Roman" w:hAnsi="Times New Roman" w:cs="Times New Roman"/>
          <w:i/>
          <w:iCs/>
        </w:rPr>
        <w:t>Conviction rate has to go up if India’s Law &amp; Order situation has to improve, says Amit Shah</w:t>
      </w:r>
      <w:r w:rsidR="00395BFB" w:rsidRPr="00BF465A">
        <w:rPr>
          <w:rFonts w:ascii="Times New Roman" w:hAnsi="Times New Roman" w:cs="Times New Roman"/>
        </w:rPr>
        <w:t xml:space="preserve"> (no date) </w:t>
      </w:r>
      <w:r w:rsidR="00395BFB" w:rsidRPr="00BF465A">
        <w:rPr>
          <w:rFonts w:ascii="Times New Roman" w:hAnsi="Times New Roman" w:cs="Times New Roman"/>
          <w:i/>
          <w:iCs/>
        </w:rPr>
        <w:t>The Economic Times</w:t>
      </w:r>
      <w:r w:rsidR="00395BFB" w:rsidRPr="00BF465A">
        <w:rPr>
          <w:rFonts w:ascii="Times New Roman" w:hAnsi="Times New Roman" w:cs="Times New Roman"/>
        </w:rPr>
        <w:t xml:space="preserve">. Available at: https://economictimes.indiatimes.com/news/elections/assembly-elections/karnataka/conviction-rate-has-to-go-up-if-indias-law-order-situation-has-to-improve-says-amit-shah/articleshow/97403881.cms?from=mdr (Accessed: 25 June 2025). </w:t>
      </w:r>
    </w:p>
  </w:footnote>
  <w:footnote w:id="3">
    <w:p w14:paraId="3B94BACA" w14:textId="77777777" w:rsidR="004A684E" w:rsidRPr="00BF465A" w:rsidRDefault="004A684E" w:rsidP="00BF465A">
      <w:pPr>
        <w:pStyle w:val="FootnoteText"/>
        <w:jc w:val="both"/>
        <w:rPr>
          <w:rFonts w:ascii="Times New Roman" w:hAnsi="Times New Roman" w:cs="Times New Roman"/>
          <w:lang w:val="en-US"/>
        </w:rPr>
      </w:pPr>
      <w:r w:rsidRPr="00BF465A">
        <w:rPr>
          <w:rStyle w:val="FootnoteReference"/>
          <w:rFonts w:ascii="Times New Roman" w:hAnsi="Times New Roman" w:cs="Times New Roman"/>
        </w:rPr>
        <w:footnoteRef/>
      </w:r>
      <w:r w:rsidRPr="00BF465A">
        <w:rPr>
          <w:rFonts w:ascii="Times New Roman" w:hAnsi="Times New Roman" w:cs="Times New Roman"/>
        </w:rPr>
        <w:t xml:space="preserve"> AIR 2004 SUPREME COURT 3114</w:t>
      </w:r>
    </w:p>
  </w:footnote>
  <w:footnote w:id="4">
    <w:p w14:paraId="7573ECD4" w14:textId="46A4FEE7" w:rsidR="008F31E8" w:rsidRPr="00BF465A" w:rsidRDefault="008F31E8" w:rsidP="00BF465A">
      <w:pPr>
        <w:pStyle w:val="FootnoteText"/>
        <w:jc w:val="both"/>
        <w:rPr>
          <w:rFonts w:ascii="Times New Roman" w:hAnsi="Times New Roman" w:cs="Times New Roman"/>
          <w:lang w:val="en-US"/>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333ADE" w:rsidRPr="00BF465A">
        <w:rPr>
          <w:rFonts w:ascii="Times New Roman" w:hAnsi="Times New Roman" w:cs="Times New Roman"/>
        </w:rPr>
        <w:t>AIR 2004 SUPREME COURT 3114</w:t>
      </w:r>
    </w:p>
  </w:footnote>
  <w:footnote w:id="5">
    <w:p w14:paraId="23B823BD" w14:textId="77777777" w:rsidR="00054ECA" w:rsidRPr="00BF465A" w:rsidRDefault="008F31E8" w:rsidP="00BF465A">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054ECA" w:rsidRPr="00BF465A">
        <w:rPr>
          <w:rFonts w:ascii="Times New Roman" w:hAnsi="Times New Roman" w:cs="Times New Roman"/>
        </w:rPr>
        <w:t>2019 (14) SCC 615</w:t>
      </w:r>
    </w:p>
    <w:p w14:paraId="2AAE6446" w14:textId="6A3FCF44" w:rsidR="008F31E8" w:rsidRPr="00BF465A" w:rsidRDefault="008F31E8" w:rsidP="00BF465A">
      <w:pPr>
        <w:pStyle w:val="FootnoteText"/>
        <w:jc w:val="both"/>
        <w:rPr>
          <w:rFonts w:ascii="Times New Roman" w:hAnsi="Times New Roman" w:cs="Times New Roman"/>
          <w:lang w:val="en-US"/>
        </w:rPr>
      </w:pPr>
    </w:p>
  </w:footnote>
  <w:footnote w:id="6">
    <w:p w14:paraId="7EF76FCB" w14:textId="3EB679C9" w:rsidR="003247A6" w:rsidRPr="00BF465A" w:rsidRDefault="00650F71" w:rsidP="000132D3">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122864" w:rsidRPr="00BF465A">
        <w:rPr>
          <w:rFonts w:ascii="Times New Roman" w:hAnsi="Times New Roman" w:cs="Times New Roman"/>
        </w:rPr>
        <w:t xml:space="preserve">(No date a) </w:t>
      </w:r>
      <w:r w:rsidR="00122864" w:rsidRPr="00BF465A">
        <w:rPr>
          <w:rFonts w:ascii="Times New Roman" w:hAnsi="Times New Roman" w:cs="Times New Roman"/>
          <w:i/>
          <w:iCs/>
        </w:rPr>
        <w:t>Evidence act 1908 no 56 (as at 01 August 2007), public act contents – New Zealand legislation</w:t>
      </w:r>
      <w:r w:rsidR="00122864" w:rsidRPr="00BF465A">
        <w:rPr>
          <w:rFonts w:ascii="Times New Roman" w:hAnsi="Times New Roman" w:cs="Times New Roman"/>
        </w:rPr>
        <w:t xml:space="preserve">. Available at: https://www.legislation.govt.nz/act/public/1908/0056/latest/DLM142513.html (Accessed: 25 June 2025). </w:t>
      </w:r>
    </w:p>
  </w:footnote>
  <w:footnote w:id="7">
    <w:p w14:paraId="02C42A4F" w14:textId="6D3D0605" w:rsidR="008161B0" w:rsidRPr="00BF465A" w:rsidRDefault="008161B0" w:rsidP="000132D3">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00777873" w:rsidRPr="00BF465A">
        <w:rPr>
          <w:rFonts w:ascii="Times New Roman" w:hAnsi="Times New Roman" w:cs="Times New Roman"/>
        </w:rPr>
        <w:t xml:space="preserve">Advocatekhoj.com (no date a) </w:t>
      </w:r>
      <w:r w:rsidR="00777873" w:rsidRPr="00BF465A">
        <w:rPr>
          <w:rFonts w:ascii="Times New Roman" w:hAnsi="Times New Roman" w:cs="Times New Roman"/>
          <w:i/>
          <w:iCs/>
        </w:rPr>
        <w:t>Australia: Witness Identity Protection and Witness Protection Programmes: Law Commission of india reports: Law library</w:t>
      </w:r>
      <w:r w:rsidR="00777873" w:rsidRPr="00BF465A">
        <w:rPr>
          <w:rFonts w:ascii="Times New Roman" w:hAnsi="Times New Roman" w:cs="Times New Roman"/>
        </w:rPr>
        <w:t xml:space="preserve">, </w:t>
      </w:r>
      <w:r w:rsidR="00777873" w:rsidRPr="00BF465A">
        <w:rPr>
          <w:rFonts w:ascii="Times New Roman" w:hAnsi="Times New Roman" w:cs="Times New Roman"/>
          <w:i/>
          <w:iCs/>
        </w:rPr>
        <w:t>AdvocateKhoj</w:t>
      </w:r>
      <w:r w:rsidR="00777873" w:rsidRPr="00BF465A">
        <w:rPr>
          <w:rFonts w:ascii="Times New Roman" w:hAnsi="Times New Roman" w:cs="Times New Roman"/>
        </w:rPr>
        <w:t xml:space="preserve">. Available at: https://www.advocatekhoj.com/library/lawreports/witnessidentityprotection/71b.php?Title=Witness%2BIdentity%2BProtection%2Band%2BWitness%2BProtection%2BProgrammes&amp;STitle=Australia#:~:text=In%20Australia%2C%20the%20Parliament%20of,58%2F1996). (Accessed: 25 June 2025). </w:t>
      </w:r>
    </w:p>
    <w:p w14:paraId="176D3480" w14:textId="77777777" w:rsidR="00122864" w:rsidRPr="00BF465A" w:rsidRDefault="00122864" w:rsidP="000132D3">
      <w:pPr>
        <w:pStyle w:val="FootnoteText"/>
        <w:jc w:val="both"/>
        <w:rPr>
          <w:rFonts w:ascii="Times New Roman" w:hAnsi="Times New Roman" w:cs="Times New Roman"/>
          <w:lang w:val="en-US"/>
        </w:rPr>
      </w:pPr>
    </w:p>
  </w:footnote>
  <w:footnote w:id="8">
    <w:p w14:paraId="7D76C5AC" w14:textId="75930D32" w:rsidR="00022619" w:rsidRPr="00BF465A" w:rsidRDefault="00022619" w:rsidP="000132D3">
      <w:pPr>
        <w:pStyle w:val="FootnoteText"/>
        <w:jc w:val="both"/>
        <w:rPr>
          <w:rFonts w:ascii="Times New Roman" w:hAnsi="Times New Roman" w:cs="Times New Roman"/>
          <w:lang w:val="en-US"/>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B547FA" w:rsidRPr="00BF465A">
        <w:rPr>
          <w:rFonts w:ascii="Times New Roman" w:hAnsi="Times New Roman" w:cs="Times New Roman"/>
        </w:rPr>
        <w:t>Roya.Rateshtari@usdoj.gov, ‘Witness Security’ (</w:t>
      </w:r>
      <w:r w:rsidR="00B547FA" w:rsidRPr="00BF465A">
        <w:rPr>
          <w:rFonts w:ascii="Times New Roman" w:hAnsi="Times New Roman" w:cs="Times New Roman"/>
          <w:i/>
          <w:iCs/>
        </w:rPr>
        <w:t>U.S. Marshals Service</w:t>
      </w:r>
      <w:r w:rsidR="00B547FA" w:rsidRPr="00BF465A">
        <w:rPr>
          <w:rFonts w:ascii="Times New Roman" w:hAnsi="Times New Roman" w:cs="Times New Roman"/>
        </w:rPr>
        <w:t>, 12 June 2023) https://www.usmarshals.gov/what-we-do/witness-security</w:t>
      </w:r>
    </w:p>
  </w:footnote>
  <w:footnote w:id="9">
    <w:p w14:paraId="492BD1E2" w14:textId="0A5B6591" w:rsidR="00976C50" w:rsidRPr="00BF465A" w:rsidRDefault="00022619" w:rsidP="000132D3">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CF7324" w:rsidRPr="00BF465A">
        <w:rPr>
          <w:rFonts w:ascii="Times New Roman" w:hAnsi="Times New Roman" w:cs="Times New Roman"/>
        </w:rPr>
        <w:t xml:space="preserve">Advocatekhoj.com (no date) </w:t>
      </w:r>
      <w:r w:rsidR="00CF7324" w:rsidRPr="00BF465A">
        <w:rPr>
          <w:rFonts w:ascii="Times New Roman" w:hAnsi="Times New Roman" w:cs="Times New Roman"/>
          <w:i/>
          <w:iCs/>
        </w:rPr>
        <w:t>South Africa: Witness Identity Protection and Witness Protection Programmes: Law Commission of india reports: Law library</w:t>
      </w:r>
      <w:r w:rsidR="00CF7324" w:rsidRPr="00BF465A">
        <w:rPr>
          <w:rFonts w:ascii="Times New Roman" w:hAnsi="Times New Roman" w:cs="Times New Roman"/>
        </w:rPr>
        <w:t xml:space="preserve">, </w:t>
      </w:r>
      <w:r w:rsidR="00CF7324" w:rsidRPr="00BF465A">
        <w:rPr>
          <w:rFonts w:ascii="Times New Roman" w:hAnsi="Times New Roman" w:cs="Times New Roman"/>
          <w:i/>
          <w:iCs/>
        </w:rPr>
        <w:t>AdvocateKhoj</w:t>
      </w:r>
      <w:r w:rsidR="00CF7324" w:rsidRPr="00BF465A">
        <w:rPr>
          <w:rFonts w:ascii="Times New Roman" w:hAnsi="Times New Roman" w:cs="Times New Roman"/>
        </w:rPr>
        <w:t xml:space="preserve">. Available at: https://advocatekhoj.com/library/lawreports/witnessidentityprotection/45.php?Title=Witness+Identity+Protection+and+Witness+Protection+Programmes (Accessed: 25 June 2025). </w:t>
      </w:r>
    </w:p>
  </w:footnote>
  <w:footnote w:id="10">
    <w:p w14:paraId="57535D36" w14:textId="0C7CDD62" w:rsidR="00902D98" w:rsidRPr="00BF465A" w:rsidRDefault="0041171D" w:rsidP="000132D3">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3247A6" w:rsidRPr="00BF465A">
        <w:rPr>
          <w:rFonts w:ascii="Times New Roman" w:hAnsi="Times New Roman" w:cs="Times New Roman"/>
        </w:rPr>
        <w:t xml:space="preserve">(No date) </w:t>
      </w:r>
      <w:r w:rsidR="003247A6" w:rsidRPr="00BF465A">
        <w:rPr>
          <w:rFonts w:ascii="Times New Roman" w:hAnsi="Times New Roman" w:cs="Times New Roman"/>
          <w:i/>
          <w:iCs/>
        </w:rPr>
        <w:t>Protected persons - national crime agency</w:t>
      </w:r>
      <w:r w:rsidR="003247A6" w:rsidRPr="00BF465A">
        <w:rPr>
          <w:rFonts w:ascii="Times New Roman" w:hAnsi="Times New Roman" w:cs="Times New Roman"/>
        </w:rPr>
        <w:t xml:space="preserve">. Available at: https://www.nationalcrimeagency.gov.uk/what-we-do/how-we-work/providing-specialist-capabilities-for-law-enforcement/protected-persons (Accessed: 25 June 2025). </w:t>
      </w:r>
    </w:p>
    <w:p w14:paraId="0AC2DB41" w14:textId="77777777" w:rsidR="00CF7324" w:rsidRPr="00BF465A" w:rsidRDefault="00CF7324" w:rsidP="000132D3">
      <w:pPr>
        <w:pStyle w:val="FootnoteText"/>
        <w:jc w:val="both"/>
        <w:rPr>
          <w:rFonts w:ascii="Times New Roman" w:hAnsi="Times New Roman" w:cs="Times New Roman"/>
        </w:rPr>
      </w:pPr>
    </w:p>
    <w:p w14:paraId="19F9265D" w14:textId="0DDEDDB2" w:rsidR="0041171D" w:rsidRPr="00BF465A" w:rsidRDefault="0041171D" w:rsidP="000132D3">
      <w:pPr>
        <w:pStyle w:val="FootnoteText"/>
        <w:jc w:val="both"/>
        <w:rPr>
          <w:rFonts w:ascii="Times New Roman" w:hAnsi="Times New Roman" w:cs="Times New Roman"/>
          <w:lang w:val="en-US"/>
        </w:rPr>
      </w:pPr>
    </w:p>
  </w:footnote>
  <w:footnote w:id="11">
    <w:p w14:paraId="6FEEF4CD" w14:textId="77777777" w:rsidR="009F4966" w:rsidRDefault="00807363" w:rsidP="000132D3">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9234AF" w:rsidRPr="00BF465A">
        <w:rPr>
          <w:rFonts w:ascii="Times New Roman" w:hAnsi="Times New Roman" w:cs="Times New Roman"/>
        </w:rPr>
        <w:t xml:space="preserve">TNN /  Feb 21, 2025 </w:t>
      </w:r>
      <w:r w:rsidR="009234AF" w:rsidRPr="00BF465A">
        <w:rPr>
          <w:rFonts w:ascii="Times New Roman" w:hAnsi="Times New Roman" w:cs="Times New Roman"/>
          <w:i/>
          <w:iCs/>
        </w:rPr>
        <w:t>Goa Govt Launches Stronger Witness Protection Scheme: Goa News</w:t>
      </w:r>
      <w:r w:rsidR="009234AF" w:rsidRPr="00BF465A">
        <w:rPr>
          <w:rFonts w:ascii="Times New Roman" w:hAnsi="Times New Roman" w:cs="Times New Roman"/>
        </w:rPr>
        <w:t xml:space="preserve">, </w:t>
      </w:r>
      <w:r w:rsidR="009234AF" w:rsidRPr="00BF465A">
        <w:rPr>
          <w:rFonts w:ascii="Times New Roman" w:hAnsi="Times New Roman" w:cs="Times New Roman"/>
          <w:i/>
          <w:iCs/>
        </w:rPr>
        <w:t>The Times of India</w:t>
      </w:r>
      <w:r w:rsidR="009234AF" w:rsidRPr="00BF465A">
        <w:rPr>
          <w:rFonts w:ascii="Times New Roman" w:hAnsi="Times New Roman" w:cs="Times New Roman"/>
        </w:rPr>
        <w:t>.</w:t>
      </w:r>
    </w:p>
    <w:p w14:paraId="187FFA8C" w14:textId="6F858291" w:rsidR="007F40D5" w:rsidRPr="00BF465A" w:rsidRDefault="009234AF" w:rsidP="000132D3">
      <w:pPr>
        <w:pStyle w:val="FootnoteText"/>
        <w:jc w:val="both"/>
        <w:rPr>
          <w:rFonts w:ascii="Times New Roman" w:hAnsi="Times New Roman" w:cs="Times New Roman"/>
        </w:rPr>
      </w:pPr>
      <w:r w:rsidRPr="00BF465A">
        <w:rPr>
          <w:rFonts w:ascii="Times New Roman" w:hAnsi="Times New Roman" w:cs="Times New Roman"/>
        </w:rPr>
        <w:t xml:space="preserve">Available at: https://timesofindia.indiatimes.com/city/goa/goa-govt-launches-stronger-witness-protection-scheme/articleshow/118459688.cms (Accessed: 25 June 2025). </w:t>
      </w:r>
    </w:p>
  </w:footnote>
  <w:footnote w:id="12">
    <w:p w14:paraId="159CC9ED" w14:textId="1CBD9272" w:rsidR="00297C86" w:rsidRPr="00BF465A" w:rsidRDefault="00807363" w:rsidP="000132D3">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00B87E66" w:rsidRPr="00BF465A">
        <w:rPr>
          <w:rFonts w:ascii="Times New Roman" w:hAnsi="Times New Roman" w:cs="Times New Roman"/>
          <w:i/>
          <w:iCs/>
        </w:rPr>
        <w:t>Home</w:t>
      </w:r>
      <w:r w:rsidR="00B87E66" w:rsidRPr="00BF465A">
        <w:rPr>
          <w:rFonts w:ascii="Times New Roman" w:hAnsi="Times New Roman" w:cs="Times New Roman"/>
        </w:rPr>
        <w:t xml:space="preserve"> (no date) </w:t>
      </w:r>
      <w:r w:rsidR="00B87E66" w:rsidRPr="00BF465A">
        <w:rPr>
          <w:rFonts w:ascii="Times New Roman" w:hAnsi="Times New Roman" w:cs="Times New Roman"/>
          <w:i/>
          <w:iCs/>
        </w:rPr>
        <w:t>GKToday</w:t>
      </w:r>
      <w:r w:rsidR="00B87E66" w:rsidRPr="00BF465A">
        <w:rPr>
          <w:rFonts w:ascii="Times New Roman" w:hAnsi="Times New Roman" w:cs="Times New Roman"/>
        </w:rPr>
        <w:t xml:space="preserve">. Available at: https://www.gktoday.in/assam-witness-protection-scheme-2024/ (Accessed: 25 June 2025). </w:t>
      </w:r>
    </w:p>
  </w:footnote>
  <w:footnote w:id="13">
    <w:p w14:paraId="41EB8F2F" w14:textId="7EC77063" w:rsidR="00C6107A" w:rsidRPr="00C6107A" w:rsidRDefault="00C6107A" w:rsidP="00C6107A">
      <w:pPr>
        <w:pStyle w:val="FootnoteText"/>
        <w:rPr>
          <w:lang w:val="en-US"/>
        </w:rPr>
      </w:pPr>
      <w:r>
        <w:rPr>
          <w:rStyle w:val="FootnoteReference"/>
        </w:rPr>
        <w:footnoteRef/>
      </w:r>
      <w:r>
        <w:t xml:space="preserve"> </w:t>
      </w:r>
      <w:r w:rsidR="009F4966" w:rsidRPr="009F4966">
        <w:t xml:space="preserve">Common Cause &amp; Centre for the Study of Developing Societies (CSDS), </w:t>
      </w:r>
      <w:r w:rsidR="009F4966" w:rsidRPr="009F4966">
        <w:rPr>
          <w:i/>
          <w:iCs/>
        </w:rPr>
        <w:t>Status of Policing in India Report 2018: A Study of Performance and Perceptions</w:t>
      </w:r>
      <w:r w:rsidR="009F4966" w:rsidRPr="009F4966">
        <w:t xml:space="preserve"> (2018).</w:t>
      </w:r>
    </w:p>
  </w:footnote>
  <w:footnote w:id="14">
    <w:p w14:paraId="4B9988C7" w14:textId="663B1A49" w:rsidR="00A501F9" w:rsidRPr="00BF465A" w:rsidRDefault="00A501F9" w:rsidP="000132D3">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976C50" w:rsidRPr="00BF465A">
        <w:rPr>
          <w:rFonts w:ascii="Times New Roman" w:hAnsi="Times New Roman" w:cs="Times New Roman"/>
        </w:rPr>
        <w:t xml:space="preserve">Sriharsha Devulapalli, V.P. (2019) </w:t>
      </w:r>
      <w:r w:rsidR="00976C50" w:rsidRPr="00BF465A">
        <w:rPr>
          <w:rFonts w:ascii="Times New Roman" w:hAnsi="Times New Roman" w:cs="Times New Roman"/>
          <w:i/>
          <w:iCs/>
        </w:rPr>
        <w:t>India’s police force among the world’s weakest</w:t>
      </w:r>
      <w:r w:rsidR="00976C50" w:rsidRPr="00BF465A">
        <w:rPr>
          <w:rFonts w:ascii="Times New Roman" w:hAnsi="Times New Roman" w:cs="Times New Roman"/>
        </w:rPr>
        <w:t xml:space="preserve">, </w:t>
      </w:r>
      <w:r w:rsidR="00976C50" w:rsidRPr="00BF465A">
        <w:rPr>
          <w:rFonts w:ascii="Times New Roman" w:hAnsi="Times New Roman" w:cs="Times New Roman"/>
          <w:i/>
          <w:iCs/>
        </w:rPr>
        <w:t>mint</w:t>
      </w:r>
      <w:r w:rsidR="00976C50" w:rsidRPr="00BF465A">
        <w:rPr>
          <w:rFonts w:ascii="Times New Roman" w:hAnsi="Times New Roman" w:cs="Times New Roman"/>
        </w:rPr>
        <w:t xml:space="preserve">. Available at: https://www.livemint.com/news/india/india-s-police-force-among-the-world-s-weakest-1560925355383.html (Accessed: 25 June 2025). </w:t>
      </w:r>
    </w:p>
    <w:p w14:paraId="58B633EF" w14:textId="77777777" w:rsidR="00B87E66" w:rsidRPr="00BF465A" w:rsidRDefault="00B87E66" w:rsidP="00BF465A">
      <w:pPr>
        <w:pStyle w:val="FootnoteText"/>
        <w:jc w:val="both"/>
        <w:rPr>
          <w:rFonts w:ascii="Times New Roman" w:hAnsi="Times New Roman" w:cs="Times New Roman"/>
        </w:rPr>
      </w:pPr>
    </w:p>
  </w:footnote>
  <w:footnote w:id="15">
    <w:p w14:paraId="0BA79948" w14:textId="615AFAA4" w:rsidR="00C33F21" w:rsidRPr="00BF465A" w:rsidRDefault="006F1822" w:rsidP="00BF465A">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00A44414" w:rsidRPr="00BF465A">
        <w:rPr>
          <w:rFonts w:ascii="Times New Roman" w:hAnsi="Times New Roman" w:cs="Times New Roman"/>
          <w:i/>
          <w:iCs/>
        </w:rPr>
        <w:t>Women account for 7% of entire police force in India: Report</w:t>
      </w:r>
      <w:r w:rsidR="00A44414" w:rsidRPr="00BF465A">
        <w:rPr>
          <w:rFonts w:ascii="Times New Roman" w:hAnsi="Times New Roman" w:cs="Times New Roman"/>
        </w:rPr>
        <w:t xml:space="preserve"> (2022a) </w:t>
      </w:r>
      <w:r w:rsidR="00A44414" w:rsidRPr="00BF465A">
        <w:rPr>
          <w:rFonts w:ascii="Times New Roman" w:hAnsi="Times New Roman" w:cs="Times New Roman"/>
          <w:i/>
          <w:iCs/>
        </w:rPr>
        <w:t>India Today</w:t>
      </w:r>
      <w:r w:rsidR="00A44414" w:rsidRPr="00BF465A">
        <w:rPr>
          <w:rFonts w:ascii="Times New Roman" w:hAnsi="Times New Roman" w:cs="Times New Roman"/>
        </w:rPr>
        <w:t>. Available at: https://www.indiatoday.in/india/story/women-account-for-7-of-entire-police-force-in-india-report-1616625-2019-11-07 (Accessed: 25 June 2025).</w:t>
      </w:r>
    </w:p>
  </w:footnote>
  <w:footnote w:id="16">
    <w:p w14:paraId="50F85D7B" w14:textId="31B2758E" w:rsidR="00CF6A7A" w:rsidRPr="00BF465A" w:rsidRDefault="006C50A3" w:rsidP="00BF465A">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0814FE" w:rsidRPr="00BF465A">
        <w:rPr>
          <w:rFonts w:ascii="Times New Roman" w:hAnsi="Times New Roman" w:cs="Times New Roman"/>
        </w:rPr>
        <w:t xml:space="preserve">Bureau, T.H. (2025b) </w:t>
      </w:r>
      <w:r w:rsidR="000814FE" w:rsidRPr="00BF465A">
        <w:rPr>
          <w:rFonts w:ascii="Times New Roman" w:hAnsi="Times New Roman" w:cs="Times New Roman"/>
          <w:i/>
          <w:iCs/>
        </w:rPr>
        <w:t>Torres scam whistle-blower claims to receive death threat</w:t>
      </w:r>
      <w:r w:rsidR="000814FE" w:rsidRPr="00BF465A">
        <w:rPr>
          <w:rFonts w:ascii="Times New Roman" w:hAnsi="Times New Roman" w:cs="Times New Roman"/>
        </w:rPr>
        <w:t xml:space="preserve">, </w:t>
      </w:r>
      <w:r w:rsidR="000814FE" w:rsidRPr="00BF465A">
        <w:rPr>
          <w:rFonts w:ascii="Times New Roman" w:hAnsi="Times New Roman" w:cs="Times New Roman"/>
          <w:i/>
          <w:iCs/>
        </w:rPr>
        <w:t>The Hindu</w:t>
      </w:r>
      <w:r w:rsidR="000814FE" w:rsidRPr="00BF465A">
        <w:rPr>
          <w:rFonts w:ascii="Times New Roman" w:hAnsi="Times New Roman" w:cs="Times New Roman"/>
        </w:rPr>
        <w:t xml:space="preserve">. Available at: https://www.thehindu.com/news/national/torres-scam-whistle-blower-claims-to-receive-death-threat/article69299931.ece (Accessed: 25 June 2025). </w:t>
      </w:r>
    </w:p>
  </w:footnote>
  <w:footnote w:id="17">
    <w:p w14:paraId="13B7D183" w14:textId="62D51C38" w:rsidR="000814FE" w:rsidRPr="00BF465A" w:rsidRDefault="008537CB" w:rsidP="00BF465A">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C33F21" w:rsidRPr="00BF465A">
        <w:rPr>
          <w:rFonts w:ascii="Times New Roman" w:hAnsi="Times New Roman" w:cs="Times New Roman"/>
          <w:i/>
          <w:iCs/>
        </w:rPr>
        <w:t>India’s justice system is failing survivors of caste-based sexual violence</w:t>
      </w:r>
      <w:r w:rsidR="00C33F21" w:rsidRPr="00BF465A">
        <w:rPr>
          <w:rFonts w:ascii="Times New Roman" w:hAnsi="Times New Roman" w:cs="Times New Roman"/>
        </w:rPr>
        <w:t xml:space="preserve"> (2021) </w:t>
      </w:r>
      <w:r w:rsidR="00C33F21" w:rsidRPr="00BF465A">
        <w:rPr>
          <w:rFonts w:ascii="Times New Roman" w:hAnsi="Times New Roman" w:cs="Times New Roman"/>
          <w:i/>
          <w:iCs/>
        </w:rPr>
        <w:t>Equality Now</w:t>
      </w:r>
      <w:r w:rsidR="00C33F21" w:rsidRPr="00BF465A">
        <w:rPr>
          <w:rFonts w:ascii="Times New Roman" w:hAnsi="Times New Roman" w:cs="Times New Roman"/>
        </w:rPr>
        <w:t xml:space="preserve">. Available at: https://equalitynow.org/press_release/india_caste_system_preventing_justice_nov2020/ (Accessed: 25 June 2025). </w:t>
      </w:r>
    </w:p>
    <w:p w14:paraId="2CF0437E" w14:textId="77777777" w:rsidR="008537CB" w:rsidRPr="00BF465A" w:rsidRDefault="008537CB" w:rsidP="00BF465A">
      <w:pPr>
        <w:pStyle w:val="FootnoteText"/>
        <w:jc w:val="both"/>
        <w:rPr>
          <w:rFonts w:ascii="Times New Roman" w:hAnsi="Times New Roman" w:cs="Times New Roman"/>
          <w:lang w:val="en-US"/>
        </w:rPr>
      </w:pPr>
    </w:p>
  </w:footnote>
  <w:footnote w:id="18">
    <w:p w14:paraId="634201CD" w14:textId="26FC463D" w:rsidR="00A75D4A" w:rsidRPr="00BF465A" w:rsidRDefault="00A37FF8" w:rsidP="00BF465A">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CF6A7A" w:rsidRPr="00BF465A">
        <w:rPr>
          <w:rFonts w:ascii="Times New Roman" w:hAnsi="Times New Roman" w:cs="Times New Roman"/>
        </w:rPr>
        <w:t xml:space="preserve">Bureau, T.H. (2025) </w:t>
      </w:r>
      <w:r w:rsidR="00CF6A7A" w:rsidRPr="00BF465A">
        <w:rPr>
          <w:rFonts w:ascii="Times New Roman" w:hAnsi="Times New Roman" w:cs="Times New Roman"/>
          <w:i/>
          <w:iCs/>
        </w:rPr>
        <w:t>Regional spokesperson of jehovah witness receives threat over Whatsapp to bomb the congregation’s places of worship and prayer meetings</w:t>
      </w:r>
      <w:r w:rsidR="00CF6A7A" w:rsidRPr="00BF465A">
        <w:rPr>
          <w:rFonts w:ascii="Times New Roman" w:hAnsi="Times New Roman" w:cs="Times New Roman"/>
        </w:rPr>
        <w:t xml:space="preserve">, </w:t>
      </w:r>
      <w:r w:rsidR="00CF6A7A" w:rsidRPr="00BF465A">
        <w:rPr>
          <w:rFonts w:ascii="Times New Roman" w:hAnsi="Times New Roman" w:cs="Times New Roman"/>
          <w:i/>
          <w:iCs/>
        </w:rPr>
        <w:t>The Hindu</w:t>
      </w:r>
      <w:r w:rsidR="00CF6A7A" w:rsidRPr="00BF465A">
        <w:rPr>
          <w:rFonts w:ascii="Times New Roman" w:hAnsi="Times New Roman" w:cs="Times New Roman"/>
        </w:rPr>
        <w:t xml:space="preserve">. Available at: https://www.thehindu.com/news/national/kerala/regional-spokesperson-of-jehovah-witness-receives-threat-over-whatsapp-to-bomb-the-congregations-places-of-worship-and-prayer-meetings/article69575405.ece (Accessed: 25 June 2025). </w:t>
      </w:r>
      <w:r w:rsidR="00CF6A7A" w:rsidRPr="00BF465A">
        <w:rPr>
          <w:rFonts w:ascii="Times New Roman" w:hAnsi="Times New Roman" w:cs="Times New Roman"/>
        </w:rPr>
        <w:t xml:space="preserve"> </w:t>
      </w:r>
    </w:p>
  </w:footnote>
  <w:footnote w:id="19">
    <w:p w14:paraId="14A9FEF9" w14:textId="302861A3" w:rsidR="009943E0" w:rsidRPr="00BF465A" w:rsidRDefault="00B42B0F" w:rsidP="00BF465A">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00162D02" w:rsidRPr="00BF465A">
        <w:rPr>
          <w:rFonts w:ascii="Times New Roman" w:hAnsi="Times New Roman" w:cs="Times New Roman"/>
          <w:i/>
          <w:iCs/>
        </w:rPr>
        <w:t>The latest Cyber Crime Statistics (updated June 2025): AAG IT support</w:t>
      </w:r>
      <w:r w:rsidR="00162D02" w:rsidRPr="00BF465A">
        <w:rPr>
          <w:rFonts w:ascii="Times New Roman" w:hAnsi="Times New Roman" w:cs="Times New Roman"/>
        </w:rPr>
        <w:t xml:space="preserve"> (2025) </w:t>
      </w:r>
      <w:r w:rsidR="00162D02" w:rsidRPr="00BF465A">
        <w:rPr>
          <w:rFonts w:ascii="Times New Roman" w:hAnsi="Times New Roman" w:cs="Times New Roman"/>
          <w:i/>
          <w:iCs/>
        </w:rPr>
        <w:t>AAG IT Services</w:t>
      </w:r>
      <w:r w:rsidR="00162D02" w:rsidRPr="00BF465A">
        <w:rPr>
          <w:rFonts w:ascii="Times New Roman" w:hAnsi="Times New Roman" w:cs="Times New Roman"/>
        </w:rPr>
        <w:t xml:space="preserve">. Available at: https://aag-it.com/the-latest-cyber-crime-statistics/ (Accessed: 25 June 2025). </w:t>
      </w:r>
    </w:p>
  </w:footnote>
  <w:footnote w:id="20">
    <w:p w14:paraId="3CC40363" w14:textId="679D1CAB" w:rsidR="00162D02" w:rsidRPr="00BF465A" w:rsidRDefault="00F70824" w:rsidP="00BF465A">
      <w:pPr>
        <w:pStyle w:val="FootnoteText"/>
        <w:jc w:val="both"/>
        <w:rPr>
          <w:rFonts w:ascii="Times New Roman" w:hAnsi="Times New Roman" w:cs="Times New Roman"/>
        </w:rPr>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62610F" w:rsidRPr="00BF465A">
        <w:rPr>
          <w:rFonts w:ascii="Times New Roman" w:hAnsi="Times New Roman" w:cs="Times New Roman"/>
          <w:i/>
          <w:iCs/>
        </w:rPr>
        <w:t>‘Indians lost nearly rs 2,000 crore to digital arrest scams in 2024’: Report</w:t>
      </w:r>
      <w:r w:rsidR="0062610F" w:rsidRPr="00BF465A">
        <w:rPr>
          <w:rFonts w:ascii="Times New Roman" w:hAnsi="Times New Roman" w:cs="Times New Roman"/>
        </w:rPr>
        <w:t xml:space="preserve"> (no date) </w:t>
      </w:r>
      <w:r w:rsidR="0062610F" w:rsidRPr="00BF465A">
        <w:rPr>
          <w:rFonts w:ascii="Times New Roman" w:hAnsi="Times New Roman" w:cs="Times New Roman"/>
          <w:i/>
          <w:iCs/>
        </w:rPr>
        <w:t>The Wire</w:t>
      </w:r>
      <w:r w:rsidR="0062610F" w:rsidRPr="00BF465A">
        <w:rPr>
          <w:rFonts w:ascii="Times New Roman" w:hAnsi="Times New Roman" w:cs="Times New Roman"/>
        </w:rPr>
        <w:t xml:space="preserve">. Available at: https://thewire.in/tech/indians-lost-nearly-rs-2000-crore-to-digital-arrest-scams-in-2024-report (Accessed: 25 June 2025). </w:t>
      </w:r>
    </w:p>
  </w:footnote>
  <w:footnote w:id="21">
    <w:p w14:paraId="2FE0C2FE" w14:textId="1816632A" w:rsidR="00540F47" w:rsidRPr="00A75D4A" w:rsidRDefault="00540F47" w:rsidP="00BF465A">
      <w:pPr>
        <w:pStyle w:val="FootnoteText"/>
        <w:jc w:val="both"/>
      </w:pPr>
      <w:r w:rsidRPr="00BF465A">
        <w:rPr>
          <w:rStyle w:val="FootnoteReference"/>
          <w:rFonts w:ascii="Times New Roman" w:hAnsi="Times New Roman" w:cs="Times New Roman"/>
        </w:rPr>
        <w:footnoteRef/>
      </w:r>
      <w:r w:rsidRPr="00BF465A">
        <w:rPr>
          <w:rFonts w:ascii="Times New Roman" w:hAnsi="Times New Roman" w:cs="Times New Roman"/>
        </w:rPr>
        <w:t xml:space="preserve"> </w:t>
      </w:r>
      <w:r w:rsidR="00A75D4A" w:rsidRPr="00BF465A">
        <w:rPr>
          <w:rFonts w:ascii="Times New Roman" w:hAnsi="Times New Roman" w:cs="Times New Roman"/>
          <w:i/>
          <w:iCs/>
        </w:rPr>
        <w:t>Women account for 7% of entire police force in India: Report</w:t>
      </w:r>
      <w:r w:rsidR="00A75D4A" w:rsidRPr="00BF465A">
        <w:rPr>
          <w:rFonts w:ascii="Times New Roman" w:hAnsi="Times New Roman" w:cs="Times New Roman"/>
        </w:rPr>
        <w:t xml:space="preserve"> (2022) </w:t>
      </w:r>
      <w:r w:rsidR="00A75D4A" w:rsidRPr="00BF465A">
        <w:rPr>
          <w:rFonts w:ascii="Times New Roman" w:hAnsi="Times New Roman" w:cs="Times New Roman"/>
          <w:i/>
          <w:iCs/>
        </w:rPr>
        <w:t>India Today</w:t>
      </w:r>
      <w:r w:rsidR="00A75D4A" w:rsidRPr="00BF465A">
        <w:rPr>
          <w:rFonts w:ascii="Times New Roman" w:hAnsi="Times New Roman" w:cs="Times New Roman"/>
        </w:rPr>
        <w:t>. Available at: https://www.indiatoday.in/india/story/women-account-for-7</w:t>
      </w:r>
      <w:r w:rsidR="00A75D4A" w:rsidRPr="00A75D4A">
        <w:t xml:space="preserve">-of-entire-police-force-in-india-report-1616625-2019-11-07 (Accessed: 25 June 2025). </w:t>
      </w:r>
    </w:p>
    <w:p w14:paraId="6D619AEC" w14:textId="77777777" w:rsidR="0062610F" w:rsidRPr="00007D49" w:rsidRDefault="0062610F" w:rsidP="00012983">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background1" w:themeShade="7F"/>
        <w:spacing w:val="60"/>
      </w:rPr>
      <w:id w:val="-875316998"/>
      <w:docPartObj>
        <w:docPartGallery w:val="Page Numbers (Top of Page)"/>
        <w:docPartUnique/>
      </w:docPartObj>
    </w:sdtPr>
    <w:sdtEndPr>
      <w:rPr>
        <w:b/>
        <w:bCs/>
        <w:noProof/>
        <w:color w:val="auto"/>
        <w:spacing w:val="0"/>
      </w:rPr>
    </w:sdtEndPr>
    <w:sdtContent>
      <w:p w14:paraId="3D1504F7" w14:textId="30AFDE25" w:rsidR="000132D3" w:rsidRDefault="000132D3">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30E0F92E" w14:textId="77777777" w:rsidR="0017713C" w:rsidRDefault="001771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F1781"/>
    <w:multiLevelType w:val="hybridMultilevel"/>
    <w:tmpl w:val="A79811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C10538E"/>
    <w:multiLevelType w:val="hybridMultilevel"/>
    <w:tmpl w:val="767048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0187201"/>
    <w:multiLevelType w:val="multilevel"/>
    <w:tmpl w:val="E760D32C"/>
    <w:lvl w:ilvl="0">
      <w:start w:val="1"/>
      <w:numFmt w:val="decimal"/>
      <w:pStyle w:val="Heading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2E8506C"/>
    <w:multiLevelType w:val="hybridMultilevel"/>
    <w:tmpl w:val="82100A12"/>
    <w:lvl w:ilvl="0" w:tplc="43FCA55C">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BD00D27"/>
    <w:multiLevelType w:val="hybridMultilevel"/>
    <w:tmpl w:val="3656D7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40036909">
    <w:abstractNumId w:val="3"/>
  </w:num>
  <w:num w:numId="2" w16cid:durableId="1925720710">
    <w:abstractNumId w:val="2"/>
  </w:num>
  <w:num w:numId="3" w16cid:durableId="1332836739">
    <w:abstractNumId w:val="4"/>
  </w:num>
  <w:num w:numId="4" w16cid:durableId="860364241">
    <w:abstractNumId w:val="1"/>
  </w:num>
  <w:num w:numId="5" w16cid:durableId="10896937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995"/>
    <w:rsid w:val="0000007E"/>
    <w:rsid w:val="00002B4C"/>
    <w:rsid w:val="00007D49"/>
    <w:rsid w:val="00012983"/>
    <w:rsid w:val="00012F7A"/>
    <w:rsid w:val="000132D3"/>
    <w:rsid w:val="00014A9A"/>
    <w:rsid w:val="00022619"/>
    <w:rsid w:val="00031787"/>
    <w:rsid w:val="000331D3"/>
    <w:rsid w:val="00035D00"/>
    <w:rsid w:val="0004094F"/>
    <w:rsid w:val="00054ECA"/>
    <w:rsid w:val="00055CE2"/>
    <w:rsid w:val="00064F0D"/>
    <w:rsid w:val="00067A7C"/>
    <w:rsid w:val="00073664"/>
    <w:rsid w:val="00073E16"/>
    <w:rsid w:val="000814FE"/>
    <w:rsid w:val="00084C36"/>
    <w:rsid w:val="00094FB6"/>
    <w:rsid w:val="00097D1C"/>
    <w:rsid w:val="000A045B"/>
    <w:rsid w:val="000A6FEB"/>
    <w:rsid w:val="000B40E4"/>
    <w:rsid w:val="000B6C15"/>
    <w:rsid w:val="000D0B12"/>
    <w:rsid w:val="000D1D0B"/>
    <w:rsid w:val="000E736B"/>
    <w:rsid w:val="000F06B7"/>
    <w:rsid w:val="000F2A09"/>
    <w:rsid w:val="000F5063"/>
    <w:rsid w:val="000F5B44"/>
    <w:rsid w:val="000F7718"/>
    <w:rsid w:val="000F7768"/>
    <w:rsid w:val="001059B4"/>
    <w:rsid w:val="00107B01"/>
    <w:rsid w:val="00111911"/>
    <w:rsid w:val="00122864"/>
    <w:rsid w:val="00127170"/>
    <w:rsid w:val="0014012B"/>
    <w:rsid w:val="0014139B"/>
    <w:rsid w:val="00143C90"/>
    <w:rsid w:val="00144C36"/>
    <w:rsid w:val="001516E7"/>
    <w:rsid w:val="001525B4"/>
    <w:rsid w:val="00162D02"/>
    <w:rsid w:val="001650B2"/>
    <w:rsid w:val="001715BD"/>
    <w:rsid w:val="00175ABD"/>
    <w:rsid w:val="0017713C"/>
    <w:rsid w:val="00181481"/>
    <w:rsid w:val="001843F7"/>
    <w:rsid w:val="001910D2"/>
    <w:rsid w:val="0019568F"/>
    <w:rsid w:val="001A5346"/>
    <w:rsid w:val="001B2086"/>
    <w:rsid w:val="001D5DA0"/>
    <w:rsid w:val="001E104E"/>
    <w:rsid w:val="001F2064"/>
    <w:rsid w:val="001F27EF"/>
    <w:rsid w:val="001F3909"/>
    <w:rsid w:val="002110BD"/>
    <w:rsid w:val="00213D54"/>
    <w:rsid w:val="00222D74"/>
    <w:rsid w:val="00224DCE"/>
    <w:rsid w:val="002315DA"/>
    <w:rsid w:val="00241BF7"/>
    <w:rsid w:val="00244293"/>
    <w:rsid w:val="0025303D"/>
    <w:rsid w:val="00253626"/>
    <w:rsid w:val="002638C4"/>
    <w:rsid w:val="00297C86"/>
    <w:rsid w:val="002A180D"/>
    <w:rsid w:val="002A3810"/>
    <w:rsid w:val="002B6712"/>
    <w:rsid w:val="002C5E8F"/>
    <w:rsid w:val="002C7A14"/>
    <w:rsid w:val="002E1396"/>
    <w:rsid w:val="0030365A"/>
    <w:rsid w:val="003121EA"/>
    <w:rsid w:val="00321885"/>
    <w:rsid w:val="00322098"/>
    <w:rsid w:val="003247A6"/>
    <w:rsid w:val="00324995"/>
    <w:rsid w:val="00333ADE"/>
    <w:rsid w:val="00337425"/>
    <w:rsid w:val="00352B97"/>
    <w:rsid w:val="00353C74"/>
    <w:rsid w:val="00361334"/>
    <w:rsid w:val="0036457E"/>
    <w:rsid w:val="00370DA6"/>
    <w:rsid w:val="003727CA"/>
    <w:rsid w:val="003873BD"/>
    <w:rsid w:val="00395BFB"/>
    <w:rsid w:val="003B3430"/>
    <w:rsid w:val="003B6856"/>
    <w:rsid w:val="003C3031"/>
    <w:rsid w:val="003E16E8"/>
    <w:rsid w:val="003E63CB"/>
    <w:rsid w:val="003E7700"/>
    <w:rsid w:val="004002BB"/>
    <w:rsid w:val="0041171D"/>
    <w:rsid w:val="00413FA4"/>
    <w:rsid w:val="004229B1"/>
    <w:rsid w:val="004302BA"/>
    <w:rsid w:val="00431CDE"/>
    <w:rsid w:val="004454C7"/>
    <w:rsid w:val="00453092"/>
    <w:rsid w:val="00460281"/>
    <w:rsid w:val="004638F4"/>
    <w:rsid w:val="004675E0"/>
    <w:rsid w:val="004A684E"/>
    <w:rsid w:val="004A794E"/>
    <w:rsid w:val="004C176A"/>
    <w:rsid w:val="004C66E8"/>
    <w:rsid w:val="004D1013"/>
    <w:rsid w:val="004D5985"/>
    <w:rsid w:val="004D613D"/>
    <w:rsid w:val="004D70E0"/>
    <w:rsid w:val="004D715F"/>
    <w:rsid w:val="004E1DD0"/>
    <w:rsid w:val="00505B24"/>
    <w:rsid w:val="005208ED"/>
    <w:rsid w:val="00522160"/>
    <w:rsid w:val="00531A82"/>
    <w:rsid w:val="00540F47"/>
    <w:rsid w:val="005412EE"/>
    <w:rsid w:val="00543E4F"/>
    <w:rsid w:val="00546B63"/>
    <w:rsid w:val="00551702"/>
    <w:rsid w:val="00555ACA"/>
    <w:rsid w:val="00561A39"/>
    <w:rsid w:val="00567787"/>
    <w:rsid w:val="00570045"/>
    <w:rsid w:val="00571913"/>
    <w:rsid w:val="005814EE"/>
    <w:rsid w:val="00585B36"/>
    <w:rsid w:val="005906FE"/>
    <w:rsid w:val="005A429B"/>
    <w:rsid w:val="005D0D07"/>
    <w:rsid w:val="005D141B"/>
    <w:rsid w:val="005E6BC6"/>
    <w:rsid w:val="005E71C6"/>
    <w:rsid w:val="005F13D3"/>
    <w:rsid w:val="0060590A"/>
    <w:rsid w:val="00607832"/>
    <w:rsid w:val="0061253D"/>
    <w:rsid w:val="00622641"/>
    <w:rsid w:val="0062610F"/>
    <w:rsid w:val="00627B57"/>
    <w:rsid w:val="006475B5"/>
    <w:rsid w:val="00650F71"/>
    <w:rsid w:val="00661B4A"/>
    <w:rsid w:val="0067448A"/>
    <w:rsid w:val="00674500"/>
    <w:rsid w:val="0067695A"/>
    <w:rsid w:val="00676FAB"/>
    <w:rsid w:val="00681D07"/>
    <w:rsid w:val="00685B66"/>
    <w:rsid w:val="00690466"/>
    <w:rsid w:val="00696206"/>
    <w:rsid w:val="006967D1"/>
    <w:rsid w:val="006B37E9"/>
    <w:rsid w:val="006B672C"/>
    <w:rsid w:val="006C50A3"/>
    <w:rsid w:val="006C7ACC"/>
    <w:rsid w:val="006E50C9"/>
    <w:rsid w:val="006F1822"/>
    <w:rsid w:val="00701271"/>
    <w:rsid w:val="007111EC"/>
    <w:rsid w:val="00711E5E"/>
    <w:rsid w:val="00725480"/>
    <w:rsid w:val="00753A3C"/>
    <w:rsid w:val="00755393"/>
    <w:rsid w:val="0076229D"/>
    <w:rsid w:val="007751BB"/>
    <w:rsid w:val="00777873"/>
    <w:rsid w:val="007935AC"/>
    <w:rsid w:val="00795E01"/>
    <w:rsid w:val="007A4BFF"/>
    <w:rsid w:val="007A6698"/>
    <w:rsid w:val="007B18CA"/>
    <w:rsid w:val="007B704D"/>
    <w:rsid w:val="007C0A0C"/>
    <w:rsid w:val="007D36E0"/>
    <w:rsid w:val="007D6C01"/>
    <w:rsid w:val="007D79D5"/>
    <w:rsid w:val="007E3E02"/>
    <w:rsid w:val="007E674C"/>
    <w:rsid w:val="007E70FF"/>
    <w:rsid w:val="007F29C5"/>
    <w:rsid w:val="007F40D5"/>
    <w:rsid w:val="0080325A"/>
    <w:rsid w:val="00807363"/>
    <w:rsid w:val="00813A10"/>
    <w:rsid w:val="00815075"/>
    <w:rsid w:val="008161B0"/>
    <w:rsid w:val="0083615D"/>
    <w:rsid w:val="008537CB"/>
    <w:rsid w:val="00853BAF"/>
    <w:rsid w:val="00860B46"/>
    <w:rsid w:val="0087461F"/>
    <w:rsid w:val="00886A78"/>
    <w:rsid w:val="00897553"/>
    <w:rsid w:val="008A4764"/>
    <w:rsid w:val="008B092E"/>
    <w:rsid w:val="008C05E8"/>
    <w:rsid w:val="008C0BB0"/>
    <w:rsid w:val="008C4244"/>
    <w:rsid w:val="008C647C"/>
    <w:rsid w:val="008D102B"/>
    <w:rsid w:val="008D567C"/>
    <w:rsid w:val="008F31E8"/>
    <w:rsid w:val="008F39A8"/>
    <w:rsid w:val="00902D98"/>
    <w:rsid w:val="00902E57"/>
    <w:rsid w:val="00906E5E"/>
    <w:rsid w:val="009228C7"/>
    <w:rsid w:val="009234AF"/>
    <w:rsid w:val="009266EB"/>
    <w:rsid w:val="00936604"/>
    <w:rsid w:val="00942F57"/>
    <w:rsid w:val="00952CC6"/>
    <w:rsid w:val="00953D51"/>
    <w:rsid w:val="00960B8D"/>
    <w:rsid w:val="00970DDF"/>
    <w:rsid w:val="00976C50"/>
    <w:rsid w:val="00983A5E"/>
    <w:rsid w:val="009901A0"/>
    <w:rsid w:val="009933DC"/>
    <w:rsid w:val="009943E0"/>
    <w:rsid w:val="009A3DC6"/>
    <w:rsid w:val="009C1BF7"/>
    <w:rsid w:val="009D286C"/>
    <w:rsid w:val="009D4320"/>
    <w:rsid w:val="009D5730"/>
    <w:rsid w:val="009D685F"/>
    <w:rsid w:val="009E41C3"/>
    <w:rsid w:val="009F4966"/>
    <w:rsid w:val="00A018D0"/>
    <w:rsid w:val="00A13F51"/>
    <w:rsid w:val="00A17999"/>
    <w:rsid w:val="00A2674B"/>
    <w:rsid w:val="00A33594"/>
    <w:rsid w:val="00A37FF8"/>
    <w:rsid w:val="00A40174"/>
    <w:rsid w:val="00A43A92"/>
    <w:rsid w:val="00A44414"/>
    <w:rsid w:val="00A501F9"/>
    <w:rsid w:val="00A60F16"/>
    <w:rsid w:val="00A703F3"/>
    <w:rsid w:val="00A75D4A"/>
    <w:rsid w:val="00A76701"/>
    <w:rsid w:val="00A816BE"/>
    <w:rsid w:val="00A86818"/>
    <w:rsid w:val="00AA19A9"/>
    <w:rsid w:val="00AA2151"/>
    <w:rsid w:val="00AA5F08"/>
    <w:rsid w:val="00AB539D"/>
    <w:rsid w:val="00AD7EB8"/>
    <w:rsid w:val="00AE3874"/>
    <w:rsid w:val="00AE7438"/>
    <w:rsid w:val="00AF125D"/>
    <w:rsid w:val="00AF13AA"/>
    <w:rsid w:val="00AF5139"/>
    <w:rsid w:val="00AF588F"/>
    <w:rsid w:val="00B15A96"/>
    <w:rsid w:val="00B21D9C"/>
    <w:rsid w:val="00B243D6"/>
    <w:rsid w:val="00B263BA"/>
    <w:rsid w:val="00B3665B"/>
    <w:rsid w:val="00B42B0F"/>
    <w:rsid w:val="00B44A0F"/>
    <w:rsid w:val="00B547FA"/>
    <w:rsid w:val="00B61125"/>
    <w:rsid w:val="00B63671"/>
    <w:rsid w:val="00B732FA"/>
    <w:rsid w:val="00B81325"/>
    <w:rsid w:val="00B84725"/>
    <w:rsid w:val="00B87E66"/>
    <w:rsid w:val="00B96539"/>
    <w:rsid w:val="00BB7A3F"/>
    <w:rsid w:val="00BC0A11"/>
    <w:rsid w:val="00BC1D2D"/>
    <w:rsid w:val="00BC5A33"/>
    <w:rsid w:val="00BF465A"/>
    <w:rsid w:val="00C122A1"/>
    <w:rsid w:val="00C33F21"/>
    <w:rsid w:val="00C429EB"/>
    <w:rsid w:val="00C566B6"/>
    <w:rsid w:val="00C60EB9"/>
    <w:rsid w:val="00C6107A"/>
    <w:rsid w:val="00C62337"/>
    <w:rsid w:val="00C63952"/>
    <w:rsid w:val="00C87C3B"/>
    <w:rsid w:val="00C914AD"/>
    <w:rsid w:val="00C943A1"/>
    <w:rsid w:val="00CB2A43"/>
    <w:rsid w:val="00CC4D0C"/>
    <w:rsid w:val="00CD6C37"/>
    <w:rsid w:val="00CE0807"/>
    <w:rsid w:val="00CF24F1"/>
    <w:rsid w:val="00CF3E45"/>
    <w:rsid w:val="00CF6A7A"/>
    <w:rsid w:val="00CF7324"/>
    <w:rsid w:val="00D01198"/>
    <w:rsid w:val="00D06D2F"/>
    <w:rsid w:val="00D10A47"/>
    <w:rsid w:val="00D1108D"/>
    <w:rsid w:val="00D25E6E"/>
    <w:rsid w:val="00D47B9D"/>
    <w:rsid w:val="00D566C3"/>
    <w:rsid w:val="00D60FF6"/>
    <w:rsid w:val="00D611EE"/>
    <w:rsid w:val="00D617BD"/>
    <w:rsid w:val="00D70BA7"/>
    <w:rsid w:val="00D8582A"/>
    <w:rsid w:val="00D86446"/>
    <w:rsid w:val="00DA2781"/>
    <w:rsid w:val="00DA54F7"/>
    <w:rsid w:val="00DC1997"/>
    <w:rsid w:val="00DD784B"/>
    <w:rsid w:val="00DD7D12"/>
    <w:rsid w:val="00DE16CC"/>
    <w:rsid w:val="00DE4726"/>
    <w:rsid w:val="00DF4435"/>
    <w:rsid w:val="00E01498"/>
    <w:rsid w:val="00E01B68"/>
    <w:rsid w:val="00E02782"/>
    <w:rsid w:val="00E10C77"/>
    <w:rsid w:val="00E15E5E"/>
    <w:rsid w:val="00E22D16"/>
    <w:rsid w:val="00E26174"/>
    <w:rsid w:val="00E36795"/>
    <w:rsid w:val="00E43E5E"/>
    <w:rsid w:val="00E467F4"/>
    <w:rsid w:val="00E636C1"/>
    <w:rsid w:val="00E646DD"/>
    <w:rsid w:val="00E706B8"/>
    <w:rsid w:val="00E73DC5"/>
    <w:rsid w:val="00E75B93"/>
    <w:rsid w:val="00E7637B"/>
    <w:rsid w:val="00E805C1"/>
    <w:rsid w:val="00E963AB"/>
    <w:rsid w:val="00EA0E85"/>
    <w:rsid w:val="00EA251F"/>
    <w:rsid w:val="00EA5397"/>
    <w:rsid w:val="00EA7366"/>
    <w:rsid w:val="00EB0572"/>
    <w:rsid w:val="00EB4337"/>
    <w:rsid w:val="00EC2C18"/>
    <w:rsid w:val="00ED414A"/>
    <w:rsid w:val="00ED666F"/>
    <w:rsid w:val="00ED73BB"/>
    <w:rsid w:val="00EE2DCD"/>
    <w:rsid w:val="00EF2270"/>
    <w:rsid w:val="00EF5044"/>
    <w:rsid w:val="00F11212"/>
    <w:rsid w:val="00F1159C"/>
    <w:rsid w:val="00F21CAB"/>
    <w:rsid w:val="00F419E8"/>
    <w:rsid w:val="00F44496"/>
    <w:rsid w:val="00F50788"/>
    <w:rsid w:val="00F53E02"/>
    <w:rsid w:val="00F556E8"/>
    <w:rsid w:val="00F5697E"/>
    <w:rsid w:val="00F6349A"/>
    <w:rsid w:val="00F659D9"/>
    <w:rsid w:val="00F67FC7"/>
    <w:rsid w:val="00F70824"/>
    <w:rsid w:val="00F71AC0"/>
    <w:rsid w:val="00F735B7"/>
    <w:rsid w:val="00F80625"/>
    <w:rsid w:val="00F91E40"/>
    <w:rsid w:val="00F94E91"/>
    <w:rsid w:val="00F96E2C"/>
    <w:rsid w:val="00FA0085"/>
    <w:rsid w:val="00FB23BE"/>
    <w:rsid w:val="00FB2940"/>
    <w:rsid w:val="00FD42BB"/>
    <w:rsid w:val="00FE156C"/>
    <w:rsid w:val="00FF63C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45D94F"/>
  <w15:chartTrackingRefBased/>
  <w15:docId w15:val="{D1683821-FE7D-4C75-8390-8D9886B41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3BD"/>
    <w:pPr>
      <w:spacing w:before="120" w:after="120"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B61125"/>
    <w:pPr>
      <w:keepNext/>
      <w:keepLines/>
      <w:pBdr>
        <w:top w:val="single" w:sz="12" w:space="1" w:color="auto"/>
        <w:bottom w:val="single" w:sz="12" w:space="1" w:color="auto"/>
      </w:pBdr>
      <w:jc w:val="center"/>
      <w:outlineLvl w:val="0"/>
    </w:pPr>
    <w:rPr>
      <w:rFonts w:eastAsiaTheme="majorEastAsia" w:cstheme="majorBidi"/>
      <w:b/>
      <w:caps/>
      <w:sz w:val="28"/>
      <w:szCs w:val="32"/>
    </w:rPr>
  </w:style>
  <w:style w:type="paragraph" w:styleId="Heading2">
    <w:name w:val="heading 2"/>
    <w:basedOn w:val="Normal"/>
    <w:next w:val="Normal"/>
    <w:link w:val="Heading2Char"/>
    <w:uiPriority w:val="9"/>
    <w:unhideWhenUsed/>
    <w:qFormat/>
    <w:rsid w:val="00B61125"/>
    <w:pPr>
      <w:keepNext/>
      <w:keepLines/>
      <w:spacing w:before="40" w:after="0"/>
      <w:outlineLvl w:val="1"/>
    </w:pPr>
    <w:rPr>
      <w:rFonts w:eastAsiaTheme="majorEastAsia" w:cstheme="majorBidi"/>
      <w:b/>
      <w:smallCaps/>
      <w:szCs w:val="26"/>
    </w:rPr>
  </w:style>
  <w:style w:type="paragraph" w:styleId="Heading3">
    <w:name w:val="heading 3"/>
    <w:basedOn w:val="Normal"/>
    <w:next w:val="Normal"/>
    <w:link w:val="Heading3Char"/>
    <w:uiPriority w:val="9"/>
    <w:unhideWhenUsed/>
    <w:qFormat/>
    <w:rsid w:val="00B61125"/>
    <w:pPr>
      <w:keepNext/>
      <w:keepLines/>
      <w:numPr>
        <w:numId w:val="2"/>
      </w:numPr>
      <w:spacing w:before="40" w:after="0"/>
      <w:ind w:hanging="360"/>
      <w:outlineLvl w:val="2"/>
    </w:pPr>
    <w:rPr>
      <w:rFonts w:eastAsiaTheme="majorEastAsia" w:cstheme="majorBidi"/>
      <w:b/>
      <w:szCs w:val="24"/>
    </w:rPr>
  </w:style>
  <w:style w:type="paragraph" w:styleId="Heading4">
    <w:name w:val="heading 4"/>
    <w:basedOn w:val="Normal"/>
    <w:next w:val="Normal"/>
    <w:link w:val="Heading4Char"/>
    <w:uiPriority w:val="9"/>
    <w:semiHidden/>
    <w:unhideWhenUsed/>
    <w:qFormat/>
    <w:rsid w:val="00324995"/>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24995"/>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32499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2499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24995"/>
    <w:pPr>
      <w:keepNext/>
      <w:keepLines/>
      <w:spacing w:before="0"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24995"/>
    <w:pPr>
      <w:keepNext/>
      <w:keepLines/>
      <w:spacing w:before="0"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1125"/>
    <w:rPr>
      <w:rFonts w:ascii="Times New Roman" w:eastAsiaTheme="majorEastAsia" w:hAnsi="Times New Roman" w:cstheme="majorBidi"/>
      <w:b/>
      <w:caps/>
      <w:kern w:val="2"/>
      <w:sz w:val="28"/>
      <w:szCs w:val="32"/>
      <w14:ligatures w14:val="standardContextual"/>
    </w:rPr>
  </w:style>
  <w:style w:type="character" w:customStyle="1" w:styleId="Heading2Char">
    <w:name w:val="Heading 2 Char"/>
    <w:basedOn w:val="DefaultParagraphFont"/>
    <w:link w:val="Heading2"/>
    <w:uiPriority w:val="9"/>
    <w:rsid w:val="00B61125"/>
    <w:rPr>
      <w:rFonts w:ascii="Times New Roman" w:eastAsiaTheme="majorEastAsia" w:hAnsi="Times New Roman" w:cstheme="majorBidi"/>
      <w:b/>
      <w:smallCaps/>
      <w:kern w:val="2"/>
      <w:sz w:val="24"/>
      <w:szCs w:val="26"/>
      <w14:ligatures w14:val="standardContextual"/>
    </w:rPr>
  </w:style>
  <w:style w:type="character" w:customStyle="1" w:styleId="Heading3Char">
    <w:name w:val="Heading 3 Char"/>
    <w:basedOn w:val="DefaultParagraphFont"/>
    <w:link w:val="Heading3"/>
    <w:uiPriority w:val="9"/>
    <w:rsid w:val="00B61125"/>
    <w:rPr>
      <w:rFonts w:ascii="Times New Roman" w:eastAsiaTheme="majorEastAsia" w:hAnsi="Times New Roman" w:cstheme="majorBidi"/>
      <w:b/>
      <w:kern w:val="2"/>
      <w:sz w:val="24"/>
      <w:szCs w:val="24"/>
      <w14:ligatures w14:val="standardContextual"/>
    </w:rPr>
  </w:style>
  <w:style w:type="character" w:customStyle="1" w:styleId="Heading4Char">
    <w:name w:val="Heading 4 Char"/>
    <w:basedOn w:val="DefaultParagraphFont"/>
    <w:link w:val="Heading4"/>
    <w:uiPriority w:val="9"/>
    <w:semiHidden/>
    <w:rsid w:val="00324995"/>
    <w:rPr>
      <w:rFonts w:eastAsiaTheme="majorEastAsia" w:cstheme="majorBidi"/>
      <w:i/>
      <w:iCs/>
      <w:color w:val="2F5496" w:themeColor="accent1" w:themeShade="BF"/>
      <w:sz w:val="24"/>
    </w:rPr>
  </w:style>
  <w:style w:type="character" w:customStyle="1" w:styleId="Heading5Char">
    <w:name w:val="Heading 5 Char"/>
    <w:basedOn w:val="DefaultParagraphFont"/>
    <w:link w:val="Heading5"/>
    <w:uiPriority w:val="9"/>
    <w:semiHidden/>
    <w:rsid w:val="00324995"/>
    <w:rPr>
      <w:rFonts w:eastAsiaTheme="majorEastAsia" w:cstheme="majorBidi"/>
      <w:color w:val="2F5496" w:themeColor="accent1" w:themeShade="BF"/>
      <w:sz w:val="24"/>
    </w:rPr>
  </w:style>
  <w:style w:type="character" w:customStyle="1" w:styleId="Heading6Char">
    <w:name w:val="Heading 6 Char"/>
    <w:basedOn w:val="DefaultParagraphFont"/>
    <w:link w:val="Heading6"/>
    <w:uiPriority w:val="9"/>
    <w:semiHidden/>
    <w:rsid w:val="00324995"/>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324995"/>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324995"/>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324995"/>
    <w:rPr>
      <w:rFonts w:eastAsiaTheme="majorEastAsia" w:cstheme="majorBidi"/>
      <w:color w:val="272727" w:themeColor="text1" w:themeTint="D8"/>
      <w:sz w:val="24"/>
    </w:rPr>
  </w:style>
  <w:style w:type="paragraph" w:styleId="Title">
    <w:name w:val="Title"/>
    <w:basedOn w:val="Normal"/>
    <w:next w:val="Normal"/>
    <w:link w:val="TitleChar"/>
    <w:uiPriority w:val="10"/>
    <w:qFormat/>
    <w:rsid w:val="00324995"/>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49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499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49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499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24995"/>
    <w:rPr>
      <w:rFonts w:ascii="Times New Roman" w:hAnsi="Times New Roman"/>
      <w:i/>
      <w:iCs/>
      <w:color w:val="404040" w:themeColor="text1" w:themeTint="BF"/>
      <w:sz w:val="24"/>
    </w:rPr>
  </w:style>
  <w:style w:type="paragraph" w:styleId="ListParagraph">
    <w:name w:val="List Paragraph"/>
    <w:basedOn w:val="Normal"/>
    <w:uiPriority w:val="34"/>
    <w:qFormat/>
    <w:rsid w:val="00324995"/>
    <w:pPr>
      <w:ind w:left="720"/>
      <w:contextualSpacing/>
    </w:pPr>
  </w:style>
  <w:style w:type="character" w:styleId="IntenseEmphasis">
    <w:name w:val="Intense Emphasis"/>
    <w:basedOn w:val="DefaultParagraphFont"/>
    <w:uiPriority w:val="21"/>
    <w:qFormat/>
    <w:rsid w:val="00324995"/>
    <w:rPr>
      <w:i/>
      <w:iCs/>
      <w:color w:val="2F5496" w:themeColor="accent1" w:themeShade="BF"/>
    </w:rPr>
  </w:style>
  <w:style w:type="paragraph" w:styleId="IntenseQuote">
    <w:name w:val="Intense Quote"/>
    <w:basedOn w:val="Normal"/>
    <w:next w:val="Normal"/>
    <w:link w:val="IntenseQuoteChar"/>
    <w:uiPriority w:val="30"/>
    <w:qFormat/>
    <w:rsid w:val="0032499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24995"/>
    <w:rPr>
      <w:rFonts w:ascii="Times New Roman" w:hAnsi="Times New Roman"/>
      <w:i/>
      <w:iCs/>
      <w:color w:val="2F5496" w:themeColor="accent1" w:themeShade="BF"/>
      <w:sz w:val="24"/>
    </w:rPr>
  </w:style>
  <w:style w:type="character" w:styleId="IntenseReference">
    <w:name w:val="Intense Reference"/>
    <w:basedOn w:val="DefaultParagraphFont"/>
    <w:uiPriority w:val="32"/>
    <w:qFormat/>
    <w:rsid w:val="00324995"/>
    <w:rPr>
      <w:b/>
      <w:bCs/>
      <w:smallCaps/>
      <w:color w:val="2F5496" w:themeColor="accent1" w:themeShade="BF"/>
      <w:spacing w:val="5"/>
    </w:rPr>
  </w:style>
  <w:style w:type="character" w:styleId="Hyperlink">
    <w:name w:val="Hyperlink"/>
    <w:basedOn w:val="DefaultParagraphFont"/>
    <w:uiPriority w:val="99"/>
    <w:unhideWhenUsed/>
    <w:rsid w:val="0017713C"/>
    <w:rPr>
      <w:color w:val="0563C1" w:themeColor="hyperlink"/>
      <w:u w:val="single"/>
    </w:rPr>
  </w:style>
  <w:style w:type="character" w:styleId="UnresolvedMention">
    <w:name w:val="Unresolved Mention"/>
    <w:basedOn w:val="DefaultParagraphFont"/>
    <w:uiPriority w:val="99"/>
    <w:semiHidden/>
    <w:unhideWhenUsed/>
    <w:rsid w:val="0017713C"/>
    <w:rPr>
      <w:color w:val="605E5C"/>
      <w:shd w:val="clear" w:color="auto" w:fill="E1DFDD"/>
    </w:rPr>
  </w:style>
  <w:style w:type="paragraph" w:styleId="Header">
    <w:name w:val="header"/>
    <w:basedOn w:val="Normal"/>
    <w:link w:val="HeaderChar"/>
    <w:uiPriority w:val="99"/>
    <w:unhideWhenUsed/>
    <w:rsid w:val="0017713C"/>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17713C"/>
    <w:rPr>
      <w:rFonts w:ascii="Times New Roman" w:hAnsi="Times New Roman"/>
      <w:sz w:val="24"/>
    </w:rPr>
  </w:style>
  <w:style w:type="paragraph" w:styleId="Footer">
    <w:name w:val="footer"/>
    <w:basedOn w:val="Normal"/>
    <w:link w:val="FooterChar"/>
    <w:uiPriority w:val="99"/>
    <w:unhideWhenUsed/>
    <w:rsid w:val="0017713C"/>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17713C"/>
    <w:rPr>
      <w:rFonts w:ascii="Times New Roman" w:hAnsi="Times New Roman"/>
      <w:sz w:val="24"/>
    </w:rPr>
  </w:style>
  <w:style w:type="table" w:styleId="GridTable4-Accent5">
    <w:name w:val="Grid Table 4 Accent 5"/>
    <w:basedOn w:val="TableNormal"/>
    <w:uiPriority w:val="49"/>
    <w:rsid w:val="004A684E"/>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uiPriority w:val="20"/>
    <w:qFormat/>
    <w:rsid w:val="004A684E"/>
    <w:rPr>
      <w:i/>
      <w:iCs/>
    </w:rPr>
  </w:style>
  <w:style w:type="paragraph" w:styleId="FootnoteText">
    <w:name w:val="footnote text"/>
    <w:basedOn w:val="Normal"/>
    <w:link w:val="FootnoteTextChar"/>
    <w:uiPriority w:val="99"/>
    <w:unhideWhenUsed/>
    <w:rsid w:val="004A684E"/>
    <w:pPr>
      <w:spacing w:before="0" w:after="0" w:line="240" w:lineRule="auto"/>
      <w:jc w:val="left"/>
    </w:pPr>
    <w:rPr>
      <w:rFonts w:asciiTheme="minorHAnsi" w:hAnsiTheme="minorHAnsi"/>
      <w:sz w:val="20"/>
      <w:szCs w:val="20"/>
    </w:rPr>
  </w:style>
  <w:style w:type="character" w:customStyle="1" w:styleId="FootnoteTextChar">
    <w:name w:val="Footnote Text Char"/>
    <w:basedOn w:val="DefaultParagraphFont"/>
    <w:link w:val="FootnoteText"/>
    <w:uiPriority w:val="99"/>
    <w:rsid w:val="004A684E"/>
    <w:rPr>
      <w:sz w:val="20"/>
      <w:szCs w:val="20"/>
    </w:rPr>
  </w:style>
  <w:style w:type="character" w:styleId="FootnoteReference">
    <w:name w:val="footnote reference"/>
    <w:basedOn w:val="DefaultParagraphFont"/>
    <w:uiPriority w:val="99"/>
    <w:semiHidden/>
    <w:unhideWhenUsed/>
    <w:rsid w:val="004A684E"/>
    <w:rPr>
      <w:vertAlign w:val="superscript"/>
    </w:rPr>
  </w:style>
  <w:style w:type="paragraph" w:styleId="NormalWeb">
    <w:name w:val="Normal (Web)"/>
    <w:basedOn w:val="Normal"/>
    <w:uiPriority w:val="99"/>
    <w:unhideWhenUsed/>
    <w:rsid w:val="005814EE"/>
    <w:pPr>
      <w:spacing w:before="100" w:beforeAutospacing="1" w:after="100" w:afterAutospacing="1" w:line="240" w:lineRule="auto"/>
      <w:jc w:val="left"/>
    </w:pPr>
    <w:rPr>
      <w:rFonts w:eastAsia="Times New Roman" w:cs="Times New Roman"/>
      <w:kern w:val="0"/>
      <w:szCs w:val="24"/>
      <w:lang w:eastAsia="en-IN"/>
      <w14:ligatures w14:val="none"/>
    </w:rPr>
  </w:style>
  <w:style w:type="character" w:styleId="FollowedHyperlink">
    <w:name w:val="FollowedHyperlink"/>
    <w:basedOn w:val="DefaultParagraphFont"/>
    <w:uiPriority w:val="99"/>
    <w:semiHidden/>
    <w:unhideWhenUsed/>
    <w:rsid w:val="009266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8760">
      <w:bodyDiv w:val="1"/>
      <w:marLeft w:val="0"/>
      <w:marRight w:val="0"/>
      <w:marTop w:val="0"/>
      <w:marBottom w:val="0"/>
      <w:divBdr>
        <w:top w:val="none" w:sz="0" w:space="0" w:color="auto"/>
        <w:left w:val="none" w:sz="0" w:space="0" w:color="auto"/>
        <w:bottom w:val="none" w:sz="0" w:space="0" w:color="auto"/>
        <w:right w:val="none" w:sz="0" w:space="0" w:color="auto"/>
      </w:divBdr>
    </w:div>
    <w:div w:id="17171642">
      <w:bodyDiv w:val="1"/>
      <w:marLeft w:val="0"/>
      <w:marRight w:val="0"/>
      <w:marTop w:val="0"/>
      <w:marBottom w:val="0"/>
      <w:divBdr>
        <w:top w:val="none" w:sz="0" w:space="0" w:color="auto"/>
        <w:left w:val="none" w:sz="0" w:space="0" w:color="auto"/>
        <w:bottom w:val="none" w:sz="0" w:space="0" w:color="auto"/>
        <w:right w:val="none" w:sz="0" w:space="0" w:color="auto"/>
      </w:divBdr>
      <w:divsChild>
        <w:div w:id="548343892">
          <w:marLeft w:val="-720"/>
          <w:marRight w:val="0"/>
          <w:marTop w:val="0"/>
          <w:marBottom w:val="0"/>
          <w:divBdr>
            <w:top w:val="none" w:sz="0" w:space="0" w:color="auto"/>
            <w:left w:val="none" w:sz="0" w:space="0" w:color="auto"/>
            <w:bottom w:val="none" w:sz="0" w:space="0" w:color="auto"/>
            <w:right w:val="none" w:sz="0" w:space="0" w:color="auto"/>
          </w:divBdr>
        </w:div>
      </w:divsChild>
    </w:div>
    <w:div w:id="28915249">
      <w:bodyDiv w:val="1"/>
      <w:marLeft w:val="0"/>
      <w:marRight w:val="0"/>
      <w:marTop w:val="0"/>
      <w:marBottom w:val="0"/>
      <w:divBdr>
        <w:top w:val="none" w:sz="0" w:space="0" w:color="auto"/>
        <w:left w:val="none" w:sz="0" w:space="0" w:color="auto"/>
        <w:bottom w:val="none" w:sz="0" w:space="0" w:color="auto"/>
        <w:right w:val="none" w:sz="0" w:space="0" w:color="auto"/>
      </w:divBdr>
      <w:divsChild>
        <w:div w:id="1808544461">
          <w:marLeft w:val="-720"/>
          <w:marRight w:val="0"/>
          <w:marTop w:val="0"/>
          <w:marBottom w:val="0"/>
          <w:divBdr>
            <w:top w:val="none" w:sz="0" w:space="0" w:color="auto"/>
            <w:left w:val="none" w:sz="0" w:space="0" w:color="auto"/>
            <w:bottom w:val="none" w:sz="0" w:space="0" w:color="auto"/>
            <w:right w:val="none" w:sz="0" w:space="0" w:color="auto"/>
          </w:divBdr>
        </w:div>
      </w:divsChild>
    </w:div>
    <w:div w:id="58065187">
      <w:bodyDiv w:val="1"/>
      <w:marLeft w:val="0"/>
      <w:marRight w:val="0"/>
      <w:marTop w:val="0"/>
      <w:marBottom w:val="0"/>
      <w:divBdr>
        <w:top w:val="none" w:sz="0" w:space="0" w:color="auto"/>
        <w:left w:val="none" w:sz="0" w:space="0" w:color="auto"/>
        <w:bottom w:val="none" w:sz="0" w:space="0" w:color="auto"/>
        <w:right w:val="none" w:sz="0" w:space="0" w:color="auto"/>
      </w:divBdr>
      <w:divsChild>
        <w:div w:id="2099971">
          <w:marLeft w:val="-720"/>
          <w:marRight w:val="0"/>
          <w:marTop w:val="0"/>
          <w:marBottom w:val="0"/>
          <w:divBdr>
            <w:top w:val="none" w:sz="0" w:space="0" w:color="auto"/>
            <w:left w:val="none" w:sz="0" w:space="0" w:color="auto"/>
            <w:bottom w:val="none" w:sz="0" w:space="0" w:color="auto"/>
            <w:right w:val="none" w:sz="0" w:space="0" w:color="auto"/>
          </w:divBdr>
        </w:div>
      </w:divsChild>
    </w:div>
    <w:div w:id="61485903">
      <w:bodyDiv w:val="1"/>
      <w:marLeft w:val="0"/>
      <w:marRight w:val="0"/>
      <w:marTop w:val="0"/>
      <w:marBottom w:val="0"/>
      <w:divBdr>
        <w:top w:val="none" w:sz="0" w:space="0" w:color="auto"/>
        <w:left w:val="none" w:sz="0" w:space="0" w:color="auto"/>
        <w:bottom w:val="none" w:sz="0" w:space="0" w:color="auto"/>
        <w:right w:val="none" w:sz="0" w:space="0" w:color="auto"/>
      </w:divBdr>
    </w:div>
    <w:div w:id="63795452">
      <w:bodyDiv w:val="1"/>
      <w:marLeft w:val="0"/>
      <w:marRight w:val="0"/>
      <w:marTop w:val="0"/>
      <w:marBottom w:val="0"/>
      <w:divBdr>
        <w:top w:val="none" w:sz="0" w:space="0" w:color="auto"/>
        <w:left w:val="none" w:sz="0" w:space="0" w:color="auto"/>
        <w:bottom w:val="none" w:sz="0" w:space="0" w:color="auto"/>
        <w:right w:val="none" w:sz="0" w:space="0" w:color="auto"/>
      </w:divBdr>
      <w:divsChild>
        <w:div w:id="827945688">
          <w:marLeft w:val="-720"/>
          <w:marRight w:val="0"/>
          <w:marTop w:val="0"/>
          <w:marBottom w:val="0"/>
          <w:divBdr>
            <w:top w:val="none" w:sz="0" w:space="0" w:color="auto"/>
            <w:left w:val="none" w:sz="0" w:space="0" w:color="auto"/>
            <w:bottom w:val="none" w:sz="0" w:space="0" w:color="auto"/>
            <w:right w:val="none" w:sz="0" w:space="0" w:color="auto"/>
          </w:divBdr>
        </w:div>
      </w:divsChild>
    </w:div>
    <w:div w:id="66925550">
      <w:bodyDiv w:val="1"/>
      <w:marLeft w:val="0"/>
      <w:marRight w:val="0"/>
      <w:marTop w:val="0"/>
      <w:marBottom w:val="0"/>
      <w:divBdr>
        <w:top w:val="none" w:sz="0" w:space="0" w:color="auto"/>
        <w:left w:val="none" w:sz="0" w:space="0" w:color="auto"/>
        <w:bottom w:val="none" w:sz="0" w:space="0" w:color="auto"/>
        <w:right w:val="none" w:sz="0" w:space="0" w:color="auto"/>
      </w:divBdr>
    </w:div>
    <w:div w:id="96878186">
      <w:bodyDiv w:val="1"/>
      <w:marLeft w:val="0"/>
      <w:marRight w:val="0"/>
      <w:marTop w:val="0"/>
      <w:marBottom w:val="0"/>
      <w:divBdr>
        <w:top w:val="none" w:sz="0" w:space="0" w:color="auto"/>
        <w:left w:val="none" w:sz="0" w:space="0" w:color="auto"/>
        <w:bottom w:val="none" w:sz="0" w:space="0" w:color="auto"/>
        <w:right w:val="none" w:sz="0" w:space="0" w:color="auto"/>
      </w:divBdr>
    </w:div>
    <w:div w:id="141505609">
      <w:bodyDiv w:val="1"/>
      <w:marLeft w:val="0"/>
      <w:marRight w:val="0"/>
      <w:marTop w:val="0"/>
      <w:marBottom w:val="0"/>
      <w:divBdr>
        <w:top w:val="none" w:sz="0" w:space="0" w:color="auto"/>
        <w:left w:val="none" w:sz="0" w:space="0" w:color="auto"/>
        <w:bottom w:val="none" w:sz="0" w:space="0" w:color="auto"/>
        <w:right w:val="none" w:sz="0" w:space="0" w:color="auto"/>
      </w:divBdr>
    </w:div>
    <w:div w:id="178282133">
      <w:bodyDiv w:val="1"/>
      <w:marLeft w:val="0"/>
      <w:marRight w:val="0"/>
      <w:marTop w:val="0"/>
      <w:marBottom w:val="0"/>
      <w:divBdr>
        <w:top w:val="none" w:sz="0" w:space="0" w:color="auto"/>
        <w:left w:val="none" w:sz="0" w:space="0" w:color="auto"/>
        <w:bottom w:val="none" w:sz="0" w:space="0" w:color="auto"/>
        <w:right w:val="none" w:sz="0" w:space="0" w:color="auto"/>
      </w:divBdr>
    </w:div>
    <w:div w:id="239171599">
      <w:bodyDiv w:val="1"/>
      <w:marLeft w:val="0"/>
      <w:marRight w:val="0"/>
      <w:marTop w:val="0"/>
      <w:marBottom w:val="0"/>
      <w:divBdr>
        <w:top w:val="none" w:sz="0" w:space="0" w:color="auto"/>
        <w:left w:val="none" w:sz="0" w:space="0" w:color="auto"/>
        <w:bottom w:val="none" w:sz="0" w:space="0" w:color="auto"/>
        <w:right w:val="none" w:sz="0" w:space="0" w:color="auto"/>
      </w:divBdr>
    </w:div>
    <w:div w:id="251478134">
      <w:bodyDiv w:val="1"/>
      <w:marLeft w:val="0"/>
      <w:marRight w:val="0"/>
      <w:marTop w:val="0"/>
      <w:marBottom w:val="0"/>
      <w:divBdr>
        <w:top w:val="none" w:sz="0" w:space="0" w:color="auto"/>
        <w:left w:val="none" w:sz="0" w:space="0" w:color="auto"/>
        <w:bottom w:val="none" w:sz="0" w:space="0" w:color="auto"/>
        <w:right w:val="none" w:sz="0" w:space="0" w:color="auto"/>
      </w:divBdr>
    </w:div>
    <w:div w:id="313946738">
      <w:bodyDiv w:val="1"/>
      <w:marLeft w:val="0"/>
      <w:marRight w:val="0"/>
      <w:marTop w:val="0"/>
      <w:marBottom w:val="0"/>
      <w:divBdr>
        <w:top w:val="none" w:sz="0" w:space="0" w:color="auto"/>
        <w:left w:val="none" w:sz="0" w:space="0" w:color="auto"/>
        <w:bottom w:val="none" w:sz="0" w:space="0" w:color="auto"/>
        <w:right w:val="none" w:sz="0" w:space="0" w:color="auto"/>
      </w:divBdr>
      <w:divsChild>
        <w:div w:id="904297781">
          <w:marLeft w:val="-720"/>
          <w:marRight w:val="0"/>
          <w:marTop w:val="0"/>
          <w:marBottom w:val="0"/>
          <w:divBdr>
            <w:top w:val="none" w:sz="0" w:space="0" w:color="auto"/>
            <w:left w:val="none" w:sz="0" w:space="0" w:color="auto"/>
            <w:bottom w:val="none" w:sz="0" w:space="0" w:color="auto"/>
            <w:right w:val="none" w:sz="0" w:space="0" w:color="auto"/>
          </w:divBdr>
        </w:div>
      </w:divsChild>
    </w:div>
    <w:div w:id="364528857">
      <w:bodyDiv w:val="1"/>
      <w:marLeft w:val="0"/>
      <w:marRight w:val="0"/>
      <w:marTop w:val="0"/>
      <w:marBottom w:val="0"/>
      <w:divBdr>
        <w:top w:val="none" w:sz="0" w:space="0" w:color="auto"/>
        <w:left w:val="none" w:sz="0" w:space="0" w:color="auto"/>
        <w:bottom w:val="none" w:sz="0" w:space="0" w:color="auto"/>
        <w:right w:val="none" w:sz="0" w:space="0" w:color="auto"/>
      </w:divBdr>
    </w:div>
    <w:div w:id="375131892">
      <w:bodyDiv w:val="1"/>
      <w:marLeft w:val="0"/>
      <w:marRight w:val="0"/>
      <w:marTop w:val="0"/>
      <w:marBottom w:val="0"/>
      <w:divBdr>
        <w:top w:val="none" w:sz="0" w:space="0" w:color="auto"/>
        <w:left w:val="none" w:sz="0" w:space="0" w:color="auto"/>
        <w:bottom w:val="none" w:sz="0" w:space="0" w:color="auto"/>
        <w:right w:val="none" w:sz="0" w:space="0" w:color="auto"/>
      </w:divBdr>
      <w:divsChild>
        <w:div w:id="1620919411">
          <w:marLeft w:val="-720"/>
          <w:marRight w:val="0"/>
          <w:marTop w:val="0"/>
          <w:marBottom w:val="0"/>
          <w:divBdr>
            <w:top w:val="none" w:sz="0" w:space="0" w:color="auto"/>
            <w:left w:val="none" w:sz="0" w:space="0" w:color="auto"/>
            <w:bottom w:val="none" w:sz="0" w:space="0" w:color="auto"/>
            <w:right w:val="none" w:sz="0" w:space="0" w:color="auto"/>
          </w:divBdr>
        </w:div>
      </w:divsChild>
    </w:div>
    <w:div w:id="391007579">
      <w:bodyDiv w:val="1"/>
      <w:marLeft w:val="0"/>
      <w:marRight w:val="0"/>
      <w:marTop w:val="0"/>
      <w:marBottom w:val="0"/>
      <w:divBdr>
        <w:top w:val="none" w:sz="0" w:space="0" w:color="auto"/>
        <w:left w:val="none" w:sz="0" w:space="0" w:color="auto"/>
        <w:bottom w:val="none" w:sz="0" w:space="0" w:color="auto"/>
        <w:right w:val="none" w:sz="0" w:space="0" w:color="auto"/>
      </w:divBdr>
      <w:divsChild>
        <w:div w:id="790170325">
          <w:marLeft w:val="-720"/>
          <w:marRight w:val="0"/>
          <w:marTop w:val="0"/>
          <w:marBottom w:val="0"/>
          <w:divBdr>
            <w:top w:val="none" w:sz="0" w:space="0" w:color="auto"/>
            <w:left w:val="none" w:sz="0" w:space="0" w:color="auto"/>
            <w:bottom w:val="none" w:sz="0" w:space="0" w:color="auto"/>
            <w:right w:val="none" w:sz="0" w:space="0" w:color="auto"/>
          </w:divBdr>
        </w:div>
      </w:divsChild>
    </w:div>
    <w:div w:id="418135074">
      <w:bodyDiv w:val="1"/>
      <w:marLeft w:val="0"/>
      <w:marRight w:val="0"/>
      <w:marTop w:val="0"/>
      <w:marBottom w:val="0"/>
      <w:divBdr>
        <w:top w:val="none" w:sz="0" w:space="0" w:color="auto"/>
        <w:left w:val="none" w:sz="0" w:space="0" w:color="auto"/>
        <w:bottom w:val="none" w:sz="0" w:space="0" w:color="auto"/>
        <w:right w:val="none" w:sz="0" w:space="0" w:color="auto"/>
      </w:divBdr>
    </w:div>
    <w:div w:id="425351197">
      <w:bodyDiv w:val="1"/>
      <w:marLeft w:val="0"/>
      <w:marRight w:val="0"/>
      <w:marTop w:val="0"/>
      <w:marBottom w:val="0"/>
      <w:divBdr>
        <w:top w:val="none" w:sz="0" w:space="0" w:color="auto"/>
        <w:left w:val="none" w:sz="0" w:space="0" w:color="auto"/>
        <w:bottom w:val="none" w:sz="0" w:space="0" w:color="auto"/>
        <w:right w:val="none" w:sz="0" w:space="0" w:color="auto"/>
      </w:divBdr>
    </w:div>
    <w:div w:id="455372988">
      <w:bodyDiv w:val="1"/>
      <w:marLeft w:val="0"/>
      <w:marRight w:val="0"/>
      <w:marTop w:val="0"/>
      <w:marBottom w:val="0"/>
      <w:divBdr>
        <w:top w:val="none" w:sz="0" w:space="0" w:color="auto"/>
        <w:left w:val="none" w:sz="0" w:space="0" w:color="auto"/>
        <w:bottom w:val="none" w:sz="0" w:space="0" w:color="auto"/>
        <w:right w:val="none" w:sz="0" w:space="0" w:color="auto"/>
      </w:divBdr>
    </w:div>
    <w:div w:id="506945601">
      <w:bodyDiv w:val="1"/>
      <w:marLeft w:val="0"/>
      <w:marRight w:val="0"/>
      <w:marTop w:val="0"/>
      <w:marBottom w:val="0"/>
      <w:divBdr>
        <w:top w:val="none" w:sz="0" w:space="0" w:color="auto"/>
        <w:left w:val="none" w:sz="0" w:space="0" w:color="auto"/>
        <w:bottom w:val="none" w:sz="0" w:space="0" w:color="auto"/>
        <w:right w:val="none" w:sz="0" w:space="0" w:color="auto"/>
      </w:divBdr>
    </w:div>
    <w:div w:id="509612716">
      <w:bodyDiv w:val="1"/>
      <w:marLeft w:val="0"/>
      <w:marRight w:val="0"/>
      <w:marTop w:val="0"/>
      <w:marBottom w:val="0"/>
      <w:divBdr>
        <w:top w:val="none" w:sz="0" w:space="0" w:color="auto"/>
        <w:left w:val="none" w:sz="0" w:space="0" w:color="auto"/>
        <w:bottom w:val="none" w:sz="0" w:space="0" w:color="auto"/>
        <w:right w:val="none" w:sz="0" w:space="0" w:color="auto"/>
      </w:divBdr>
    </w:div>
    <w:div w:id="615409490">
      <w:bodyDiv w:val="1"/>
      <w:marLeft w:val="0"/>
      <w:marRight w:val="0"/>
      <w:marTop w:val="0"/>
      <w:marBottom w:val="0"/>
      <w:divBdr>
        <w:top w:val="none" w:sz="0" w:space="0" w:color="auto"/>
        <w:left w:val="none" w:sz="0" w:space="0" w:color="auto"/>
        <w:bottom w:val="none" w:sz="0" w:space="0" w:color="auto"/>
        <w:right w:val="none" w:sz="0" w:space="0" w:color="auto"/>
      </w:divBdr>
      <w:divsChild>
        <w:div w:id="98112397">
          <w:marLeft w:val="-720"/>
          <w:marRight w:val="0"/>
          <w:marTop w:val="0"/>
          <w:marBottom w:val="0"/>
          <w:divBdr>
            <w:top w:val="none" w:sz="0" w:space="0" w:color="auto"/>
            <w:left w:val="none" w:sz="0" w:space="0" w:color="auto"/>
            <w:bottom w:val="none" w:sz="0" w:space="0" w:color="auto"/>
            <w:right w:val="none" w:sz="0" w:space="0" w:color="auto"/>
          </w:divBdr>
        </w:div>
      </w:divsChild>
    </w:div>
    <w:div w:id="639262430">
      <w:bodyDiv w:val="1"/>
      <w:marLeft w:val="0"/>
      <w:marRight w:val="0"/>
      <w:marTop w:val="0"/>
      <w:marBottom w:val="0"/>
      <w:divBdr>
        <w:top w:val="none" w:sz="0" w:space="0" w:color="auto"/>
        <w:left w:val="none" w:sz="0" w:space="0" w:color="auto"/>
        <w:bottom w:val="none" w:sz="0" w:space="0" w:color="auto"/>
        <w:right w:val="none" w:sz="0" w:space="0" w:color="auto"/>
      </w:divBdr>
    </w:div>
    <w:div w:id="661199711">
      <w:bodyDiv w:val="1"/>
      <w:marLeft w:val="0"/>
      <w:marRight w:val="0"/>
      <w:marTop w:val="0"/>
      <w:marBottom w:val="0"/>
      <w:divBdr>
        <w:top w:val="none" w:sz="0" w:space="0" w:color="auto"/>
        <w:left w:val="none" w:sz="0" w:space="0" w:color="auto"/>
        <w:bottom w:val="none" w:sz="0" w:space="0" w:color="auto"/>
        <w:right w:val="none" w:sz="0" w:space="0" w:color="auto"/>
      </w:divBdr>
    </w:div>
    <w:div w:id="677585411">
      <w:bodyDiv w:val="1"/>
      <w:marLeft w:val="0"/>
      <w:marRight w:val="0"/>
      <w:marTop w:val="0"/>
      <w:marBottom w:val="0"/>
      <w:divBdr>
        <w:top w:val="none" w:sz="0" w:space="0" w:color="auto"/>
        <w:left w:val="none" w:sz="0" w:space="0" w:color="auto"/>
        <w:bottom w:val="none" w:sz="0" w:space="0" w:color="auto"/>
        <w:right w:val="none" w:sz="0" w:space="0" w:color="auto"/>
      </w:divBdr>
    </w:div>
    <w:div w:id="715086655">
      <w:bodyDiv w:val="1"/>
      <w:marLeft w:val="0"/>
      <w:marRight w:val="0"/>
      <w:marTop w:val="0"/>
      <w:marBottom w:val="0"/>
      <w:divBdr>
        <w:top w:val="none" w:sz="0" w:space="0" w:color="auto"/>
        <w:left w:val="none" w:sz="0" w:space="0" w:color="auto"/>
        <w:bottom w:val="none" w:sz="0" w:space="0" w:color="auto"/>
        <w:right w:val="none" w:sz="0" w:space="0" w:color="auto"/>
      </w:divBdr>
      <w:divsChild>
        <w:div w:id="1313438346">
          <w:marLeft w:val="-720"/>
          <w:marRight w:val="0"/>
          <w:marTop w:val="0"/>
          <w:marBottom w:val="0"/>
          <w:divBdr>
            <w:top w:val="none" w:sz="0" w:space="0" w:color="auto"/>
            <w:left w:val="none" w:sz="0" w:space="0" w:color="auto"/>
            <w:bottom w:val="none" w:sz="0" w:space="0" w:color="auto"/>
            <w:right w:val="none" w:sz="0" w:space="0" w:color="auto"/>
          </w:divBdr>
        </w:div>
      </w:divsChild>
    </w:div>
    <w:div w:id="733696770">
      <w:bodyDiv w:val="1"/>
      <w:marLeft w:val="0"/>
      <w:marRight w:val="0"/>
      <w:marTop w:val="0"/>
      <w:marBottom w:val="0"/>
      <w:divBdr>
        <w:top w:val="none" w:sz="0" w:space="0" w:color="auto"/>
        <w:left w:val="none" w:sz="0" w:space="0" w:color="auto"/>
        <w:bottom w:val="none" w:sz="0" w:space="0" w:color="auto"/>
        <w:right w:val="none" w:sz="0" w:space="0" w:color="auto"/>
      </w:divBdr>
      <w:divsChild>
        <w:div w:id="1074860608">
          <w:marLeft w:val="-720"/>
          <w:marRight w:val="0"/>
          <w:marTop w:val="0"/>
          <w:marBottom w:val="0"/>
          <w:divBdr>
            <w:top w:val="none" w:sz="0" w:space="0" w:color="auto"/>
            <w:left w:val="none" w:sz="0" w:space="0" w:color="auto"/>
            <w:bottom w:val="none" w:sz="0" w:space="0" w:color="auto"/>
            <w:right w:val="none" w:sz="0" w:space="0" w:color="auto"/>
          </w:divBdr>
        </w:div>
      </w:divsChild>
    </w:div>
    <w:div w:id="737361367">
      <w:bodyDiv w:val="1"/>
      <w:marLeft w:val="0"/>
      <w:marRight w:val="0"/>
      <w:marTop w:val="0"/>
      <w:marBottom w:val="0"/>
      <w:divBdr>
        <w:top w:val="none" w:sz="0" w:space="0" w:color="auto"/>
        <w:left w:val="none" w:sz="0" w:space="0" w:color="auto"/>
        <w:bottom w:val="none" w:sz="0" w:space="0" w:color="auto"/>
        <w:right w:val="none" w:sz="0" w:space="0" w:color="auto"/>
      </w:divBdr>
    </w:div>
    <w:div w:id="747655161">
      <w:bodyDiv w:val="1"/>
      <w:marLeft w:val="0"/>
      <w:marRight w:val="0"/>
      <w:marTop w:val="0"/>
      <w:marBottom w:val="0"/>
      <w:divBdr>
        <w:top w:val="none" w:sz="0" w:space="0" w:color="auto"/>
        <w:left w:val="none" w:sz="0" w:space="0" w:color="auto"/>
        <w:bottom w:val="none" w:sz="0" w:space="0" w:color="auto"/>
        <w:right w:val="none" w:sz="0" w:space="0" w:color="auto"/>
      </w:divBdr>
    </w:div>
    <w:div w:id="766847942">
      <w:bodyDiv w:val="1"/>
      <w:marLeft w:val="0"/>
      <w:marRight w:val="0"/>
      <w:marTop w:val="0"/>
      <w:marBottom w:val="0"/>
      <w:divBdr>
        <w:top w:val="none" w:sz="0" w:space="0" w:color="auto"/>
        <w:left w:val="none" w:sz="0" w:space="0" w:color="auto"/>
        <w:bottom w:val="none" w:sz="0" w:space="0" w:color="auto"/>
        <w:right w:val="none" w:sz="0" w:space="0" w:color="auto"/>
      </w:divBdr>
    </w:div>
    <w:div w:id="770469928">
      <w:bodyDiv w:val="1"/>
      <w:marLeft w:val="0"/>
      <w:marRight w:val="0"/>
      <w:marTop w:val="0"/>
      <w:marBottom w:val="0"/>
      <w:divBdr>
        <w:top w:val="none" w:sz="0" w:space="0" w:color="auto"/>
        <w:left w:val="none" w:sz="0" w:space="0" w:color="auto"/>
        <w:bottom w:val="none" w:sz="0" w:space="0" w:color="auto"/>
        <w:right w:val="none" w:sz="0" w:space="0" w:color="auto"/>
      </w:divBdr>
    </w:div>
    <w:div w:id="844247316">
      <w:bodyDiv w:val="1"/>
      <w:marLeft w:val="0"/>
      <w:marRight w:val="0"/>
      <w:marTop w:val="0"/>
      <w:marBottom w:val="0"/>
      <w:divBdr>
        <w:top w:val="none" w:sz="0" w:space="0" w:color="auto"/>
        <w:left w:val="none" w:sz="0" w:space="0" w:color="auto"/>
        <w:bottom w:val="none" w:sz="0" w:space="0" w:color="auto"/>
        <w:right w:val="none" w:sz="0" w:space="0" w:color="auto"/>
      </w:divBdr>
      <w:divsChild>
        <w:div w:id="1001160224">
          <w:marLeft w:val="-720"/>
          <w:marRight w:val="0"/>
          <w:marTop w:val="0"/>
          <w:marBottom w:val="0"/>
          <w:divBdr>
            <w:top w:val="none" w:sz="0" w:space="0" w:color="auto"/>
            <w:left w:val="none" w:sz="0" w:space="0" w:color="auto"/>
            <w:bottom w:val="none" w:sz="0" w:space="0" w:color="auto"/>
            <w:right w:val="none" w:sz="0" w:space="0" w:color="auto"/>
          </w:divBdr>
        </w:div>
      </w:divsChild>
    </w:div>
    <w:div w:id="876508282">
      <w:bodyDiv w:val="1"/>
      <w:marLeft w:val="0"/>
      <w:marRight w:val="0"/>
      <w:marTop w:val="0"/>
      <w:marBottom w:val="0"/>
      <w:divBdr>
        <w:top w:val="none" w:sz="0" w:space="0" w:color="auto"/>
        <w:left w:val="none" w:sz="0" w:space="0" w:color="auto"/>
        <w:bottom w:val="none" w:sz="0" w:space="0" w:color="auto"/>
        <w:right w:val="none" w:sz="0" w:space="0" w:color="auto"/>
      </w:divBdr>
    </w:div>
    <w:div w:id="900486129">
      <w:bodyDiv w:val="1"/>
      <w:marLeft w:val="0"/>
      <w:marRight w:val="0"/>
      <w:marTop w:val="0"/>
      <w:marBottom w:val="0"/>
      <w:divBdr>
        <w:top w:val="none" w:sz="0" w:space="0" w:color="auto"/>
        <w:left w:val="none" w:sz="0" w:space="0" w:color="auto"/>
        <w:bottom w:val="none" w:sz="0" w:space="0" w:color="auto"/>
        <w:right w:val="none" w:sz="0" w:space="0" w:color="auto"/>
      </w:divBdr>
    </w:div>
    <w:div w:id="903756199">
      <w:bodyDiv w:val="1"/>
      <w:marLeft w:val="0"/>
      <w:marRight w:val="0"/>
      <w:marTop w:val="0"/>
      <w:marBottom w:val="0"/>
      <w:divBdr>
        <w:top w:val="none" w:sz="0" w:space="0" w:color="auto"/>
        <w:left w:val="none" w:sz="0" w:space="0" w:color="auto"/>
        <w:bottom w:val="none" w:sz="0" w:space="0" w:color="auto"/>
        <w:right w:val="none" w:sz="0" w:space="0" w:color="auto"/>
      </w:divBdr>
      <w:divsChild>
        <w:div w:id="878126908">
          <w:marLeft w:val="-720"/>
          <w:marRight w:val="0"/>
          <w:marTop w:val="0"/>
          <w:marBottom w:val="0"/>
          <w:divBdr>
            <w:top w:val="none" w:sz="0" w:space="0" w:color="auto"/>
            <w:left w:val="none" w:sz="0" w:space="0" w:color="auto"/>
            <w:bottom w:val="none" w:sz="0" w:space="0" w:color="auto"/>
            <w:right w:val="none" w:sz="0" w:space="0" w:color="auto"/>
          </w:divBdr>
        </w:div>
      </w:divsChild>
    </w:div>
    <w:div w:id="935676718">
      <w:bodyDiv w:val="1"/>
      <w:marLeft w:val="0"/>
      <w:marRight w:val="0"/>
      <w:marTop w:val="0"/>
      <w:marBottom w:val="0"/>
      <w:divBdr>
        <w:top w:val="none" w:sz="0" w:space="0" w:color="auto"/>
        <w:left w:val="none" w:sz="0" w:space="0" w:color="auto"/>
        <w:bottom w:val="none" w:sz="0" w:space="0" w:color="auto"/>
        <w:right w:val="none" w:sz="0" w:space="0" w:color="auto"/>
      </w:divBdr>
    </w:div>
    <w:div w:id="962811716">
      <w:bodyDiv w:val="1"/>
      <w:marLeft w:val="0"/>
      <w:marRight w:val="0"/>
      <w:marTop w:val="0"/>
      <w:marBottom w:val="0"/>
      <w:divBdr>
        <w:top w:val="none" w:sz="0" w:space="0" w:color="auto"/>
        <w:left w:val="none" w:sz="0" w:space="0" w:color="auto"/>
        <w:bottom w:val="none" w:sz="0" w:space="0" w:color="auto"/>
        <w:right w:val="none" w:sz="0" w:space="0" w:color="auto"/>
      </w:divBdr>
    </w:div>
    <w:div w:id="967008894">
      <w:bodyDiv w:val="1"/>
      <w:marLeft w:val="0"/>
      <w:marRight w:val="0"/>
      <w:marTop w:val="0"/>
      <w:marBottom w:val="0"/>
      <w:divBdr>
        <w:top w:val="none" w:sz="0" w:space="0" w:color="auto"/>
        <w:left w:val="none" w:sz="0" w:space="0" w:color="auto"/>
        <w:bottom w:val="none" w:sz="0" w:space="0" w:color="auto"/>
        <w:right w:val="none" w:sz="0" w:space="0" w:color="auto"/>
      </w:divBdr>
    </w:div>
    <w:div w:id="1017460073">
      <w:bodyDiv w:val="1"/>
      <w:marLeft w:val="0"/>
      <w:marRight w:val="0"/>
      <w:marTop w:val="0"/>
      <w:marBottom w:val="0"/>
      <w:divBdr>
        <w:top w:val="none" w:sz="0" w:space="0" w:color="auto"/>
        <w:left w:val="none" w:sz="0" w:space="0" w:color="auto"/>
        <w:bottom w:val="none" w:sz="0" w:space="0" w:color="auto"/>
        <w:right w:val="none" w:sz="0" w:space="0" w:color="auto"/>
      </w:divBdr>
    </w:div>
    <w:div w:id="1022516129">
      <w:bodyDiv w:val="1"/>
      <w:marLeft w:val="0"/>
      <w:marRight w:val="0"/>
      <w:marTop w:val="0"/>
      <w:marBottom w:val="0"/>
      <w:divBdr>
        <w:top w:val="none" w:sz="0" w:space="0" w:color="auto"/>
        <w:left w:val="none" w:sz="0" w:space="0" w:color="auto"/>
        <w:bottom w:val="none" w:sz="0" w:space="0" w:color="auto"/>
        <w:right w:val="none" w:sz="0" w:space="0" w:color="auto"/>
      </w:divBdr>
      <w:divsChild>
        <w:div w:id="421537863">
          <w:marLeft w:val="-720"/>
          <w:marRight w:val="0"/>
          <w:marTop w:val="0"/>
          <w:marBottom w:val="0"/>
          <w:divBdr>
            <w:top w:val="none" w:sz="0" w:space="0" w:color="auto"/>
            <w:left w:val="none" w:sz="0" w:space="0" w:color="auto"/>
            <w:bottom w:val="none" w:sz="0" w:space="0" w:color="auto"/>
            <w:right w:val="none" w:sz="0" w:space="0" w:color="auto"/>
          </w:divBdr>
        </w:div>
      </w:divsChild>
    </w:div>
    <w:div w:id="1030378792">
      <w:bodyDiv w:val="1"/>
      <w:marLeft w:val="0"/>
      <w:marRight w:val="0"/>
      <w:marTop w:val="0"/>
      <w:marBottom w:val="0"/>
      <w:divBdr>
        <w:top w:val="none" w:sz="0" w:space="0" w:color="auto"/>
        <w:left w:val="none" w:sz="0" w:space="0" w:color="auto"/>
        <w:bottom w:val="none" w:sz="0" w:space="0" w:color="auto"/>
        <w:right w:val="none" w:sz="0" w:space="0" w:color="auto"/>
      </w:divBdr>
    </w:div>
    <w:div w:id="1148546698">
      <w:bodyDiv w:val="1"/>
      <w:marLeft w:val="0"/>
      <w:marRight w:val="0"/>
      <w:marTop w:val="0"/>
      <w:marBottom w:val="0"/>
      <w:divBdr>
        <w:top w:val="none" w:sz="0" w:space="0" w:color="auto"/>
        <w:left w:val="none" w:sz="0" w:space="0" w:color="auto"/>
        <w:bottom w:val="none" w:sz="0" w:space="0" w:color="auto"/>
        <w:right w:val="none" w:sz="0" w:space="0" w:color="auto"/>
      </w:divBdr>
      <w:divsChild>
        <w:div w:id="1625887370">
          <w:marLeft w:val="-720"/>
          <w:marRight w:val="0"/>
          <w:marTop w:val="0"/>
          <w:marBottom w:val="0"/>
          <w:divBdr>
            <w:top w:val="none" w:sz="0" w:space="0" w:color="auto"/>
            <w:left w:val="none" w:sz="0" w:space="0" w:color="auto"/>
            <w:bottom w:val="none" w:sz="0" w:space="0" w:color="auto"/>
            <w:right w:val="none" w:sz="0" w:space="0" w:color="auto"/>
          </w:divBdr>
        </w:div>
      </w:divsChild>
    </w:div>
    <w:div w:id="1149397488">
      <w:bodyDiv w:val="1"/>
      <w:marLeft w:val="0"/>
      <w:marRight w:val="0"/>
      <w:marTop w:val="0"/>
      <w:marBottom w:val="0"/>
      <w:divBdr>
        <w:top w:val="none" w:sz="0" w:space="0" w:color="auto"/>
        <w:left w:val="none" w:sz="0" w:space="0" w:color="auto"/>
        <w:bottom w:val="none" w:sz="0" w:space="0" w:color="auto"/>
        <w:right w:val="none" w:sz="0" w:space="0" w:color="auto"/>
      </w:divBdr>
    </w:div>
    <w:div w:id="1149438469">
      <w:bodyDiv w:val="1"/>
      <w:marLeft w:val="0"/>
      <w:marRight w:val="0"/>
      <w:marTop w:val="0"/>
      <w:marBottom w:val="0"/>
      <w:divBdr>
        <w:top w:val="none" w:sz="0" w:space="0" w:color="auto"/>
        <w:left w:val="none" w:sz="0" w:space="0" w:color="auto"/>
        <w:bottom w:val="none" w:sz="0" w:space="0" w:color="auto"/>
        <w:right w:val="none" w:sz="0" w:space="0" w:color="auto"/>
      </w:divBdr>
    </w:div>
    <w:div w:id="1156651598">
      <w:bodyDiv w:val="1"/>
      <w:marLeft w:val="0"/>
      <w:marRight w:val="0"/>
      <w:marTop w:val="0"/>
      <w:marBottom w:val="0"/>
      <w:divBdr>
        <w:top w:val="none" w:sz="0" w:space="0" w:color="auto"/>
        <w:left w:val="none" w:sz="0" w:space="0" w:color="auto"/>
        <w:bottom w:val="none" w:sz="0" w:space="0" w:color="auto"/>
        <w:right w:val="none" w:sz="0" w:space="0" w:color="auto"/>
      </w:divBdr>
    </w:div>
    <w:div w:id="1192301039">
      <w:bodyDiv w:val="1"/>
      <w:marLeft w:val="0"/>
      <w:marRight w:val="0"/>
      <w:marTop w:val="0"/>
      <w:marBottom w:val="0"/>
      <w:divBdr>
        <w:top w:val="none" w:sz="0" w:space="0" w:color="auto"/>
        <w:left w:val="none" w:sz="0" w:space="0" w:color="auto"/>
        <w:bottom w:val="none" w:sz="0" w:space="0" w:color="auto"/>
        <w:right w:val="none" w:sz="0" w:space="0" w:color="auto"/>
      </w:divBdr>
    </w:div>
    <w:div w:id="1230381135">
      <w:bodyDiv w:val="1"/>
      <w:marLeft w:val="0"/>
      <w:marRight w:val="0"/>
      <w:marTop w:val="0"/>
      <w:marBottom w:val="0"/>
      <w:divBdr>
        <w:top w:val="none" w:sz="0" w:space="0" w:color="auto"/>
        <w:left w:val="none" w:sz="0" w:space="0" w:color="auto"/>
        <w:bottom w:val="none" w:sz="0" w:space="0" w:color="auto"/>
        <w:right w:val="none" w:sz="0" w:space="0" w:color="auto"/>
      </w:divBdr>
    </w:div>
    <w:div w:id="1247956958">
      <w:bodyDiv w:val="1"/>
      <w:marLeft w:val="0"/>
      <w:marRight w:val="0"/>
      <w:marTop w:val="0"/>
      <w:marBottom w:val="0"/>
      <w:divBdr>
        <w:top w:val="none" w:sz="0" w:space="0" w:color="auto"/>
        <w:left w:val="none" w:sz="0" w:space="0" w:color="auto"/>
        <w:bottom w:val="none" w:sz="0" w:space="0" w:color="auto"/>
        <w:right w:val="none" w:sz="0" w:space="0" w:color="auto"/>
      </w:divBdr>
    </w:div>
    <w:div w:id="1297296179">
      <w:bodyDiv w:val="1"/>
      <w:marLeft w:val="0"/>
      <w:marRight w:val="0"/>
      <w:marTop w:val="0"/>
      <w:marBottom w:val="0"/>
      <w:divBdr>
        <w:top w:val="none" w:sz="0" w:space="0" w:color="auto"/>
        <w:left w:val="none" w:sz="0" w:space="0" w:color="auto"/>
        <w:bottom w:val="none" w:sz="0" w:space="0" w:color="auto"/>
        <w:right w:val="none" w:sz="0" w:space="0" w:color="auto"/>
      </w:divBdr>
    </w:div>
    <w:div w:id="1382636827">
      <w:bodyDiv w:val="1"/>
      <w:marLeft w:val="0"/>
      <w:marRight w:val="0"/>
      <w:marTop w:val="0"/>
      <w:marBottom w:val="0"/>
      <w:divBdr>
        <w:top w:val="none" w:sz="0" w:space="0" w:color="auto"/>
        <w:left w:val="none" w:sz="0" w:space="0" w:color="auto"/>
        <w:bottom w:val="none" w:sz="0" w:space="0" w:color="auto"/>
        <w:right w:val="none" w:sz="0" w:space="0" w:color="auto"/>
      </w:divBdr>
    </w:div>
    <w:div w:id="1419012434">
      <w:bodyDiv w:val="1"/>
      <w:marLeft w:val="0"/>
      <w:marRight w:val="0"/>
      <w:marTop w:val="0"/>
      <w:marBottom w:val="0"/>
      <w:divBdr>
        <w:top w:val="none" w:sz="0" w:space="0" w:color="auto"/>
        <w:left w:val="none" w:sz="0" w:space="0" w:color="auto"/>
        <w:bottom w:val="none" w:sz="0" w:space="0" w:color="auto"/>
        <w:right w:val="none" w:sz="0" w:space="0" w:color="auto"/>
      </w:divBdr>
    </w:div>
    <w:div w:id="1440686462">
      <w:bodyDiv w:val="1"/>
      <w:marLeft w:val="0"/>
      <w:marRight w:val="0"/>
      <w:marTop w:val="0"/>
      <w:marBottom w:val="0"/>
      <w:divBdr>
        <w:top w:val="none" w:sz="0" w:space="0" w:color="auto"/>
        <w:left w:val="none" w:sz="0" w:space="0" w:color="auto"/>
        <w:bottom w:val="none" w:sz="0" w:space="0" w:color="auto"/>
        <w:right w:val="none" w:sz="0" w:space="0" w:color="auto"/>
      </w:divBdr>
      <w:divsChild>
        <w:div w:id="2031641015">
          <w:marLeft w:val="-720"/>
          <w:marRight w:val="0"/>
          <w:marTop w:val="0"/>
          <w:marBottom w:val="0"/>
          <w:divBdr>
            <w:top w:val="none" w:sz="0" w:space="0" w:color="auto"/>
            <w:left w:val="none" w:sz="0" w:space="0" w:color="auto"/>
            <w:bottom w:val="none" w:sz="0" w:space="0" w:color="auto"/>
            <w:right w:val="none" w:sz="0" w:space="0" w:color="auto"/>
          </w:divBdr>
        </w:div>
      </w:divsChild>
    </w:div>
    <w:div w:id="1444155116">
      <w:bodyDiv w:val="1"/>
      <w:marLeft w:val="0"/>
      <w:marRight w:val="0"/>
      <w:marTop w:val="0"/>
      <w:marBottom w:val="0"/>
      <w:divBdr>
        <w:top w:val="none" w:sz="0" w:space="0" w:color="auto"/>
        <w:left w:val="none" w:sz="0" w:space="0" w:color="auto"/>
        <w:bottom w:val="none" w:sz="0" w:space="0" w:color="auto"/>
        <w:right w:val="none" w:sz="0" w:space="0" w:color="auto"/>
      </w:divBdr>
    </w:div>
    <w:div w:id="1492285006">
      <w:bodyDiv w:val="1"/>
      <w:marLeft w:val="0"/>
      <w:marRight w:val="0"/>
      <w:marTop w:val="0"/>
      <w:marBottom w:val="0"/>
      <w:divBdr>
        <w:top w:val="none" w:sz="0" w:space="0" w:color="auto"/>
        <w:left w:val="none" w:sz="0" w:space="0" w:color="auto"/>
        <w:bottom w:val="none" w:sz="0" w:space="0" w:color="auto"/>
        <w:right w:val="none" w:sz="0" w:space="0" w:color="auto"/>
      </w:divBdr>
    </w:div>
    <w:div w:id="1505244069">
      <w:bodyDiv w:val="1"/>
      <w:marLeft w:val="0"/>
      <w:marRight w:val="0"/>
      <w:marTop w:val="0"/>
      <w:marBottom w:val="0"/>
      <w:divBdr>
        <w:top w:val="none" w:sz="0" w:space="0" w:color="auto"/>
        <w:left w:val="none" w:sz="0" w:space="0" w:color="auto"/>
        <w:bottom w:val="none" w:sz="0" w:space="0" w:color="auto"/>
        <w:right w:val="none" w:sz="0" w:space="0" w:color="auto"/>
      </w:divBdr>
    </w:div>
    <w:div w:id="1513643910">
      <w:bodyDiv w:val="1"/>
      <w:marLeft w:val="0"/>
      <w:marRight w:val="0"/>
      <w:marTop w:val="0"/>
      <w:marBottom w:val="0"/>
      <w:divBdr>
        <w:top w:val="none" w:sz="0" w:space="0" w:color="auto"/>
        <w:left w:val="none" w:sz="0" w:space="0" w:color="auto"/>
        <w:bottom w:val="none" w:sz="0" w:space="0" w:color="auto"/>
        <w:right w:val="none" w:sz="0" w:space="0" w:color="auto"/>
      </w:divBdr>
    </w:div>
    <w:div w:id="1533684062">
      <w:bodyDiv w:val="1"/>
      <w:marLeft w:val="0"/>
      <w:marRight w:val="0"/>
      <w:marTop w:val="0"/>
      <w:marBottom w:val="0"/>
      <w:divBdr>
        <w:top w:val="none" w:sz="0" w:space="0" w:color="auto"/>
        <w:left w:val="none" w:sz="0" w:space="0" w:color="auto"/>
        <w:bottom w:val="none" w:sz="0" w:space="0" w:color="auto"/>
        <w:right w:val="none" w:sz="0" w:space="0" w:color="auto"/>
      </w:divBdr>
    </w:div>
    <w:div w:id="1561817701">
      <w:bodyDiv w:val="1"/>
      <w:marLeft w:val="0"/>
      <w:marRight w:val="0"/>
      <w:marTop w:val="0"/>
      <w:marBottom w:val="0"/>
      <w:divBdr>
        <w:top w:val="none" w:sz="0" w:space="0" w:color="auto"/>
        <w:left w:val="none" w:sz="0" w:space="0" w:color="auto"/>
        <w:bottom w:val="none" w:sz="0" w:space="0" w:color="auto"/>
        <w:right w:val="none" w:sz="0" w:space="0" w:color="auto"/>
      </w:divBdr>
    </w:div>
    <w:div w:id="1571425064">
      <w:bodyDiv w:val="1"/>
      <w:marLeft w:val="0"/>
      <w:marRight w:val="0"/>
      <w:marTop w:val="0"/>
      <w:marBottom w:val="0"/>
      <w:divBdr>
        <w:top w:val="none" w:sz="0" w:space="0" w:color="auto"/>
        <w:left w:val="none" w:sz="0" w:space="0" w:color="auto"/>
        <w:bottom w:val="none" w:sz="0" w:space="0" w:color="auto"/>
        <w:right w:val="none" w:sz="0" w:space="0" w:color="auto"/>
      </w:divBdr>
      <w:divsChild>
        <w:div w:id="971208685">
          <w:marLeft w:val="-720"/>
          <w:marRight w:val="0"/>
          <w:marTop w:val="0"/>
          <w:marBottom w:val="0"/>
          <w:divBdr>
            <w:top w:val="none" w:sz="0" w:space="0" w:color="auto"/>
            <w:left w:val="none" w:sz="0" w:space="0" w:color="auto"/>
            <w:bottom w:val="none" w:sz="0" w:space="0" w:color="auto"/>
            <w:right w:val="none" w:sz="0" w:space="0" w:color="auto"/>
          </w:divBdr>
        </w:div>
      </w:divsChild>
    </w:div>
    <w:div w:id="1606961578">
      <w:bodyDiv w:val="1"/>
      <w:marLeft w:val="0"/>
      <w:marRight w:val="0"/>
      <w:marTop w:val="0"/>
      <w:marBottom w:val="0"/>
      <w:divBdr>
        <w:top w:val="none" w:sz="0" w:space="0" w:color="auto"/>
        <w:left w:val="none" w:sz="0" w:space="0" w:color="auto"/>
        <w:bottom w:val="none" w:sz="0" w:space="0" w:color="auto"/>
        <w:right w:val="none" w:sz="0" w:space="0" w:color="auto"/>
      </w:divBdr>
    </w:div>
    <w:div w:id="1632128898">
      <w:bodyDiv w:val="1"/>
      <w:marLeft w:val="0"/>
      <w:marRight w:val="0"/>
      <w:marTop w:val="0"/>
      <w:marBottom w:val="0"/>
      <w:divBdr>
        <w:top w:val="none" w:sz="0" w:space="0" w:color="auto"/>
        <w:left w:val="none" w:sz="0" w:space="0" w:color="auto"/>
        <w:bottom w:val="none" w:sz="0" w:space="0" w:color="auto"/>
        <w:right w:val="none" w:sz="0" w:space="0" w:color="auto"/>
      </w:divBdr>
    </w:div>
    <w:div w:id="1653563326">
      <w:bodyDiv w:val="1"/>
      <w:marLeft w:val="0"/>
      <w:marRight w:val="0"/>
      <w:marTop w:val="0"/>
      <w:marBottom w:val="0"/>
      <w:divBdr>
        <w:top w:val="none" w:sz="0" w:space="0" w:color="auto"/>
        <w:left w:val="none" w:sz="0" w:space="0" w:color="auto"/>
        <w:bottom w:val="none" w:sz="0" w:space="0" w:color="auto"/>
        <w:right w:val="none" w:sz="0" w:space="0" w:color="auto"/>
      </w:divBdr>
    </w:div>
    <w:div w:id="1710959666">
      <w:bodyDiv w:val="1"/>
      <w:marLeft w:val="0"/>
      <w:marRight w:val="0"/>
      <w:marTop w:val="0"/>
      <w:marBottom w:val="0"/>
      <w:divBdr>
        <w:top w:val="none" w:sz="0" w:space="0" w:color="auto"/>
        <w:left w:val="none" w:sz="0" w:space="0" w:color="auto"/>
        <w:bottom w:val="none" w:sz="0" w:space="0" w:color="auto"/>
        <w:right w:val="none" w:sz="0" w:space="0" w:color="auto"/>
      </w:divBdr>
      <w:divsChild>
        <w:div w:id="491216285">
          <w:marLeft w:val="-720"/>
          <w:marRight w:val="0"/>
          <w:marTop w:val="0"/>
          <w:marBottom w:val="0"/>
          <w:divBdr>
            <w:top w:val="none" w:sz="0" w:space="0" w:color="auto"/>
            <w:left w:val="none" w:sz="0" w:space="0" w:color="auto"/>
            <w:bottom w:val="none" w:sz="0" w:space="0" w:color="auto"/>
            <w:right w:val="none" w:sz="0" w:space="0" w:color="auto"/>
          </w:divBdr>
        </w:div>
      </w:divsChild>
    </w:div>
    <w:div w:id="1742873312">
      <w:bodyDiv w:val="1"/>
      <w:marLeft w:val="0"/>
      <w:marRight w:val="0"/>
      <w:marTop w:val="0"/>
      <w:marBottom w:val="0"/>
      <w:divBdr>
        <w:top w:val="none" w:sz="0" w:space="0" w:color="auto"/>
        <w:left w:val="none" w:sz="0" w:space="0" w:color="auto"/>
        <w:bottom w:val="none" w:sz="0" w:space="0" w:color="auto"/>
        <w:right w:val="none" w:sz="0" w:space="0" w:color="auto"/>
      </w:divBdr>
    </w:div>
    <w:div w:id="1745032740">
      <w:bodyDiv w:val="1"/>
      <w:marLeft w:val="0"/>
      <w:marRight w:val="0"/>
      <w:marTop w:val="0"/>
      <w:marBottom w:val="0"/>
      <w:divBdr>
        <w:top w:val="none" w:sz="0" w:space="0" w:color="auto"/>
        <w:left w:val="none" w:sz="0" w:space="0" w:color="auto"/>
        <w:bottom w:val="none" w:sz="0" w:space="0" w:color="auto"/>
        <w:right w:val="none" w:sz="0" w:space="0" w:color="auto"/>
      </w:divBdr>
      <w:divsChild>
        <w:div w:id="908345157">
          <w:marLeft w:val="-720"/>
          <w:marRight w:val="0"/>
          <w:marTop w:val="0"/>
          <w:marBottom w:val="0"/>
          <w:divBdr>
            <w:top w:val="none" w:sz="0" w:space="0" w:color="auto"/>
            <w:left w:val="none" w:sz="0" w:space="0" w:color="auto"/>
            <w:bottom w:val="none" w:sz="0" w:space="0" w:color="auto"/>
            <w:right w:val="none" w:sz="0" w:space="0" w:color="auto"/>
          </w:divBdr>
        </w:div>
      </w:divsChild>
    </w:div>
    <w:div w:id="1801461793">
      <w:bodyDiv w:val="1"/>
      <w:marLeft w:val="0"/>
      <w:marRight w:val="0"/>
      <w:marTop w:val="0"/>
      <w:marBottom w:val="0"/>
      <w:divBdr>
        <w:top w:val="none" w:sz="0" w:space="0" w:color="auto"/>
        <w:left w:val="none" w:sz="0" w:space="0" w:color="auto"/>
        <w:bottom w:val="none" w:sz="0" w:space="0" w:color="auto"/>
        <w:right w:val="none" w:sz="0" w:space="0" w:color="auto"/>
      </w:divBdr>
    </w:div>
    <w:div w:id="1822647960">
      <w:bodyDiv w:val="1"/>
      <w:marLeft w:val="0"/>
      <w:marRight w:val="0"/>
      <w:marTop w:val="0"/>
      <w:marBottom w:val="0"/>
      <w:divBdr>
        <w:top w:val="none" w:sz="0" w:space="0" w:color="auto"/>
        <w:left w:val="none" w:sz="0" w:space="0" w:color="auto"/>
        <w:bottom w:val="none" w:sz="0" w:space="0" w:color="auto"/>
        <w:right w:val="none" w:sz="0" w:space="0" w:color="auto"/>
      </w:divBdr>
    </w:div>
    <w:div w:id="1827892622">
      <w:bodyDiv w:val="1"/>
      <w:marLeft w:val="0"/>
      <w:marRight w:val="0"/>
      <w:marTop w:val="0"/>
      <w:marBottom w:val="0"/>
      <w:divBdr>
        <w:top w:val="none" w:sz="0" w:space="0" w:color="auto"/>
        <w:left w:val="none" w:sz="0" w:space="0" w:color="auto"/>
        <w:bottom w:val="none" w:sz="0" w:space="0" w:color="auto"/>
        <w:right w:val="none" w:sz="0" w:space="0" w:color="auto"/>
      </w:divBdr>
    </w:div>
    <w:div w:id="1887638462">
      <w:bodyDiv w:val="1"/>
      <w:marLeft w:val="0"/>
      <w:marRight w:val="0"/>
      <w:marTop w:val="0"/>
      <w:marBottom w:val="0"/>
      <w:divBdr>
        <w:top w:val="none" w:sz="0" w:space="0" w:color="auto"/>
        <w:left w:val="none" w:sz="0" w:space="0" w:color="auto"/>
        <w:bottom w:val="none" w:sz="0" w:space="0" w:color="auto"/>
        <w:right w:val="none" w:sz="0" w:space="0" w:color="auto"/>
      </w:divBdr>
    </w:div>
    <w:div w:id="1900357051">
      <w:bodyDiv w:val="1"/>
      <w:marLeft w:val="0"/>
      <w:marRight w:val="0"/>
      <w:marTop w:val="0"/>
      <w:marBottom w:val="0"/>
      <w:divBdr>
        <w:top w:val="none" w:sz="0" w:space="0" w:color="auto"/>
        <w:left w:val="none" w:sz="0" w:space="0" w:color="auto"/>
        <w:bottom w:val="none" w:sz="0" w:space="0" w:color="auto"/>
        <w:right w:val="none" w:sz="0" w:space="0" w:color="auto"/>
      </w:divBdr>
    </w:div>
    <w:div w:id="1944143367">
      <w:bodyDiv w:val="1"/>
      <w:marLeft w:val="0"/>
      <w:marRight w:val="0"/>
      <w:marTop w:val="0"/>
      <w:marBottom w:val="0"/>
      <w:divBdr>
        <w:top w:val="none" w:sz="0" w:space="0" w:color="auto"/>
        <w:left w:val="none" w:sz="0" w:space="0" w:color="auto"/>
        <w:bottom w:val="none" w:sz="0" w:space="0" w:color="auto"/>
        <w:right w:val="none" w:sz="0" w:space="0" w:color="auto"/>
      </w:divBdr>
    </w:div>
    <w:div w:id="1953242410">
      <w:bodyDiv w:val="1"/>
      <w:marLeft w:val="0"/>
      <w:marRight w:val="0"/>
      <w:marTop w:val="0"/>
      <w:marBottom w:val="0"/>
      <w:divBdr>
        <w:top w:val="none" w:sz="0" w:space="0" w:color="auto"/>
        <w:left w:val="none" w:sz="0" w:space="0" w:color="auto"/>
        <w:bottom w:val="none" w:sz="0" w:space="0" w:color="auto"/>
        <w:right w:val="none" w:sz="0" w:space="0" w:color="auto"/>
      </w:divBdr>
    </w:div>
    <w:div w:id="2001538515">
      <w:bodyDiv w:val="1"/>
      <w:marLeft w:val="0"/>
      <w:marRight w:val="0"/>
      <w:marTop w:val="0"/>
      <w:marBottom w:val="0"/>
      <w:divBdr>
        <w:top w:val="none" w:sz="0" w:space="0" w:color="auto"/>
        <w:left w:val="none" w:sz="0" w:space="0" w:color="auto"/>
        <w:bottom w:val="none" w:sz="0" w:space="0" w:color="auto"/>
        <w:right w:val="none" w:sz="0" w:space="0" w:color="auto"/>
      </w:divBdr>
    </w:div>
    <w:div w:id="2082214859">
      <w:bodyDiv w:val="1"/>
      <w:marLeft w:val="0"/>
      <w:marRight w:val="0"/>
      <w:marTop w:val="0"/>
      <w:marBottom w:val="0"/>
      <w:divBdr>
        <w:top w:val="none" w:sz="0" w:space="0" w:color="auto"/>
        <w:left w:val="none" w:sz="0" w:space="0" w:color="auto"/>
        <w:bottom w:val="none" w:sz="0" w:space="0" w:color="auto"/>
        <w:right w:val="none" w:sz="0" w:space="0" w:color="auto"/>
      </w:divBdr>
    </w:div>
    <w:div w:id="2087142318">
      <w:bodyDiv w:val="1"/>
      <w:marLeft w:val="0"/>
      <w:marRight w:val="0"/>
      <w:marTop w:val="0"/>
      <w:marBottom w:val="0"/>
      <w:divBdr>
        <w:top w:val="none" w:sz="0" w:space="0" w:color="auto"/>
        <w:left w:val="none" w:sz="0" w:space="0" w:color="auto"/>
        <w:bottom w:val="none" w:sz="0" w:space="0" w:color="auto"/>
        <w:right w:val="none" w:sz="0" w:space="0" w:color="auto"/>
      </w:divBdr>
      <w:divsChild>
        <w:div w:id="1523586913">
          <w:marLeft w:val="-720"/>
          <w:marRight w:val="0"/>
          <w:marTop w:val="0"/>
          <w:marBottom w:val="0"/>
          <w:divBdr>
            <w:top w:val="none" w:sz="0" w:space="0" w:color="auto"/>
            <w:left w:val="none" w:sz="0" w:space="0" w:color="auto"/>
            <w:bottom w:val="none" w:sz="0" w:space="0" w:color="auto"/>
            <w:right w:val="none" w:sz="0" w:space="0" w:color="auto"/>
          </w:divBdr>
        </w:div>
      </w:divsChild>
    </w:div>
    <w:div w:id="2092964205">
      <w:bodyDiv w:val="1"/>
      <w:marLeft w:val="0"/>
      <w:marRight w:val="0"/>
      <w:marTop w:val="0"/>
      <w:marBottom w:val="0"/>
      <w:divBdr>
        <w:top w:val="none" w:sz="0" w:space="0" w:color="auto"/>
        <w:left w:val="none" w:sz="0" w:space="0" w:color="auto"/>
        <w:bottom w:val="none" w:sz="0" w:space="0" w:color="auto"/>
        <w:right w:val="none" w:sz="0" w:space="0" w:color="auto"/>
      </w:divBdr>
    </w:div>
    <w:div w:id="2093431264">
      <w:bodyDiv w:val="1"/>
      <w:marLeft w:val="0"/>
      <w:marRight w:val="0"/>
      <w:marTop w:val="0"/>
      <w:marBottom w:val="0"/>
      <w:divBdr>
        <w:top w:val="none" w:sz="0" w:space="0" w:color="auto"/>
        <w:left w:val="none" w:sz="0" w:space="0" w:color="auto"/>
        <w:bottom w:val="none" w:sz="0" w:space="0" w:color="auto"/>
        <w:right w:val="none" w:sz="0" w:space="0" w:color="auto"/>
      </w:divBdr>
      <w:divsChild>
        <w:div w:id="1477604770">
          <w:marLeft w:val="-720"/>
          <w:marRight w:val="0"/>
          <w:marTop w:val="0"/>
          <w:marBottom w:val="0"/>
          <w:divBdr>
            <w:top w:val="none" w:sz="0" w:space="0" w:color="auto"/>
            <w:left w:val="none" w:sz="0" w:space="0" w:color="auto"/>
            <w:bottom w:val="none" w:sz="0" w:space="0" w:color="auto"/>
            <w:right w:val="none" w:sz="0" w:space="0" w:color="auto"/>
          </w:divBdr>
        </w:div>
      </w:divsChild>
    </w:div>
    <w:div w:id="2103986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499F27-ABF9-4BE8-B86D-2408F5EDC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1642</TotalTime>
  <Pages>11</Pages>
  <Words>3421</Words>
  <Characters>19786</Characters>
  <Application>Microsoft Office Word</Application>
  <DocSecurity>0</DocSecurity>
  <Lines>274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SAUMYA SINHA</dc:creator>
  <cp:keywords/>
  <dc:description/>
  <cp:lastModifiedBy>SAUMYA SINHA</cp:lastModifiedBy>
  <cp:revision>358</cp:revision>
  <dcterms:created xsi:type="dcterms:W3CDTF">2025-06-18T18:58:00Z</dcterms:created>
  <dcterms:modified xsi:type="dcterms:W3CDTF">2025-06-25T15:59:00Z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48996958-0378-4a80-8f24-70521b9e3a17</vt:lpwstr>
  </property>
</Properties>
</file>