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6AAD5" w14:textId="77777777" w:rsidR="00103927" w:rsidRDefault="00103927" w:rsidP="009C3F6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The Principle of Proportionality: A Pillar of Constitutional Justice</w:t>
      </w:r>
    </w:p>
    <w:p w14:paraId="0FE8CDE0" w14:textId="33F1A13F" w:rsidR="00103927" w:rsidRDefault="00103927" w:rsidP="00840C33">
      <w:pPr>
        <w:spacing w:line="360" w:lineRule="auto"/>
        <w:rPr>
          <w:rFonts w:ascii="Times New Roman" w:hAnsi="Times New Roman" w:cs="Times New Roman"/>
          <w:b/>
          <w:bCs/>
          <w:sz w:val="24"/>
          <w:szCs w:val="24"/>
        </w:rPr>
      </w:pPr>
      <w:r>
        <w:rPr>
          <w:rFonts w:ascii="Times New Roman" w:hAnsi="Times New Roman" w:cs="Times New Roman"/>
          <w:b/>
          <w:bCs/>
          <w:sz w:val="24"/>
          <w:szCs w:val="24"/>
        </w:rPr>
        <w:t>Introduction –</w:t>
      </w:r>
    </w:p>
    <w:p w14:paraId="12AB6E73" w14:textId="49E53CD1" w:rsidR="00103927" w:rsidRDefault="00F00F5F" w:rsidP="00840C33">
      <w:pPr>
        <w:spacing w:line="360" w:lineRule="auto"/>
        <w:rPr>
          <w:rFonts w:ascii="Times New Roman" w:hAnsi="Times New Roman" w:cs="Times New Roman"/>
          <w:i/>
          <w:iCs/>
          <w:sz w:val="24"/>
          <w:szCs w:val="24"/>
        </w:rPr>
      </w:pPr>
      <w:r w:rsidRPr="00F00F5F">
        <w:rPr>
          <w:rFonts w:ascii="Times New Roman" w:hAnsi="Times New Roman" w:cs="Times New Roman"/>
          <w:i/>
          <w:iCs/>
          <w:sz w:val="24"/>
          <w:szCs w:val="24"/>
        </w:rPr>
        <w:t>“</w:t>
      </w:r>
      <w:proofErr w:type="spellStart"/>
      <w:r w:rsidRPr="00F00F5F">
        <w:rPr>
          <w:rFonts w:ascii="Times New Roman" w:hAnsi="Times New Roman" w:cs="Times New Roman"/>
          <w:i/>
          <w:iCs/>
          <w:sz w:val="24"/>
          <w:szCs w:val="24"/>
        </w:rPr>
        <w:t>Punitur</w:t>
      </w:r>
      <w:proofErr w:type="spellEnd"/>
      <w:r w:rsidRPr="00F00F5F">
        <w:rPr>
          <w:rFonts w:ascii="Times New Roman" w:hAnsi="Times New Roman" w:cs="Times New Roman"/>
          <w:i/>
          <w:iCs/>
          <w:sz w:val="24"/>
          <w:szCs w:val="24"/>
        </w:rPr>
        <w:t xml:space="preserve"> ne </w:t>
      </w:r>
      <w:proofErr w:type="spellStart"/>
      <w:r w:rsidRPr="00F00F5F">
        <w:rPr>
          <w:rFonts w:ascii="Times New Roman" w:hAnsi="Times New Roman" w:cs="Times New Roman"/>
          <w:i/>
          <w:iCs/>
          <w:sz w:val="24"/>
          <w:szCs w:val="24"/>
        </w:rPr>
        <w:t>Peccetur</w:t>
      </w:r>
      <w:proofErr w:type="spellEnd"/>
      <w:r w:rsidRPr="00F00F5F">
        <w:rPr>
          <w:rFonts w:ascii="Times New Roman" w:hAnsi="Times New Roman" w:cs="Times New Roman"/>
          <w:i/>
          <w:iCs/>
          <w:sz w:val="24"/>
          <w:szCs w:val="24"/>
        </w:rPr>
        <w:t xml:space="preserve">”- He is punished not to mistake again </w:t>
      </w:r>
    </w:p>
    <w:p w14:paraId="4C7973CB" w14:textId="329F0488" w:rsidR="00F00F5F" w:rsidRDefault="00F00F5F" w:rsidP="00840C33">
      <w:pPr>
        <w:spacing w:line="360" w:lineRule="auto"/>
        <w:rPr>
          <w:rFonts w:ascii="Times New Roman" w:hAnsi="Times New Roman" w:cs="Times New Roman"/>
          <w:sz w:val="24"/>
          <w:szCs w:val="24"/>
        </w:rPr>
      </w:pPr>
      <w:r w:rsidRPr="00F00F5F">
        <w:rPr>
          <w:rFonts w:ascii="Times New Roman" w:hAnsi="Times New Roman" w:cs="Times New Roman"/>
          <w:sz w:val="24"/>
          <w:szCs w:val="24"/>
        </w:rPr>
        <w:t xml:space="preserve">But what if the punishment is more excessive than the </w:t>
      </w:r>
      <w:r>
        <w:rPr>
          <w:rFonts w:ascii="Times New Roman" w:hAnsi="Times New Roman" w:cs="Times New Roman"/>
          <w:sz w:val="24"/>
          <w:szCs w:val="24"/>
        </w:rPr>
        <w:t xml:space="preserve">crime? </w:t>
      </w:r>
      <w:r w:rsidR="005D78E8">
        <w:rPr>
          <w:rFonts w:ascii="Times New Roman" w:hAnsi="Times New Roman" w:cs="Times New Roman"/>
          <w:sz w:val="24"/>
          <w:szCs w:val="24"/>
        </w:rPr>
        <w:t>The proportionality principle today forms an integral part of Jurisprudence around the world. Justice</w:t>
      </w:r>
      <w:r>
        <w:rPr>
          <w:rFonts w:ascii="Times New Roman" w:hAnsi="Times New Roman" w:cs="Times New Roman"/>
          <w:sz w:val="24"/>
          <w:szCs w:val="24"/>
        </w:rPr>
        <w:t xml:space="preserve"> is not only about deciding right or wrong, </w:t>
      </w:r>
      <w:r w:rsidR="007A77BA">
        <w:rPr>
          <w:rFonts w:ascii="Times New Roman" w:hAnsi="Times New Roman" w:cs="Times New Roman"/>
          <w:sz w:val="24"/>
          <w:szCs w:val="24"/>
        </w:rPr>
        <w:t>but it</w:t>
      </w:r>
      <w:r>
        <w:rPr>
          <w:rFonts w:ascii="Times New Roman" w:hAnsi="Times New Roman" w:cs="Times New Roman"/>
          <w:sz w:val="24"/>
          <w:szCs w:val="24"/>
        </w:rPr>
        <w:t xml:space="preserve"> also ensures that the response to wrong is neither excessive nor insufficient. In the </w:t>
      </w:r>
      <w:r w:rsidR="007A77BA">
        <w:rPr>
          <w:rFonts w:ascii="Times New Roman" w:hAnsi="Times New Roman" w:cs="Times New Roman"/>
          <w:sz w:val="24"/>
          <w:szCs w:val="24"/>
        </w:rPr>
        <w:t xml:space="preserve">grand architecture of constitutional law, not every pillar is based on strength alone – some are sculpted with restraint and balance. Imagine a world where minor mistakes are met with severe punishments, it is unjust and can </w:t>
      </w:r>
      <w:r w:rsidR="005D78E8">
        <w:rPr>
          <w:rFonts w:ascii="Times New Roman" w:hAnsi="Times New Roman" w:cs="Times New Roman"/>
          <w:sz w:val="24"/>
          <w:szCs w:val="24"/>
        </w:rPr>
        <w:t>result</w:t>
      </w:r>
      <w:r w:rsidR="007A77BA">
        <w:rPr>
          <w:rFonts w:ascii="Times New Roman" w:hAnsi="Times New Roman" w:cs="Times New Roman"/>
          <w:sz w:val="24"/>
          <w:szCs w:val="24"/>
        </w:rPr>
        <w:t xml:space="preserve"> in violation of individual </w:t>
      </w:r>
      <w:r w:rsidR="000830E8">
        <w:rPr>
          <w:rFonts w:ascii="Times New Roman" w:hAnsi="Times New Roman" w:cs="Times New Roman"/>
          <w:sz w:val="24"/>
          <w:szCs w:val="24"/>
        </w:rPr>
        <w:t>rights. Doctrine of proportionality is a legal principle that balances judicial outcomes.</w:t>
      </w:r>
      <w:r w:rsidR="00E46A2C">
        <w:rPr>
          <w:rFonts w:ascii="Times New Roman" w:hAnsi="Times New Roman" w:cs="Times New Roman"/>
          <w:sz w:val="24"/>
          <w:szCs w:val="24"/>
        </w:rPr>
        <w:t xml:space="preserve"> It also ensures that t</w:t>
      </w:r>
      <w:r w:rsidR="000830E8">
        <w:rPr>
          <w:rFonts w:ascii="Times New Roman" w:hAnsi="Times New Roman" w:cs="Times New Roman"/>
          <w:sz w:val="24"/>
          <w:szCs w:val="24"/>
        </w:rPr>
        <w:t>he actions of the law must be fair, rational and reasonable.</w:t>
      </w:r>
    </w:p>
    <w:p w14:paraId="4D140A98" w14:textId="6CA241D3" w:rsidR="007A77BA" w:rsidRDefault="007A77BA" w:rsidP="00840C33">
      <w:pPr>
        <w:spacing w:line="360" w:lineRule="auto"/>
        <w:rPr>
          <w:rFonts w:ascii="Times New Roman" w:hAnsi="Times New Roman" w:cs="Times New Roman"/>
          <w:i/>
          <w:iCs/>
          <w:sz w:val="24"/>
          <w:szCs w:val="24"/>
        </w:rPr>
      </w:pPr>
      <w:r>
        <w:rPr>
          <w:rFonts w:ascii="Times New Roman" w:hAnsi="Times New Roman" w:cs="Times New Roman"/>
          <w:i/>
          <w:iCs/>
          <w:sz w:val="24"/>
          <w:szCs w:val="24"/>
        </w:rPr>
        <w:t>“</w:t>
      </w:r>
      <w:r w:rsidR="000830E8">
        <w:rPr>
          <w:rFonts w:ascii="Times New Roman" w:hAnsi="Times New Roman" w:cs="Times New Roman"/>
          <w:i/>
          <w:iCs/>
          <w:sz w:val="24"/>
          <w:szCs w:val="24"/>
        </w:rPr>
        <w:t>Lex</w:t>
      </w:r>
      <w:r>
        <w:rPr>
          <w:rFonts w:ascii="Times New Roman" w:hAnsi="Times New Roman" w:cs="Times New Roman"/>
          <w:i/>
          <w:iCs/>
          <w:sz w:val="24"/>
          <w:szCs w:val="24"/>
        </w:rPr>
        <w:t xml:space="preserve"> talionis”- Punishment should fit the crime </w:t>
      </w:r>
    </w:p>
    <w:p w14:paraId="0EF6EAD8" w14:textId="046E446F" w:rsidR="00F00F5F" w:rsidRDefault="007A77BA" w:rsidP="00840C33">
      <w:pPr>
        <w:spacing w:line="360" w:lineRule="auto"/>
        <w:rPr>
          <w:rFonts w:ascii="Times New Roman" w:hAnsi="Times New Roman" w:cs="Times New Roman"/>
          <w:sz w:val="24"/>
          <w:szCs w:val="24"/>
        </w:rPr>
      </w:pPr>
      <w:r>
        <w:rPr>
          <w:rFonts w:ascii="Times New Roman" w:hAnsi="Times New Roman" w:cs="Times New Roman"/>
          <w:sz w:val="24"/>
          <w:szCs w:val="24"/>
        </w:rPr>
        <w:t>I</w:t>
      </w:r>
      <w:r w:rsidR="005D78E8">
        <w:rPr>
          <w:rFonts w:ascii="Times New Roman" w:hAnsi="Times New Roman" w:cs="Times New Roman"/>
          <w:sz w:val="24"/>
          <w:szCs w:val="24"/>
        </w:rPr>
        <w:t xml:space="preserve">n simple words it can be explained as “an eye for an eye”. Principle of proportionality is a balanced act between </w:t>
      </w:r>
      <w:r w:rsidR="000830E8">
        <w:rPr>
          <w:rFonts w:ascii="Times New Roman" w:hAnsi="Times New Roman" w:cs="Times New Roman"/>
          <w:sz w:val="24"/>
          <w:szCs w:val="24"/>
        </w:rPr>
        <w:t xml:space="preserve">the rights </w:t>
      </w:r>
      <w:r w:rsidR="005D78E8">
        <w:rPr>
          <w:rFonts w:ascii="Times New Roman" w:hAnsi="Times New Roman" w:cs="Times New Roman"/>
          <w:sz w:val="24"/>
          <w:szCs w:val="24"/>
        </w:rPr>
        <w:t>of the indivi</w:t>
      </w:r>
      <w:r w:rsidR="000830E8">
        <w:rPr>
          <w:rFonts w:ascii="Times New Roman" w:hAnsi="Times New Roman" w:cs="Times New Roman"/>
          <w:sz w:val="24"/>
          <w:szCs w:val="24"/>
        </w:rPr>
        <w:t xml:space="preserve">duals and power of the state. It originated in German administrative law and adopted by the European court of Human Rights </w:t>
      </w:r>
      <w:r w:rsidR="00E46A2C">
        <w:rPr>
          <w:rFonts w:ascii="Times New Roman" w:hAnsi="Times New Roman" w:cs="Times New Roman"/>
          <w:sz w:val="24"/>
          <w:szCs w:val="24"/>
        </w:rPr>
        <w:t>and</w:t>
      </w:r>
      <w:r w:rsidR="000830E8">
        <w:rPr>
          <w:rFonts w:ascii="Times New Roman" w:hAnsi="Times New Roman" w:cs="Times New Roman"/>
          <w:sz w:val="24"/>
          <w:szCs w:val="24"/>
        </w:rPr>
        <w:t xml:space="preserve"> showed its influence in India. </w:t>
      </w:r>
    </w:p>
    <w:p w14:paraId="702FD883" w14:textId="7B9F4DAD" w:rsidR="00E46A2C" w:rsidRDefault="00472E7F" w:rsidP="00840C33">
      <w:pPr>
        <w:spacing w:line="360" w:lineRule="auto"/>
        <w:rPr>
          <w:rFonts w:ascii="Times New Roman" w:hAnsi="Times New Roman" w:cs="Times New Roman"/>
          <w:b/>
          <w:bCs/>
          <w:sz w:val="24"/>
          <w:szCs w:val="24"/>
        </w:rPr>
      </w:pPr>
      <w:r>
        <w:rPr>
          <w:rFonts w:ascii="Times New Roman" w:hAnsi="Times New Roman" w:cs="Times New Roman"/>
          <w:b/>
          <w:bCs/>
          <w:sz w:val="24"/>
          <w:szCs w:val="24"/>
        </w:rPr>
        <w:t>Historical origins and Jurisprudential evolution –</w:t>
      </w:r>
    </w:p>
    <w:p w14:paraId="5FE244B5" w14:textId="75448F04" w:rsidR="00472E7F" w:rsidRDefault="00716C07" w:rsidP="00840C3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principle of proportionality didn’t originate overnight, it is the result of a gradual evolution rooted in the </w:t>
      </w:r>
      <w:r w:rsidR="00F42DC8">
        <w:rPr>
          <w:rFonts w:ascii="Times New Roman" w:hAnsi="Times New Roman" w:cs="Times New Roman"/>
          <w:sz w:val="24"/>
          <w:szCs w:val="24"/>
        </w:rPr>
        <w:t xml:space="preserve">search </w:t>
      </w:r>
      <w:r>
        <w:rPr>
          <w:rFonts w:ascii="Times New Roman" w:hAnsi="Times New Roman" w:cs="Times New Roman"/>
          <w:sz w:val="24"/>
          <w:szCs w:val="24"/>
        </w:rPr>
        <w:t xml:space="preserve">for justice, equality and </w:t>
      </w:r>
      <w:r w:rsidR="00F42DC8">
        <w:rPr>
          <w:rFonts w:ascii="Times New Roman" w:hAnsi="Times New Roman" w:cs="Times New Roman"/>
          <w:sz w:val="24"/>
          <w:szCs w:val="24"/>
        </w:rPr>
        <w:t>maintaining</w:t>
      </w:r>
      <w:r>
        <w:rPr>
          <w:rFonts w:ascii="Times New Roman" w:hAnsi="Times New Roman" w:cs="Times New Roman"/>
          <w:sz w:val="24"/>
          <w:szCs w:val="24"/>
        </w:rPr>
        <w:t xml:space="preserve"> a balance between state and individual </w:t>
      </w:r>
      <w:r w:rsidR="00F42DC8">
        <w:rPr>
          <w:rFonts w:ascii="Times New Roman" w:hAnsi="Times New Roman" w:cs="Times New Roman"/>
          <w:sz w:val="24"/>
          <w:szCs w:val="24"/>
        </w:rPr>
        <w:t xml:space="preserve">rights. Nowadays it stands as a keystone in </w:t>
      </w:r>
      <w:r w:rsidR="00362F82">
        <w:rPr>
          <w:rFonts w:ascii="Times New Roman" w:hAnsi="Times New Roman" w:cs="Times New Roman"/>
          <w:sz w:val="24"/>
          <w:szCs w:val="24"/>
        </w:rPr>
        <w:t>the democracy</w:t>
      </w:r>
      <w:r w:rsidR="00F42DC8">
        <w:rPr>
          <w:rFonts w:ascii="Times New Roman" w:hAnsi="Times New Roman" w:cs="Times New Roman"/>
          <w:sz w:val="24"/>
          <w:szCs w:val="24"/>
        </w:rPr>
        <w:t xml:space="preserve"> of the constitution and also human </w:t>
      </w:r>
      <w:r w:rsidR="00362F82">
        <w:rPr>
          <w:rFonts w:ascii="Times New Roman" w:hAnsi="Times New Roman" w:cs="Times New Roman"/>
          <w:sz w:val="24"/>
          <w:szCs w:val="24"/>
        </w:rPr>
        <w:t>rights,</w:t>
      </w:r>
      <w:r w:rsidR="00F42DC8">
        <w:rPr>
          <w:rFonts w:ascii="Times New Roman" w:hAnsi="Times New Roman" w:cs="Times New Roman"/>
          <w:sz w:val="24"/>
          <w:szCs w:val="24"/>
        </w:rPr>
        <w:t xml:space="preserve"> but it came from the traditions of European administrative law.</w:t>
      </w:r>
    </w:p>
    <w:p w14:paraId="2D4846C8" w14:textId="193BBACE" w:rsidR="00F42DC8" w:rsidRDefault="00F42DC8" w:rsidP="00840C33">
      <w:pPr>
        <w:pStyle w:val="ListParagraph"/>
        <w:numPr>
          <w:ilvl w:val="0"/>
          <w:numId w:val="1"/>
        </w:numPr>
        <w:spacing w:line="360" w:lineRule="auto"/>
        <w:rPr>
          <w:rFonts w:ascii="Times New Roman" w:hAnsi="Times New Roman" w:cs="Times New Roman"/>
          <w:sz w:val="24"/>
          <w:szCs w:val="24"/>
        </w:rPr>
      </w:pPr>
      <w:r w:rsidRPr="00362F82">
        <w:rPr>
          <w:rFonts w:ascii="Times New Roman" w:hAnsi="Times New Roman" w:cs="Times New Roman"/>
          <w:b/>
          <w:bCs/>
          <w:sz w:val="24"/>
          <w:szCs w:val="24"/>
        </w:rPr>
        <w:t>Origins in German Legal Tradition</w:t>
      </w:r>
      <w:r>
        <w:rPr>
          <w:rFonts w:ascii="Times New Roman" w:hAnsi="Times New Roman" w:cs="Times New Roman"/>
          <w:sz w:val="24"/>
          <w:szCs w:val="24"/>
        </w:rPr>
        <w:t>- This modern form of the proportionality principle originated from Germany in 19</w:t>
      </w:r>
      <w:r w:rsidRPr="00F42DC8">
        <w:rPr>
          <w:rFonts w:ascii="Times New Roman" w:hAnsi="Times New Roman" w:cs="Times New Roman"/>
          <w:sz w:val="24"/>
          <w:szCs w:val="24"/>
          <w:vertAlign w:val="superscript"/>
        </w:rPr>
        <w:t>th</w:t>
      </w:r>
      <w:r>
        <w:rPr>
          <w:rFonts w:ascii="Times New Roman" w:hAnsi="Times New Roman" w:cs="Times New Roman"/>
          <w:sz w:val="24"/>
          <w:szCs w:val="24"/>
        </w:rPr>
        <w:t xml:space="preserve"> century and was applied to restrict police powers as the actions of the police were non just</w:t>
      </w:r>
      <w:r w:rsidR="00362F82">
        <w:rPr>
          <w:rFonts w:ascii="Times New Roman" w:hAnsi="Times New Roman" w:cs="Times New Roman"/>
          <w:sz w:val="24"/>
          <w:szCs w:val="24"/>
        </w:rPr>
        <w:t>ified and excessive. Later, after World War 2nd, the Federal constitutional court played an important role in renovating the proportionality test as a judicial tool to protect individual rights.</w:t>
      </w:r>
    </w:p>
    <w:p w14:paraId="2000C08A" w14:textId="69F00AC1" w:rsidR="00362F82" w:rsidRDefault="00362F82" w:rsidP="00840C33">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bCs/>
          <w:sz w:val="24"/>
          <w:szCs w:val="24"/>
        </w:rPr>
        <w:t>Spread to European and International Law</w:t>
      </w:r>
      <w:r w:rsidRPr="00362F82">
        <w:rPr>
          <w:rFonts w:ascii="Times New Roman" w:hAnsi="Times New Roman" w:cs="Times New Roman"/>
          <w:sz w:val="24"/>
          <w:szCs w:val="24"/>
        </w:rPr>
        <w:t>-</w:t>
      </w:r>
      <w:r w:rsidR="00DA420A">
        <w:rPr>
          <w:rFonts w:ascii="Times New Roman" w:hAnsi="Times New Roman" w:cs="Times New Roman"/>
          <w:sz w:val="24"/>
          <w:szCs w:val="24"/>
        </w:rPr>
        <w:t xml:space="preserve"> After the rise of this doctrine in Germany, it was gradually absorbed by other European legal systems and international human rights, where courts must balance individual rights with public interests.</w:t>
      </w:r>
    </w:p>
    <w:p w14:paraId="0CC29046" w14:textId="16A97B08" w:rsidR="00DA420A" w:rsidRDefault="00DA420A" w:rsidP="00840C33">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bCs/>
          <w:sz w:val="24"/>
          <w:szCs w:val="24"/>
        </w:rPr>
        <w:t>Entry into common law Jurisdictions-</w:t>
      </w:r>
      <w:r>
        <w:rPr>
          <w:rFonts w:ascii="Times New Roman" w:hAnsi="Times New Roman" w:cs="Times New Roman"/>
          <w:sz w:val="24"/>
          <w:szCs w:val="24"/>
        </w:rPr>
        <w:t xml:space="preserve"> Traditionally, common law systems were based on </w:t>
      </w:r>
      <w:proofErr w:type="spellStart"/>
      <w:r>
        <w:rPr>
          <w:rFonts w:ascii="Times New Roman" w:hAnsi="Times New Roman" w:cs="Times New Roman"/>
          <w:sz w:val="24"/>
          <w:szCs w:val="24"/>
        </w:rPr>
        <w:t>Wednesbury</w:t>
      </w:r>
      <w:proofErr w:type="spellEnd"/>
      <w:r>
        <w:rPr>
          <w:rFonts w:ascii="Times New Roman" w:hAnsi="Times New Roman" w:cs="Times New Roman"/>
          <w:sz w:val="24"/>
          <w:szCs w:val="24"/>
        </w:rPr>
        <w:t xml:space="preserve"> reasonableness standard</w:t>
      </w:r>
      <w:r w:rsidR="00095165">
        <w:rPr>
          <w:rFonts w:ascii="Times New Roman" w:hAnsi="Times New Roman" w:cs="Times New Roman"/>
          <w:sz w:val="24"/>
          <w:szCs w:val="24"/>
        </w:rPr>
        <w:t xml:space="preserve"> </w:t>
      </w:r>
      <w:r w:rsidR="00D97089">
        <w:rPr>
          <w:rFonts w:ascii="Times New Roman" w:hAnsi="Times New Roman" w:cs="Times New Roman"/>
          <w:sz w:val="24"/>
          <w:szCs w:val="24"/>
        </w:rPr>
        <w:t>(it</w:t>
      </w:r>
      <w:r w:rsidR="00095165">
        <w:rPr>
          <w:rFonts w:ascii="Times New Roman" w:hAnsi="Times New Roman" w:cs="Times New Roman"/>
          <w:sz w:val="24"/>
          <w:szCs w:val="24"/>
        </w:rPr>
        <w:t xml:space="preserve"> means that the decisions must not be </w:t>
      </w:r>
      <w:r w:rsidR="00D97089">
        <w:rPr>
          <w:rFonts w:ascii="Times New Roman" w:hAnsi="Times New Roman" w:cs="Times New Roman"/>
          <w:sz w:val="24"/>
          <w:szCs w:val="24"/>
        </w:rPr>
        <w:t>irrational)</w:t>
      </w:r>
      <w:r w:rsidR="00095165">
        <w:rPr>
          <w:rFonts w:ascii="Times New Roman" w:hAnsi="Times New Roman" w:cs="Times New Roman"/>
          <w:sz w:val="24"/>
          <w:szCs w:val="24"/>
        </w:rPr>
        <w:t xml:space="preserve"> </w:t>
      </w:r>
      <w:r w:rsidR="00D97089">
        <w:rPr>
          <w:rFonts w:ascii="Times New Roman" w:hAnsi="Times New Roman" w:cs="Times New Roman"/>
          <w:sz w:val="24"/>
          <w:szCs w:val="24"/>
        </w:rPr>
        <w:t>and</w:t>
      </w:r>
      <w:r w:rsidR="00095165">
        <w:rPr>
          <w:rFonts w:ascii="Times New Roman" w:hAnsi="Times New Roman" w:cs="Times New Roman"/>
          <w:sz w:val="24"/>
          <w:szCs w:val="24"/>
        </w:rPr>
        <w:t xml:space="preserve"> proportionality began to replace </w:t>
      </w:r>
      <w:r w:rsidR="00D97089">
        <w:rPr>
          <w:rFonts w:ascii="Times New Roman" w:hAnsi="Times New Roman" w:cs="Times New Roman"/>
          <w:sz w:val="24"/>
          <w:szCs w:val="24"/>
        </w:rPr>
        <w:t>the previous law of jurisdiction.</w:t>
      </w:r>
    </w:p>
    <w:p w14:paraId="62AE26D0" w14:textId="2B531778" w:rsidR="006422E8" w:rsidRPr="006422E8" w:rsidRDefault="00D97089" w:rsidP="00840C33">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Development in Indian Jurisprudence- </w:t>
      </w:r>
      <w:r>
        <w:rPr>
          <w:rFonts w:ascii="Times New Roman" w:hAnsi="Times New Roman" w:cs="Times New Roman"/>
          <w:sz w:val="24"/>
          <w:szCs w:val="24"/>
        </w:rPr>
        <w:t>This principle was not mentioned in early constitutional decisions. The doctrine of reasonableness was initially applied by the courts in the early times</w:t>
      </w:r>
      <w:r w:rsidR="006422E8">
        <w:rPr>
          <w:rFonts w:ascii="Times New Roman" w:hAnsi="Times New Roman" w:cs="Times New Roman"/>
          <w:sz w:val="24"/>
          <w:szCs w:val="24"/>
        </w:rPr>
        <w:t>. The journey began with the expansion of Article 21 in Maneka Gandhi Vs. Union of India (1978</w:t>
      </w:r>
      <w:r w:rsidR="009C3F61">
        <w:rPr>
          <w:rFonts w:ascii="Times New Roman" w:hAnsi="Times New Roman" w:cs="Times New Roman"/>
          <w:sz w:val="24"/>
          <w:szCs w:val="24"/>
        </w:rPr>
        <w:t>), where</w:t>
      </w:r>
      <w:r w:rsidR="006422E8">
        <w:rPr>
          <w:rFonts w:ascii="Times New Roman" w:hAnsi="Times New Roman" w:cs="Times New Roman"/>
          <w:sz w:val="24"/>
          <w:szCs w:val="24"/>
        </w:rPr>
        <w:t xml:space="preserve"> the Supreme Court embraced the full proportionality test.</w:t>
      </w:r>
    </w:p>
    <w:p w14:paraId="13955EDD" w14:textId="3DAAF60D" w:rsidR="00D97089" w:rsidRDefault="00D97089" w:rsidP="00840C33">
      <w:pPr>
        <w:pStyle w:val="ListParagraph"/>
        <w:numPr>
          <w:ilvl w:val="0"/>
          <w:numId w:val="1"/>
        </w:numPr>
        <w:spacing w:line="360" w:lineRule="auto"/>
        <w:rPr>
          <w:rFonts w:ascii="Times New Roman" w:hAnsi="Times New Roman" w:cs="Times New Roman"/>
          <w:sz w:val="24"/>
          <w:szCs w:val="24"/>
        </w:rPr>
      </w:pPr>
      <w:r w:rsidRPr="006422E8">
        <w:rPr>
          <w:rFonts w:ascii="Times New Roman" w:hAnsi="Times New Roman" w:cs="Times New Roman"/>
          <w:b/>
          <w:bCs/>
          <w:sz w:val="24"/>
          <w:szCs w:val="24"/>
        </w:rPr>
        <w:t xml:space="preserve">Components of the evolved doctrine- </w:t>
      </w:r>
      <w:r w:rsidRPr="006422E8">
        <w:rPr>
          <w:rFonts w:ascii="Times New Roman" w:hAnsi="Times New Roman" w:cs="Times New Roman"/>
          <w:sz w:val="24"/>
          <w:szCs w:val="24"/>
        </w:rPr>
        <w:t xml:space="preserve">Proportionality has acquired a structured format and consist of the following steps like </w:t>
      </w:r>
      <w:r w:rsidR="00725E24" w:rsidRPr="006422E8">
        <w:rPr>
          <w:rFonts w:ascii="Times New Roman" w:hAnsi="Times New Roman" w:cs="Times New Roman"/>
          <w:sz w:val="24"/>
          <w:szCs w:val="24"/>
        </w:rPr>
        <w:t>–</w:t>
      </w:r>
      <w:r w:rsidRPr="006422E8">
        <w:rPr>
          <w:rFonts w:ascii="Times New Roman" w:hAnsi="Times New Roman" w:cs="Times New Roman"/>
          <w:sz w:val="24"/>
          <w:szCs w:val="24"/>
        </w:rPr>
        <w:t xml:space="preserve"> legi</w:t>
      </w:r>
      <w:r w:rsidR="00725E24" w:rsidRPr="006422E8">
        <w:rPr>
          <w:rFonts w:ascii="Times New Roman" w:hAnsi="Times New Roman" w:cs="Times New Roman"/>
          <w:sz w:val="24"/>
          <w:szCs w:val="24"/>
        </w:rPr>
        <w:t>timate aim, suitability, necessity, balancing etc. Thus, what began as a modest administrative check has evolved into a universal standard of constitutional justice and power exercised by the state not just legal but also fair for the individuals.</w:t>
      </w:r>
    </w:p>
    <w:p w14:paraId="31FA68F3" w14:textId="77777777" w:rsidR="009C3F61" w:rsidRDefault="006422E8" w:rsidP="00840C33">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In this way this doctrine has evolved from Germany to India and began a modest administrative check </w:t>
      </w:r>
      <w:r w:rsidR="009C3F61">
        <w:rPr>
          <w:rFonts w:ascii="Times New Roman" w:hAnsi="Times New Roman" w:cs="Times New Roman"/>
          <w:sz w:val="24"/>
          <w:szCs w:val="24"/>
        </w:rPr>
        <w:t>that</w:t>
      </w:r>
      <w:r>
        <w:rPr>
          <w:rFonts w:ascii="Times New Roman" w:hAnsi="Times New Roman" w:cs="Times New Roman"/>
          <w:sz w:val="24"/>
          <w:szCs w:val="24"/>
        </w:rPr>
        <w:t xml:space="preserve"> evolved into a universal standard of constitutional justice</w:t>
      </w:r>
      <w:r w:rsidR="009C3F61">
        <w:rPr>
          <w:rFonts w:ascii="Times New Roman" w:hAnsi="Times New Roman" w:cs="Times New Roman"/>
          <w:sz w:val="24"/>
          <w:szCs w:val="24"/>
        </w:rPr>
        <w:t>.</w:t>
      </w:r>
    </w:p>
    <w:p w14:paraId="24C31FD7" w14:textId="0BA3F5AD" w:rsidR="009C3F61" w:rsidRDefault="009C3F61" w:rsidP="00840C33">
      <w:pPr>
        <w:spacing w:line="360" w:lineRule="auto"/>
        <w:ind w:left="360"/>
        <w:rPr>
          <w:rFonts w:ascii="Times New Roman" w:hAnsi="Times New Roman" w:cs="Times New Roman"/>
          <w:sz w:val="24"/>
          <w:szCs w:val="24"/>
        </w:rPr>
      </w:pPr>
      <w:r w:rsidRPr="009C3F61">
        <w:rPr>
          <w:rFonts w:ascii="Times New Roman" w:hAnsi="Times New Roman" w:cs="Times New Roman"/>
          <w:b/>
          <w:bCs/>
          <w:sz w:val="24"/>
          <w:szCs w:val="24"/>
        </w:rPr>
        <w:t>Core Elements of the doctrine of proportionality-</w:t>
      </w:r>
    </w:p>
    <w:p w14:paraId="30244BD1" w14:textId="4915DD53" w:rsidR="009C3F61" w:rsidRDefault="009C3F61" w:rsidP="00840C33">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Doctrine of proportionality mainly ensures that the interference of the state should be in a limited manner, it should not be arbitrary or excessive </w:t>
      </w:r>
      <w:r w:rsidR="005B0A19">
        <w:rPr>
          <w:rFonts w:ascii="Times New Roman" w:hAnsi="Times New Roman" w:cs="Times New Roman"/>
          <w:sz w:val="24"/>
          <w:szCs w:val="24"/>
        </w:rPr>
        <w:t>but fair and justifiable. This doctrine helps the court to understand whether a government action that limits the fundamental rights of the individual is reasonable or not. Here present some key elements of the proportionality test:</w:t>
      </w:r>
    </w:p>
    <w:p w14:paraId="0961E2A6" w14:textId="3CA87E33" w:rsidR="005B0A19" w:rsidRDefault="005B0A19" w:rsidP="00840C33">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b/>
          <w:bCs/>
          <w:sz w:val="24"/>
          <w:szCs w:val="24"/>
        </w:rPr>
        <w:t>Legitimate aim –</w:t>
      </w:r>
    </w:p>
    <w:p w14:paraId="1F1D8F14" w14:textId="7E54467F" w:rsidR="000802A0" w:rsidRDefault="005B0A19" w:rsidP="00840C33">
      <w:pPr>
        <w:pStyle w:val="ListParagraph"/>
        <w:spacing w:line="360" w:lineRule="auto"/>
        <w:ind w:left="1080"/>
        <w:rPr>
          <w:rFonts w:ascii="Times New Roman" w:hAnsi="Times New Roman" w:cs="Times New Roman"/>
          <w:sz w:val="24"/>
          <w:szCs w:val="24"/>
        </w:rPr>
      </w:pPr>
      <w:r>
        <w:rPr>
          <w:rFonts w:ascii="Times New Roman" w:hAnsi="Times New Roman" w:cs="Times New Roman"/>
          <w:sz w:val="24"/>
          <w:szCs w:val="24"/>
        </w:rPr>
        <w:t xml:space="preserve">The action of the government must prove a lawful objective. The state must </w:t>
      </w:r>
      <w:r w:rsidR="000802A0">
        <w:rPr>
          <w:rFonts w:ascii="Times New Roman" w:hAnsi="Times New Roman" w:cs="Times New Roman"/>
          <w:sz w:val="24"/>
          <w:szCs w:val="24"/>
        </w:rPr>
        <w:t>justified that the restriction on the right serves any kind of public interest like national security, public order, morality etc.</w:t>
      </w:r>
    </w:p>
    <w:p w14:paraId="29CD9C2A" w14:textId="46D2CC0E" w:rsidR="000802A0" w:rsidRPr="000802A0" w:rsidRDefault="000802A0" w:rsidP="00840C33">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b/>
          <w:bCs/>
          <w:sz w:val="24"/>
          <w:szCs w:val="24"/>
        </w:rPr>
        <w:t>Suitability –</w:t>
      </w:r>
    </w:p>
    <w:p w14:paraId="7DDE7F42" w14:textId="6494095C" w:rsidR="000802A0" w:rsidRDefault="000802A0" w:rsidP="00840C33">
      <w:pPr>
        <w:pStyle w:val="ListParagraph"/>
        <w:spacing w:line="360" w:lineRule="auto"/>
        <w:ind w:left="1080"/>
        <w:rPr>
          <w:rFonts w:ascii="Times New Roman" w:hAnsi="Times New Roman" w:cs="Times New Roman"/>
          <w:sz w:val="24"/>
          <w:szCs w:val="24"/>
        </w:rPr>
      </w:pPr>
      <w:r>
        <w:rPr>
          <w:rFonts w:ascii="Times New Roman" w:hAnsi="Times New Roman" w:cs="Times New Roman"/>
          <w:sz w:val="24"/>
          <w:szCs w:val="24"/>
        </w:rPr>
        <w:t>The path must be suitable to achieve the stated objectives</w:t>
      </w:r>
      <w:r w:rsidR="00613503">
        <w:rPr>
          <w:rFonts w:ascii="Times New Roman" w:hAnsi="Times New Roman" w:cs="Times New Roman"/>
          <w:sz w:val="24"/>
          <w:szCs w:val="24"/>
        </w:rPr>
        <w:t>. The presence of a logical connection between the means used and the result is very important.</w:t>
      </w:r>
    </w:p>
    <w:p w14:paraId="22B2D7C2" w14:textId="77777777" w:rsidR="00613503" w:rsidRPr="00613503" w:rsidRDefault="00613503" w:rsidP="00840C33">
      <w:pPr>
        <w:pStyle w:val="ListParagraph"/>
        <w:numPr>
          <w:ilvl w:val="0"/>
          <w:numId w:val="3"/>
        </w:numPr>
        <w:spacing w:line="360" w:lineRule="auto"/>
        <w:rPr>
          <w:rFonts w:ascii="Times New Roman" w:hAnsi="Times New Roman" w:cs="Times New Roman"/>
          <w:sz w:val="24"/>
          <w:szCs w:val="24"/>
        </w:rPr>
      </w:pPr>
      <w:r w:rsidRPr="00613503">
        <w:rPr>
          <w:rFonts w:ascii="Times New Roman" w:hAnsi="Times New Roman" w:cs="Times New Roman"/>
          <w:b/>
          <w:bCs/>
          <w:sz w:val="24"/>
          <w:szCs w:val="24"/>
        </w:rPr>
        <w:t>Necessity-</w:t>
      </w:r>
    </w:p>
    <w:p w14:paraId="1E3A65A4" w14:textId="41D8D395" w:rsidR="00613503" w:rsidRDefault="00613503" w:rsidP="00840C33">
      <w:pPr>
        <w:pStyle w:val="ListParagraph"/>
        <w:spacing w:line="360" w:lineRule="auto"/>
        <w:ind w:left="1080"/>
        <w:rPr>
          <w:rFonts w:ascii="Times New Roman" w:hAnsi="Times New Roman" w:cs="Times New Roman"/>
          <w:sz w:val="24"/>
          <w:szCs w:val="24"/>
        </w:rPr>
      </w:pPr>
      <w:r w:rsidRPr="00613503">
        <w:rPr>
          <w:rFonts w:ascii="Times New Roman" w:hAnsi="Times New Roman" w:cs="Times New Roman"/>
          <w:sz w:val="24"/>
          <w:szCs w:val="24"/>
        </w:rPr>
        <w:t>If a less harmful alternative is present that can achieve the same goal, the state should follow that instead.</w:t>
      </w:r>
      <w:r>
        <w:rPr>
          <w:rFonts w:ascii="Times New Roman" w:hAnsi="Times New Roman" w:cs="Times New Roman"/>
          <w:sz w:val="24"/>
          <w:szCs w:val="24"/>
        </w:rPr>
        <w:t xml:space="preserve"> This ensures that the rights of </w:t>
      </w:r>
      <w:r w:rsidR="00882A8A">
        <w:rPr>
          <w:rFonts w:ascii="Times New Roman" w:hAnsi="Times New Roman" w:cs="Times New Roman"/>
          <w:sz w:val="24"/>
          <w:szCs w:val="24"/>
        </w:rPr>
        <w:t>individuals</w:t>
      </w:r>
      <w:r>
        <w:rPr>
          <w:rFonts w:ascii="Times New Roman" w:hAnsi="Times New Roman" w:cs="Times New Roman"/>
          <w:sz w:val="24"/>
          <w:szCs w:val="24"/>
        </w:rPr>
        <w:t xml:space="preserve"> are not unnecessarily consumed or sacrificed.</w:t>
      </w:r>
    </w:p>
    <w:p w14:paraId="3F15CEA4" w14:textId="1379EB77" w:rsidR="00882A8A" w:rsidRDefault="00882A8A" w:rsidP="00840C33">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b/>
          <w:bCs/>
          <w:sz w:val="24"/>
          <w:szCs w:val="24"/>
        </w:rPr>
        <w:t>Balancing –</w:t>
      </w:r>
    </w:p>
    <w:p w14:paraId="449C005D" w14:textId="77777777" w:rsidR="00493302" w:rsidRDefault="00882A8A" w:rsidP="00840C33">
      <w:pPr>
        <w:pStyle w:val="ListParagraph"/>
        <w:spacing w:line="360" w:lineRule="auto"/>
        <w:ind w:left="1080"/>
        <w:rPr>
          <w:rFonts w:ascii="Times New Roman" w:hAnsi="Times New Roman" w:cs="Times New Roman"/>
          <w:sz w:val="24"/>
          <w:szCs w:val="24"/>
        </w:rPr>
      </w:pPr>
      <w:r>
        <w:rPr>
          <w:rFonts w:ascii="Times New Roman" w:hAnsi="Times New Roman" w:cs="Times New Roman"/>
          <w:sz w:val="24"/>
          <w:szCs w:val="24"/>
        </w:rPr>
        <w:t xml:space="preserve">This is the final stage where the court analyzes whether the benefits to society infringe individual rights. Even if the measure is suitable and </w:t>
      </w:r>
      <w:r w:rsidR="00493302">
        <w:rPr>
          <w:rFonts w:ascii="Times New Roman" w:hAnsi="Times New Roman" w:cs="Times New Roman"/>
          <w:sz w:val="24"/>
          <w:szCs w:val="24"/>
        </w:rPr>
        <w:t>necessary,</w:t>
      </w:r>
      <w:r>
        <w:rPr>
          <w:rFonts w:ascii="Times New Roman" w:hAnsi="Times New Roman" w:cs="Times New Roman"/>
          <w:sz w:val="24"/>
          <w:szCs w:val="24"/>
        </w:rPr>
        <w:t xml:space="preserve"> it may still </w:t>
      </w:r>
      <w:r w:rsidR="00493302">
        <w:rPr>
          <w:rFonts w:ascii="Times New Roman" w:hAnsi="Times New Roman" w:cs="Times New Roman"/>
          <w:sz w:val="24"/>
          <w:szCs w:val="24"/>
        </w:rPr>
        <w:t>be disproportionate</w:t>
      </w:r>
      <w:r>
        <w:rPr>
          <w:rFonts w:ascii="Times New Roman" w:hAnsi="Times New Roman" w:cs="Times New Roman"/>
          <w:sz w:val="24"/>
          <w:szCs w:val="24"/>
        </w:rPr>
        <w:t xml:space="preserve"> if it </w:t>
      </w:r>
      <w:r w:rsidR="00493302">
        <w:rPr>
          <w:rFonts w:ascii="Times New Roman" w:hAnsi="Times New Roman" w:cs="Times New Roman"/>
          <w:sz w:val="24"/>
          <w:szCs w:val="24"/>
        </w:rPr>
        <w:t>causes</w:t>
      </w:r>
      <w:r>
        <w:rPr>
          <w:rFonts w:ascii="Times New Roman" w:hAnsi="Times New Roman" w:cs="Times New Roman"/>
          <w:sz w:val="24"/>
          <w:szCs w:val="24"/>
        </w:rPr>
        <w:t xml:space="preserve"> excessive hardships compared to the benefits of the individual.</w:t>
      </w:r>
    </w:p>
    <w:p w14:paraId="47557ACF" w14:textId="77777777" w:rsidR="00493302" w:rsidRDefault="00493302" w:rsidP="00840C33">
      <w:pPr>
        <w:spacing w:line="360" w:lineRule="auto"/>
        <w:rPr>
          <w:rFonts w:ascii="Times New Roman" w:hAnsi="Times New Roman" w:cs="Times New Roman"/>
          <w:sz w:val="24"/>
          <w:szCs w:val="24"/>
        </w:rPr>
      </w:pPr>
      <w:r w:rsidRPr="00493302">
        <w:rPr>
          <w:rFonts w:ascii="Times New Roman" w:hAnsi="Times New Roman" w:cs="Times New Roman"/>
          <w:b/>
          <w:bCs/>
          <w:sz w:val="24"/>
          <w:szCs w:val="24"/>
        </w:rPr>
        <w:t>Comparison between Civil Law and Common Law Systems -</w:t>
      </w:r>
      <w:r w:rsidRPr="00493302">
        <w:rPr>
          <w:rFonts w:ascii="Times New Roman" w:hAnsi="Times New Roman" w:cs="Times New Roman"/>
          <w:sz w:val="24"/>
          <w:szCs w:val="24"/>
        </w:rPr>
        <w:t xml:space="preserve">  </w:t>
      </w:r>
    </w:p>
    <w:p w14:paraId="53CC9DAC" w14:textId="77777777" w:rsidR="00493302" w:rsidRDefault="00493302" w:rsidP="00840C33">
      <w:pPr>
        <w:spacing w:line="360" w:lineRule="auto"/>
        <w:rPr>
          <w:rFonts w:ascii="Times New Roman" w:hAnsi="Times New Roman" w:cs="Times New Roman"/>
          <w:sz w:val="24"/>
          <w:szCs w:val="24"/>
        </w:rPr>
      </w:pPr>
      <w:r>
        <w:rPr>
          <w:rFonts w:ascii="Times New Roman" w:hAnsi="Times New Roman" w:cs="Times New Roman"/>
          <w:sz w:val="24"/>
          <w:szCs w:val="24"/>
        </w:rPr>
        <w:t xml:space="preserve">Civil law countries like Germany, France and Netherlands, proportionality is being a central aspect of constitutional as well as administrative jurisprudence. It is used </w:t>
      </w:r>
      <w:r w:rsidRPr="00493302">
        <w:rPr>
          <w:rFonts w:ascii="Times New Roman" w:hAnsi="Times New Roman" w:cs="Times New Roman"/>
          <w:sz w:val="24"/>
          <w:szCs w:val="24"/>
        </w:rPr>
        <w:t>as</w:t>
      </w:r>
      <w:r>
        <w:rPr>
          <w:rFonts w:ascii="Times New Roman" w:hAnsi="Times New Roman" w:cs="Times New Roman"/>
          <w:sz w:val="24"/>
          <w:szCs w:val="24"/>
        </w:rPr>
        <w:t xml:space="preserve"> a standard tool for giving justice to individuals. </w:t>
      </w:r>
    </w:p>
    <w:p w14:paraId="2F9804BC" w14:textId="2235A96B" w:rsidR="00493302" w:rsidRDefault="00493302" w:rsidP="00840C33">
      <w:pPr>
        <w:spacing w:line="360" w:lineRule="auto"/>
        <w:rPr>
          <w:rFonts w:ascii="Times New Roman" w:hAnsi="Times New Roman" w:cs="Times New Roman"/>
          <w:sz w:val="24"/>
          <w:szCs w:val="24"/>
        </w:rPr>
      </w:pPr>
      <w:r>
        <w:rPr>
          <w:rFonts w:ascii="Times New Roman" w:hAnsi="Times New Roman" w:cs="Times New Roman"/>
          <w:sz w:val="24"/>
          <w:szCs w:val="24"/>
        </w:rPr>
        <w:t xml:space="preserve">Countries having common law jurisdiction like United </w:t>
      </w:r>
      <w:r w:rsidR="001D67B3">
        <w:rPr>
          <w:rFonts w:ascii="Times New Roman" w:hAnsi="Times New Roman" w:cs="Times New Roman"/>
          <w:sz w:val="24"/>
          <w:szCs w:val="24"/>
        </w:rPr>
        <w:t>Kingdom,</w:t>
      </w:r>
      <w:r>
        <w:rPr>
          <w:rFonts w:ascii="Times New Roman" w:hAnsi="Times New Roman" w:cs="Times New Roman"/>
          <w:sz w:val="24"/>
          <w:szCs w:val="24"/>
        </w:rPr>
        <w:t xml:space="preserve"> Canada </w:t>
      </w:r>
      <w:r w:rsidR="001D67B3">
        <w:rPr>
          <w:rFonts w:ascii="Times New Roman" w:hAnsi="Times New Roman" w:cs="Times New Roman"/>
          <w:sz w:val="24"/>
          <w:szCs w:val="24"/>
        </w:rPr>
        <w:t>and</w:t>
      </w:r>
      <w:r>
        <w:rPr>
          <w:rFonts w:ascii="Times New Roman" w:hAnsi="Times New Roman" w:cs="Times New Roman"/>
          <w:sz w:val="24"/>
          <w:szCs w:val="24"/>
        </w:rPr>
        <w:t xml:space="preserve"> </w:t>
      </w:r>
      <w:r w:rsidR="001D67B3">
        <w:rPr>
          <w:rFonts w:ascii="Times New Roman" w:hAnsi="Times New Roman" w:cs="Times New Roman"/>
          <w:sz w:val="24"/>
          <w:szCs w:val="24"/>
        </w:rPr>
        <w:t>India,</w:t>
      </w:r>
      <w:r>
        <w:rPr>
          <w:rFonts w:ascii="Times New Roman" w:hAnsi="Times New Roman" w:cs="Times New Roman"/>
          <w:sz w:val="24"/>
          <w:szCs w:val="24"/>
        </w:rPr>
        <w:t xml:space="preserve"> this principle was introduced lately as there was a </w:t>
      </w:r>
      <w:proofErr w:type="spellStart"/>
      <w:r>
        <w:rPr>
          <w:rFonts w:ascii="Times New Roman" w:hAnsi="Times New Roman" w:cs="Times New Roman"/>
          <w:sz w:val="24"/>
          <w:szCs w:val="24"/>
        </w:rPr>
        <w:t>Wednesbury</w:t>
      </w:r>
      <w:proofErr w:type="spellEnd"/>
      <w:r>
        <w:rPr>
          <w:rFonts w:ascii="Times New Roman" w:hAnsi="Times New Roman" w:cs="Times New Roman"/>
          <w:sz w:val="24"/>
          <w:szCs w:val="24"/>
        </w:rPr>
        <w:t xml:space="preserve"> test initially which provide minimal judicia</w:t>
      </w:r>
      <w:r w:rsidR="001D67B3">
        <w:rPr>
          <w:rFonts w:ascii="Times New Roman" w:hAnsi="Times New Roman" w:cs="Times New Roman"/>
          <w:sz w:val="24"/>
          <w:szCs w:val="24"/>
        </w:rPr>
        <w:t>l</w:t>
      </w:r>
      <w:r>
        <w:rPr>
          <w:rFonts w:ascii="Times New Roman" w:hAnsi="Times New Roman" w:cs="Times New Roman"/>
          <w:sz w:val="24"/>
          <w:szCs w:val="24"/>
        </w:rPr>
        <w:t xml:space="preserve"> security</w:t>
      </w:r>
      <w:r w:rsidR="001D67B3">
        <w:rPr>
          <w:rFonts w:ascii="Times New Roman" w:hAnsi="Times New Roman" w:cs="Times New Roman"/>
          <w:sz w:val="24"/>
          <w:szCs w:val="24"/>
        </w:rPr>
        <w:t>. However, later the principle of proportionality began to develop in these countries, especially in fundamental cases.</w:t>
      </w:r>
    </w:p>
    <w:p w14:paraId="4A1F7C15" w14:textId="70BA7207" w:rsidR="001D67B3" w:rsidRDefault="001D67B3" w:rsidP="00840C33">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Proportionality vs. </w:t>
      </w:r>
      <w:proofErr w:type="spellStart"/>
      <w:r>
        <w:rPr>
          <w:rFonts w:ascii="Times New Roman" w:hAnsi="Times New Roman" w:cs="Times New Roman"/>
          <w:b/>
          <w:bCs/>
          <w:sz w:val="24"/>
          <w:szCs w:val="24"/>
        </w:rPr>
        <w:t>Wednesbury</w:t>
      </w:r>
      <w:proofErr w:type="spellEnd"/>
      <w:r>
        <w:rPr>
          <w:rFonts w:ascii="Times New Roman" w:hAnsi="Times New Roman" w:cs="Times New Roman"/>
          <w:b/>
          <w:bCs/>
          <w:sz w:val="24"/>
          <w:szCs w:val="24"/>
        </w:rPr>
        <w:t xml:space="preserve"> unreasonableness: </w:t>
      </w:r>
      <w:r w:rsidR="008A6A53">
        <w:rPr>
          <w:rFonts w:ascii="Times New Roman" w:hAnsi="Times New Roman" w:cs="Times New Roman"/>
          <w:b/>
          <w:bCs/>
          <w:sz w:val="24"/>
          <w:szCs w:val="24"/>
        </w:rPr>
        <w:t xml:space="preserve">A </w:t>
      </w:r>
      <w:r>
        <w:rPr>
          <w:rFonts w:ascii="Times New Roman" w:hAnsi="Times New Roman" w:cs="Times New Roman"/>
          <w:b/>
          <w:bCs/>
          <w:sz w:val="24"/>
          <w:szCs w:val="24"/>
        </w:rPr>
        <w:t>shift in standards –</w:t>
      </w:r>
    </w:p>
    <w:p w14:paraId="0A096A1B" w14:textId="77777777" w:rsidR="008A6A53" w:rsidRDefault="008A6A53" w:rsidP="00840C33">
      <w:pPr>
        <w:spacing w:line="360" w:lineRule="auto"/>
        <w:rPr>
          <w:rFonts w:ascii="Times New Roman" w:hAnsi="Times New Roman" w:cs="Times New Roman"/>
          <w:b/>
          <w:bCs/>
          <w:sz w:val="24"/>
          <w:szCs w:val="24"/>
          <w:lang/>
        </w:rPr>
      </w:pPr>
      <w:r w:rsidRPr="008A6A53">
        <w:rPr>
          <w:rFonts w:ascii="Times New Roman" w:hAnsi="Times New Roman" w:cs="Times New Roman"/>
          <w:b/>
          <w:bCs/>
          <w:sz w:val="24"/>
          <w:szCs w:val="24"/>
          <w:lang/>
        </w:rPr>
        <w:t>Wednesbury Unreasonableness</w:t>
      </w:r>
      <w:r>
        <w:rPr>
          <w:rFonts w:ascii="Times New Roman" w:hAnsi="Times New Roman" w:cs="Times New Roman"/>
          <w:b/>
          <w:bCs/>
          <w:sz w:val="24"/>
          <w:szCs w:val="24"/>
          <w:lang/>
        </w:rPr>
        <w:t>-</w:t>
      </w:r>
    </w:p>
    <w:p w14:paraId="0D52AFD2" w14:textId="4D7D78AC" w:rsid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The doctrine originates from the landmark English case Associated Provincial Picture Houses Ltd. v. Wednesbury Corporation (1948) 1 KB 223. Under this standard, a court can only interfere with administrative decisions if they are so irrational that no reasonable person acting reasonably could have made them. The threshold is extremely high, often described as “outrageous in its defiance of logic.” Wednesbury is based on judicial deference to administrative discretion. Courts do not evaluate the merits of a decision, but only whether the decision-maker stayed within legal bounds. This test is thus narrow, procedural, and restrained, making it difficult to challenge state actions even if they disproportionately impact rights.</w:t>
      </w:r>
    </w:p>
    <w:p w14:paraId="698A7292" w14:textId="085BB9BB" w:rsidR="008A6A53" w:rsidRPr="008A6A53" w:rsidRDefault="008A6A53" w:rsidP="00840C33">
      <w:pPr>
        <w:spacing w:line="360" w:lineRule="auto"/>
        <w:rPr>
          <w:rFonts w:ascii="Times New Roman" w:hAnsi="Times New Roman" w:cs="Times New Roman"/>
          <w:b/>
          <w:bCs/>
          <w:sz w:val="24"/>
          <w:szCs w:val="24"/>
          <w:lang/>
        </w:rPr>
      </w:pPr>
      <w:r>
        <w:rPr>
          <w:rFonts w:ascii="Times New Roman" w:hAnsi="Times New Roman" w:cs="Times New Roman"/>
          <w:b/>
          <w:bCs/>
          <w:sz w:val="24"/>
          <w:szCs w:val="24"/>
          <w:lang/>
        </w:rPr>
        <w:t>Principle of Proportionality-</w:t>
      </w:r>
    </w:p>
    <w:p w14:paraId="433F5B24" w14:textId="77777777" w:rsidR="008A6A53" w:rsidRP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Proportionality, by contrast, is a more structured and rigorous standard. It requires courts to evaluate whether:</w:t>
      </w:r>
    </w:p>
    <w:p w14:paraId="165DD409" w14:textId="07B6AFFE" w:rsidR="008A6A53" w:rsidRP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1. The action pursues a legitimate aim.</w:t>
      </w:r>
    </w:p>
    <w:p w14:paraId="41356316" w14:textId="068A4F69" w:rsidR="008A6A53" w:rsidRP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2. The means chosen are suitable to achieve that aim.</w:t>
      </w:r>
    </w:p>
    <w:p w14:paraId="7D1BE061" w14:textId="5B21F809" w:rsidR="008A6A53" w:rsidRP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3. There is no less restrictive alternative available (necessity); and</w:t>
      </w:r>
    </w:p>
    <w:p w14:paraId="31624752" w14:textId="567261B9" w:rsidR="008A6A53" w:rsidRP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4. The benefits outweigh the harm to rights (balancing).</w:t>
      </w:r>
    </w:p>
    <w:p w14:paraId="30E59D5B" w14:textId="77777777" w:rsidR="008A6A53" w:rsidRDefault="008A6A53" w:rsidP="00840C33">
      <w:pPr>
        <w:spacing w:line="360" w:lineRule="auto"/>
        <w:rPr>
          <w:rFonts w:ascii="Times New Roman" w:hAnsi="Times New Roman" w:cs="Times New Roman"/>
          <w:sz w:val="24"/>
          <w:szCs w:val="24"/>
          <w:lang/>
        </w:rPr>
      </w:pPr>
      <w:r w:rsidRPr="008A6A53">
        <w:rPr>
          <w:rFonts w:ascii="Times New Roman" w:hAnsi="Times New Roman" w:cs="Times New Roman"/>
          <w:sz w:val="24"/>
          <w:szCs w:val="24"/>
          <w:lang/>
        </w:rPr>
        <w:t>Unlike Wednesbury, proportionality invites active judicial scrutiny into the rationality, necessity, and fairness of decisions. It is particularly relevant in cases involving fundamental rights, where courts must ensure that state interference is justified and minimal.</w:t>
      </w:r>
    </w:p>
    <w:p w14:paraId="545B73C7" w14:textId="5B84B38A" w:rsidR="008A6A53" w:rsidRDefault="008A6A53" w:rsidP="00840C33">
      <w:pPr>
        <w:spacing w:line="360" w:lineRule="auto"/>
        <w:rPr>
          <w:rFonts w:ascii="Times New Roman" w:hAnsi="Times New Roman" w:cs="Times New Roman"/>
          <w:sz w:val="24"/>
          <w:szCs w:val="24"/>
        </w:rPr>
      </w:pPr>
      <w:r w:rsidRPr="008A6A53">
        <w:rPr>
          <w:rFonts w:ascii="Times New Roman" w:hAnsi="Times New Roman" w:cs="Times New Roman"/>
          <w:sz w:val="24"/>
          <w:szCs w:val="24"/>
        </w:rPr>
        <w:t xml:space="preserve">In sum, </w:t>
      </w:r>
      <w:proofErr w:type="spellStart"/>
      <w:r w:rsidRPr="008A6A53">
        <w:rPr>
          <w:rFonts w:ascii="Times New Roman" w:hAnsi="Times New Roman" w:cs="Times New Roman"/>
          <w:sz w:val="24"/>
          <w:szCs w:val="24"/>
        </w:rPr>
        <w:t>Wednesbury</w:t>
      </w:r>
      <w:proofErr w:type="spellEnd"/>
      <w:r w:rsidRPr="008A6A53">
        <w:rPr>
          <w:rFonts w:ascii="Times New Roman" w:hAnsi="Times New Roman" w:cs="Times New Roman"/>
          <w:sz w:val="24"/>
          <w:szCs w:val="24"/>
        </w:rPr>
        <w:t xml:space="preserve"> is a deferential, low-intensity review standard suitable for general administrative decisions, while proportionality is a rights-sensitive, high-intensity standard applied when state actions threaten constitutional liberties. The shift from </w:t>
      </w:r>
      <w:proofErr w:type="spellStart"/>
      <w:r w:rsidRPr="008A6A53">
        <w:rPr>
          <w:rFonts w:ascii="Times New Roman" w:hAnsi="Times New Roman" w:cs="Times New Roman"/>
          <w:sz w:val="24"/>
          <w:szCs w:val="24"/>
        </w:rPr>
        <w:t>Wednesbury</w:t>
      </w:r>
      <w:proofErr w:type="spellEnd"/>
      <w:r w:rsidRPr="008A6A53">
        <w:rPr>
          <w:rFonts w:ascii="Times New Roman" w:hAnsi="Times New Roman" w:cs="Times New Roman"/>
          <w:sz w:val="24"/>
          <w:szCs w:val="24"/>
        </w:rPr>
        <w:t xml:space="preserve"> to proportionality reflects the judiciary’s evolving role as a protector of individual rights against arbitrary state power.</w:t>
      </w:r>
    </w:p>
    <w:p w14:paraId="73669FCE" w14:textId="0371818B" w:rsidR="000D4E41" w:rsidRDefault="000D4E41" w:rsidP="00840C33">
      <w:pPr>
        <w:spacing w:line="360" w:lineRule="auto"/>
        <w:rPr>
          <w:rFonts w:ascii="Times New Roman" w:hAnsi="Times New Roman" w:cs="Times New Roman"/>
          <w:b/>
          <w:bCs/>
          <w:sz w:val="24"/>
          <w:szCs w:val="24"/>
        </w:rPr>
      </w:pPr>
      <w:r>
        <w:rPr>
          <w:rFonts w:ascii="Times New Roman" w:hAnsi="Times New Roman" w:cs="Times New Roman"/>
          <w:b/>
          <w:bCs/>
          <w:sz w:val="24"/>
          <w:szCs w:val="24"/>
        </w:rPr>
        <w:t>Judicial interpretation: Recent case related to this principle</w:t>
      </w:r>
    </w:p>
    <w:p w14:paraId="79B45273" w14:textId="77777777" w:rsidR="000D4E41" w:rsidRDefault="000D4E41" w:rsidP="00840C33">
      <w:pPr>
        <w:pStyle w:val="ListParagraph"/>
        <w:numPr>
          <w:ilvl w:val="0"/>
          <w:numId w:val="3"/>
        </w:numPr>
        <w:spacing w:line="360" w:lineRule="auto"/>
        <w:rPr>
          <w:rFonts w:ascii="Times New Roman" w:hAnsi="Times New Roman" w:cs="Times New Roman"/>
          <w:b/>
          <w:bCs/>
          <w:sz w:val="24"/>
          <w:szCs w:val="24"/>
          <w:lang/>
        </w:rPr>
      </w:pPr>
      <w:r w:rsidRPr="000D4E41">
        <w:rPr>
          <w:rFonts w:ascii="Times New Roman" w:hAnsi="Times New Roman" w:cs="Times New Roman"/>
          <w:b/>
          <w:bCs/>
          <w:sz w:val="24"/>
          <w:szCs w:val="24"/>
          <w:lang/>
        </w:rPr>
        <w:t>Saurabh Bhatnagar v. State of H.P.</w:t>
      </w:r>
    </w:p>
    <w:p w14:paraId="4069AE41" w14:textId="03562367" w:rsidR="000D4E41" w:rsidRDefault="000D4E41" w:rsidP="00840C33">
      <w:pPr>
        <w:pStyle w:val="ListParagraph"/>
        <w:spacing w:line="360" w:lineRule="auto"/>
        <w:ind w:left="1080"/>
        <w:rPr>
          <w:rFonts w:ascii="Times New Roman" w:hAnsi="Times New Roman" w:cs="Times New Roman"/>
          <w:sz w:val="24"/>
          <w:szCs w:val="24"/>
          <w:lang/>
        </w:rPr>
      </w:pPr>
      <w:r w:rsidRPr="000D4E41">
        <w:rPr>
          <w:rFonts w:ascii="Times New Roman" w:hAnsi="Times New Roman" w:cs="Times New Roman"/>
          <w:sz w:val="24"/>
          <w:szCs w:val="24"/>
          <w:lang/>
        </w:rPr>
        <w:t>“Trial Court held that the impact of heroin is severe on society, but the Central Government has already taken care of it while prescribing the quantity. The Legislature also considered the same while providing a range of sentences up to 10 years. Therefore, there is no reason to deviate from the provision of principle of proportionality and the sentence imposed by the learned Trial Court is liable to be interfered with.” </w:t>
      </w:r>
      <w:r>
        <w:rPr>
          <w:rFonts w:ascii="Times New Roman" w:hAnsi="Times New Roman" w:cs="Times New Roman"/>
          <w:sz w:val="24"/>
          <w:szCs w:val="24"/>
          <w:lang/>
        </w:rPr>
        <w:t>– Justice Rakesh Kainthla</w:t>
      </w:r>
    </w:p>
    <w:p w14:paraId="34AD0855" w14:textId="477AD384" w:rsidR="000D4E41" w:rsidRDefault="000D4E41" w:rsidP="00840C33">
      <w:pPr>
        <w:pStyle w:val="ListParagraph"/>
        <w:spacing w:line="360" w:lineRule="auto"/>
        <w:ind w:left="1080"/>
        <w:rPr>
          <w:rFonts w:ascii="Times New Roman" w:hAnsi="Times New Roman" w:cs="Times New Roman"/>
          <w:sz w:val="24"/>
          <w:szCs w:val="24"/>
          <w:lang/>
        </w:rPr>
      </w:pPr>
      <w:r w:rsidRPr="000D4E41">
        <w:rPr>
          <w:rFonts w:ascii="Times New Roman" w:hAnsi="Times New Roman" w:cs="Times New Roman"/>
          <w:sz w:val="24"/>
          <w:szCs w:val="24"/>
          <w:lang/>
        </w:rPr>
        <w:t>Recently, the Justice Rakesh Kainthla stated that trial courts must not deviate from the quantity-based sentencing framework prescribed under the Narcotic Drugs and Psychotropic Substances Act, 1985 (NDPS Act), as the Legislature and Central Government have already accounted for the severity of the substance's impact while framing the law. The Himachal Pradesh High Court held this in the matter of Saurabh Bhatnagar v. State of H.P. (2025</w:t>
      </w:r>
      <w:r>
        <w:rPr>
          <w:rFonts w:ascii="Times New Roman" w:hAnsi="Times New Roman" w:cs="Times New Roman"/>
          <w:sz w:val="24"/>
          <w:szCs w:val="24"/>
          <w:lang/>
        </w:rPr>
        <w:t>)</w:t>
      </w:r>
    </w:p>
    <w:p w14:paraId="1DE9500D" w14:textId="77777777" w:rsidR="008E09EF" w:rsidRDefault="008E09EF" w:rsidP="00840C33">
      <w:pPr>
        <w:pStyle w:val="ListParagraph"/>
        <w:numPr>
          <w:ilvl w:val="0"/>
          <w:numId w:val="3"/>
        </w:numPr>
        <w:spacing w:line="360" w:lineRule="auto"/>
        <w:rPr>
          <w:rFonts w:ascii="Times New Roman" w:hAnsi="Times New Roman" w:cs="Times New Roman"/>
          <w:b/>
          <w:bCs/>
          <w:sz w:val="24"/>
          <w:szCs w:val="24"/>
          <w:lang/>
        </w:rPr>
      </w:pPr>
      <w:r w:rsidRPr="008E09EF">
        <w:rPr>
          <w:rFonts w:ascii="Times New Roman" w:hAnsi="Times New Roman" w:cs="Times New Roman"/>
          <w:b/>
          <w:bCs/>
          <w:sz w:val="24"/>
          <w:szCs w:val="24"/>
          <w:lang/>
        </w:rPr>
        <w:t>Background of the case</w:t>
      </w:r>
      <w:r>
        <w:rPr>
          <w:rFonts w:ascii="Times New Roman" w:hAnsi="Times New Roman" w:cs="Times New Roman"/>
          <w:b/>
          <w:bCs/>
          <w:sz w:val="24"/>
          <w:szCs w:val="24"/>
          <w:lang/>
        </w:rPr>
        <w:t>-</w:t>
      </w:r>
    </w:p>
    <w:p w14:paraId="43A6147E" w14:textId="0FCF472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On 15th May 2018, a police patrol team comprising SI/SHO Kulwant Singh, ASI Kuldeep Singh, HC Abnesh Kumar, and HC Vinod Patial was traveling towards Paraur village in Himachal Pradesh in their official vehicle driven by Constable Ankush Kumar. </w:t>
      </w:r>
    </w:p>
    <w:p w14:paraId="5B1FA82D"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At approximately 11:20 AM, the officers noticed a suspicious vehicle bearing registration number HP-40B-6000 approaching from Paraur direction with a flag rod installed. </w:t>
      </w:r>
    </w:p>
    <w:p w14:paraId="0CB2DF54"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When the police signaled the vehicle to stop, the driver accelerated and sped away towards Arla, raising suspicions among the officers. </w:t>
      </w:r>
    </w:p>
    <w:p w14:paraId="7A0AF217"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police team pursued the vehicle and requested HC Vikas Arora to intercept it near Sangam Palace, Arla, with Manoj Chaudhary and Rajeev Kumar serving as independent witnesses. </w:t>
      </w:r>
    </w:p>
    <w:p w14:paraId="4DA4292D"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Upon stopping the vehicle, the police identified the driver as Saurabh Bhatnagar and the passenger as Abhishek Gupta. </w:t>
      </w:r>
    </w:p>
    <w:p w14:paraId="731077A6"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During the search of the vehicle, officers discovered two stick-shaped rolls wrapped with black tape bearing star patterns hidden in the driver's seat cover. </w:t>
      </w:r>
    </w:p>
    <w:p w14:paraId="427C48CE"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Three additional sticks wrapped with yellow star tape and green-black star tape were found concealed in the front seat cover. </w:t>
      </w:r>
    </w:p>
    <w:p w14:paraId="3E7E0CB8" w14:textId="77777777"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When officers removed the tape wrapping, they discovered translucent packets tied with knots containing what appeared to be heroin. </w:t>
      </w:r>
    </w:p>
    <w:p w14:paraId="432B2080"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substance was weighed using a scale brought to the scene by Constable Malkiyat Singh, revealing a total quantity of approximately 50 grams of heroin. </w:t>
      </w:r>
    </w:p>
    <w:p w14:paraId="3034D474"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police sealed the recovered substance in a cloth parcel with eight impressions of seal 'FO' and filled NCB-1 Form in triplicate. </w:t>
      </w:r>
    </w:p>
    <w:p w14:paraId="4DA55758"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vehicle and its keys were seized following proper procedural protocols. </w:t>
      </w:r>
    </w:p>
    <w:p w14:paraId="2D6C17D6"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HC Vikas Arora issued a separate challan for unauthorized installation of the flag rod and photographed the entire proceedings. </w:t>
      </w:r>
    </w:p>
    <w:p w14:paraId="1C05D744"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An FIR was registered at Police Station Bhawarna, and SI Kulwant Singh conducted the investigation. </w:t>
      </w:r>
    </w:p>
    <w:p w14:paraId="7A294D1D"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case property was deposited in the Malkhana through proper chain of custody. Samples were sent to FSL Junga for analysis, which confirmed the substance as Diacetylmorphine (heroin). The prosecution examined eighteen witnesses during the trial proceedings. </w:t>
      </w:r>
    </w:p>
    <w:p w14:paraId="0924719B"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independent witnesses Manoj Chaudhary and Rajeev Kumar did not support the prosecution's case, having turned hostile. The trial court found the testimonies of official witnesses to be corroborative and reliable despite the hostile independent witnesses. Co-accused Abhishek Gupta was acquitted due to lack of evidence establishing his knowledge or conscious possession of the contraband. </w:t>
      </w:r>
    </w:p>
    <w:p w14:paraId="7B697D44" w14:textId="77777777" w:rsid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Saurabh Bhatnagar, being the driver and son of the vehicle owner, was found guilty of conscious possession under Section 21 of the Narcotic Drugs and Psychotropic Substances Act, 1985 (NDPS Act). </w:t>
      </w:r>
    </w:p>
    <w:p w14:paraId="5217F93B" w14:textId="788E052D" w:rsidR="008E09EF" w:rsidRPr="008E09EF" w:rsidRDefault="008E09EF" w:rsidP="00840C33">
      <w:pPr>
        <w:pStyle w:val="ListParagraph"/>
        <w:numPr>
          <w:ilvl w:val="0"/>
          <w:numId w:val="6"/>
        </w:numPr>
        <w:spacing w:line="360" w:lineRule="auto"/>
        <w:rPr>
          <w:rFonts w:ascii="Times New Roman" w:hAnsi="Times New Roman" w:cs="Times New Roman"/>
          <w:sz w:val="24"/>
          <w:szCs w:val="24"/>
          <w:lang/>
        </w:rPr>
      </w:pPr>
      <w:r w:rsidRPr="008E09EF">
        <w:rPr>
          <w:rFonts w:ascii="Times New Roman" w:hAnsi="Times New Roman" w:cs="Times New Roman"/>
          <w:sz w:val="24"/>
          <w:szCs w:val="24"/>
          <w:lang/>
        </w:rPr>
        <w:t>The trial court sentenced Saurabh Bhatnagar to eight years of rigorous imprisonment and a fine of ₹1,00,000, with an additional six months of simple imprisonment in default of fine payment</w:t>
      </w:r>
      <w:r w:rsidRPr="008E09EF">
        <w:rPr>
          <w:rFonts w:ascii="Times New Roman" w:hAnsi="Times New Roman" w:cs="Times New Roman"/>
          <w:b/>
          <w:bCs/>
          <w:sz w:val="24"/>
          <w:szCs w:val="24"/>
          <w:lang/>
        </w:rPr>
        <w:t>. </w:t>
      </w:r>
    </w:p>
    <w:p w14:paraId="3E46FB6D" w14:textId="4030BF20" w:rsidR="008E09EF" w:rsidRDefault="008E09EF" w:rsidP="00840C33">
      <w:pPr>
        <w:pStyle w:val="ListParagraph"/>
        <w:numPr>
          <w:ilvl w:val="0"/>
          <w:numId w:val="3"/>
        </w:numPr>
        <w:spacing w:line="360" w:lineRule="auto"/>
        <w:rPr>
          <w:rFonts w:ascii="Times New Roman" w:hAnsi="Times New Roman" w:cs="Times New Roman"/>
          <w:b/>
          <w:bCs/>
          <w:sz w:val="24"/>
          <w:szCs w:val="24"/>
          <w:lang/>
        </w:rPr>
      </w:pPr>
      <w:r w:rsidRPr="00840C33">
        <w:rPr>
          <w:rFonts w:ascii="Times New Roman" w:hAnsi="Times New Roman" w:cs="Times New Roman"/>
          <w:b/>
          <w:bCs/>
          <w:sz w:val="24"/>
          <w:szCs w:val="24"/>
          <w:lang/>
        </w:rPr>
        <w:t>Court</w:t>
      </w:r>
      <w:r w:rsidR="00840C33" w:rsidRPr="00840C33">
        <w:rPr>
          <w:rFonts w:ascii="Times New Roman" w:hAnsi="Times New Roman" w:cs="Times New Roman"/>
          <w:b/>
          <w:bCs/>
          <w:sz w:val="24"/>
          <w:szCs w:val="24"/>
          <w:lang/>
        </w:rPr>
        <w:t>’s observation-</w:t>
      </w:r>
    </w:p>
    <w:p w14:paraId="7642F5DA" w14:textId="77777777"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The Himachal Pradesh High Court held that minor contradictions in police testimonies and omissions by some police witnesses to mention recovery were immaterial, citing precedents in Chet Ram v. State of H.P. and Budh Ram v. State of H.P. (2020) that such inconsistencies do not undermine the prosecution's case. </w:t>
      </w:r>
    </w:p>
    <w:p w14:paraId="01DEAA9A" w14:textId="77777777"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The Court clarified that the acquittal of co-accused Abhishek Gupta was based on absence of evidence establishing his knowledge of the contraband, while appellant Saurabh Bhatnagar, being the driver and vehicle owner's son, was found in conscious possession of the heroin. </w:t>
      </w:r>
    </w:p>
    <w:p w14:paraId="564399E7" w14:textId="77777777"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The Court observed that 49 grams of heroin constituted "intermediate quantity" under Central Government notifications (5 grams being small quantity and 250 grams commercial quantity), attracting punishment up to 10 years under Section 21(b) of the NDPS Act. </w:t>
      </w:r>
    </w:p>
    <w:p w14:paraId="295C122E" w14:textId="67F2F37F"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Emphasizing the principle of proportionality in sentencing as established in Uggarsain v. State of Haryana (2023), the Court held that trial courts must adhere to the quantity-based sentencing framework prescribed by the Central Government without deviation unless exceptional circumstances exist.</w:t>
      </w:r>
    </w:p>
    <w:p w14:paraId="5567459E" w14:textId="77777777"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The Court noted that while the trial court considered heroin's severe societal impact, the Central Government and Legislature had already factored this consideration while prescribing quantity-based punishments and sentencing ranges for intermediate quantities. </w:t>
      </w:r>
    </w:p>
    <w:p w14:paraId="75E6AF9D" w14:textId="77777777" w:rsidR="00840C33" w:rsidRP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Applying proportionality principles, the Court determined that the appropriate sentence for 49 grams of heroin should be two years rigorous imprisonment and ₹20,000 fine, finding the trial court's sentence of eight years and ₹1,00,000 fine excessive and disproportionate to the quantity of offence. </w:t>
      </w:r>
    </w:p>
    <w:p w14:paraId="2DEC057C" w14:textId="0FC9F457" w:rsidR="00840C33" w:rsidRDefault="00840C33" w:rsidP="00840C33">
      <w:pPr>
        <w:numPr>
          <w:ilvl w:val="0"/>
          <w:numId w:val="8"/>
        </w:numPr>
        <w:shd w:val="clear" w:color="auto" w:fill="FFFFFF"/>
        <w:spacing w:after="0" w:line="360" w:lineRule="auto"/>
        <w:rPr>
          <w:rFonts w:ascii="Times New Roman" w:eastAsia="Times New Roman" w:hAnsi="Times New Roman" w:cs="Times New Roman"/>
          <w:color w:val="333333"/>
          <w:kern w:val="0"/>
          <w:sz w:val="24"/>
          <w:szCs w:val="24"/>
          <w:lang/>
          <w14:ligatures w14:val="none"/>
        </w:rPr>
      </w:pPr>
      <w:r w:rsidRPr="00840C33">
        <w:rPr>
          <w:rFonts w:ascii="Times New Roman" w:eastAsia="Times New Roman" w:hAnsi="Times New Roman" w:cs="Times New Roman"/>
          <w:color w:val="333333"/>
          <w:kern w:val="0"/>
          <w:sz w:val="24"/>
          <w:szCs w:val="24"/>
          <w:lang/>
          <w14:ligatures w14:val="none"/>
        </w:rPr>
        <w:t>The appeal was partly allowed with judicial intervention to ensure adherence to the prescribed NDPS Act sentencing framework, reducing the sentence from eight years to two years imprisonment and fine from ₹1,00,000 to ₹20,000.</w:t>
      </w:r>
    </w:p>
    <w:p w14:paraId="514027E2" w14:textId="4067F577" w:rsidR="00840C33" w:rsidRDefault="00840C33" w:rsidP="00840C33">
      <w:pPr>
        <w:shd w:val="clear" w:color="auto" w:fill="FFFFFF"/>
        <w:spacing w:after="0" w:line="360" w:lineRule="auto"/>
        <w:rPr>
          <w:rFonts w:ascii="Times New Roman" w:eastAsia="Times New Roman" w:hAnsi="Times New Roman" w:cs="Times New Roman"/>
          <w:b/>
          <w:bCs/>
          <w:color w:val="333333"/>
          <w:kern w:val="0"/>
          <w:sz w:val="24"/>
          <w:szCs w:val="24"/>
          <w:lang/>
          <w14:ligatures w14:val="none"/>
        </w:rPr>
      </w:pPr>
      <w:r>
        <w:rPr>
          <w:rFonts w:ascii="Times New Roman" w:eastAsia="Times New Roman" w:hAnsi="Times New Roman" w:cs="Times New Roman"/>
          <w:b/>
          <w:bCs/>
          <w:color w:val="333333"/>
          <w:kern w:val="0"/>
          <w:sz w:val="24"/>
          <w:szCs w:val="24"/>
          <w:lang/>
          <w14:ligatures w14:val="none"/>
        </w:rPr>
        <w:t>Prospects and evolving scope-</w:t>
      </w:r>
    </w:p>
    <w:p w14:paraId="1EC97E8F" w14:textId="77D6BFC6" w:rsidR="00840C33" w:rsidRDefault="00E53A04" w:rsidP="00E53A04">
      <w:pPr>
        <w:shd w:val="clear" w:color="auto" w:fill="FFFFFF"/>
        <w:spacing w:after="0" w:line="360" w:lineRule="auto"/>
        <w:jc w:val="both"/>
        <w:rPr>
          <w:rFonts w:ascii="Times New Roman" w:eastAsia="Times New Roman" w:hAnsi="Times New Roman" w:cs="Times New Roman"/>
          <w:color w:val="333333"/>
          <w:kern w:val="0"/>
          <w:sz w:val="24"/>
          <w:szCs w:val="24"/>
          <w:lang/>
          <w14:ligatures w14:val="none"/>
        </w:rPr>
      </w:pPr>
      <w:r w:rsidRPr="00E53A04">
        <w:rPr>
          <w:rFonts w:ascii="Times New Roman" w:eastAsia="Times New Roman" w:hAnsi="Times New Roman" w:cs="Times New Roman"/>
          <w:color w:val="333333"/>
          <w:kern w:val="0"/>
          <w:sz w:val="24"/>
          <w:szCs w:val="24"/>
          <w:lang/>
          <w14:ligatures w14:val="none"/>
        </w:rPr>
        <w:t>As the world steps into an era defined by algorithms, climate change, and global security concerns, the doctrine of proportionality becomes more than just a legal tool—it transforms into a moral compass. It guides courts to ask: Are we trading too much liberty for safety? Are our policies just, or merely efficient? In this age of rapid change, proportionality helps maintain the fragile balance between public interest and personal freedom. Its future lies in becoming the universal language of reasonableness, fairness, and justice—ensuring that the law grows without losing its soul.</w:t>
      </w:r>
    </w:p>
    <w:p w14:paraId="4EA67158" w14:textId="2E0E5356" w:rsidR="00E53A04" w:rsidRDefault="00E53A04" w:rsidP="00E53A04">
      <w:pPr>
        <w:shd w:val="clear" w:color="auto" w:fill="FFFFFF"/>
        <w:spacing w:after="0" w:line="360" w:lineRule="auto"/>
        <w:jc w:val="both"/>
        <w:rPr>
          <w:rFonts w:ascii="Times New Roman" w:eastAsia="Times New Roman" w:hAnsi="Times New Roman" w:cs="Times New Roman"/>
          <w:b/>
          <w:bCs/>
          <w:color w:val="333333"/>
          <w:kern w:val="0"/>
          <w:sz w:val="24"/>
          <w:szCs w:val="24"/>
          <w:lang/>
          <w14:ligatures w14:val="none"/>
        </w:rPr>
      </w:pPr>
      <w:r>
        <w:rPr>
          <w:rFonts w:ascii="Times New Roman" w:eastAsia="Times New Roman" w:hAnsi="Times New Roman" w:cs="Times New Roman"/>
          <w:b/>
          <w:bCs/>
          <w:color w:val="333333"/>
          <w:kern w:val="0"/>
          <w:sz w:val="24"/>
          <w:szCs w:val="24"/>
          <w:lang/>
          <w14:ligatures w14:val="none"/>
        </w:rPr>
        <w:t xml:space="preserve">Conclusion: The doctrine as a pillar of modern judiciary </w:t>
      </w:r>
    </w:p>
    <w:p w14:paraId="6B6314D0" w14:textId="535472A6" w:rsidR="00E53A04" w:rsidRPr="00E53A04" w:rsidRDefault="00E53A04" w:rsidP="00E53A04">
      <w:pPr>
        <w:shd w:val="clear" w:color="auto" w:fill="FFFFFF"/>
        <w:spacing w:after="0" w:line="360" w:lineRule="auto"/>
        <w:jc w:val="both"/>
        <w:rPr>
          <w:rFonts w:ascii="Times New Roman" w:eastAsia="Times New Roman" w:hAnsi="Times New Roman" w:cs="Times New Roman"/>
          <w:color w:val="333333"/>
          <w:kern w:val="0"/>
          <w:sz w:val="24"/>
          <w:szCs w:val="24"/>
          <w:lang/>
          <w14:ligatures w14:val="none"/>
        </w:rPr>
      </w:pPr>
      <w:r w:rsidRPr="00E53A04">
        <w:rPr>
          <w:rFonts w:ascii="Times New Roman" w:eastAsia="Times New Roman" w:hAnsi="Times New Roman" w:cs="Times New Roman"/>
          <w:color w:val="333333"/>
          <w:kern w:val="0"/>
          <w:sz w:val="24"/>
          <w:szCs w:val="24"/>
          <w:lang/>
          <w14:ligatures w14:val="none"/>
        </w:rPr>
        <w:t>Ultimately, proportionality is more than a legal test, it reflects justice in action. It reminds us that the power of the State must always be matched by its responsibility to act with reason, fairness, and humanity.</w:t>
      </w:r>
    </w:p>
    <w:p w14:paraId="07B1DB1C" w14:textId="77777777" w:rsidR="00E53A04" w:rsidRPr="00E53A04" w:rsidRDefault="00E53A04" w:rsidP="00E53A04">
      <w:pPr>
        <w:shd w:val="clear" w:color="auto" w:fill="FFFFFF"/>
        <w:spacing w:after="0" w:line="360" w:lineRule="auto"/>
        <w:jc w:val="both"/>
        <w:rPr>
          <w:rFonts w:ascii="Times New Roman" w:eastAsia="Times New Roman" w:hAnsi="Times New Roman" w:cs="Times New Roman"/>
          <w:b/>
          <w:bCs/>
          <w:color w:val="333333"/>
          <w:kern w:val="0"/>
          <w:sz w:val="24"/>
          <w:szCs w:val="24"/>
          <w:lang/>
          <w14:ligatures w14:val="none"/>
        </w:rPr>
      </w:pPr>
    </w:p>
    <w:p w14:paraId="40D5EAA8" w14:textId="77777777" w:rsidR="00840C33" w:rsidRDefault="00840C33" w:rsidP="00840C33">
      <w:pPr>
        <w:shd w:val="clear" w:color="auto" w:fill="FFFFFF"/>
        <w:spacing w:after="0" w:line="360" w:lineRule="auto"/>
        <w:rPr>
          <w:rFonts w:ascii="Times New Roman" w:eastAsia="Times New Roman" w:hAnsi="Times New Roman" w:cs="Times New Roman"/>
          <w:b/>
          <w:bCs/>
          <w:color w:val="333333"/>
          <w:kern w:val="0"/>
          <w:sz w:val="24"/>
          <w:szCs w:val="24"/>
          <w:lang/>
          <w14:ligatures w14:val="none"/>
        </w:rPr>
      </w:pPr>
    </w:p>
    <w:p w14:paraId="3BC13585" w14:textId="77777777" w:rsidR="00840C33" w:rsidRPr="00840C33" w:rsidRDefault="00840C33" w:rsidP="00840C33">
      <w:pPr>
        <w:shd w:val="clear" w:color="auto" w:fill="FFFFFF"/>
        <w:spacing w:after="0" w:line="360" w:lineRule="auto"/>
        <w:rPr>
          <w:rFonts w:ascii="Times New Roman" w:eastAsia="Times New Roman" w:hAnsi="Times New Roman" w:cs="Times New Roman"/>
          <w:b/>
          <w:bCs/>
          <w:color w:val="333333"/>
          <w:kern w:val="0"/>
          <w:sz w:val="24"/>
          <w:szCs w:val="24"/>
          <w:lang/>
          <w14:ligatures w14:val="none"/>
        </w:rPr>
      </w:pPr>
    </w:p>
    <w:p w14:paraId="7B9C563C" w14:textId="77777777" w:rsidR="00840C33" w:rsidRPr="00840C33" w:rsidRDefault="00840C33" w:rsidP="00840C33">
      <w:pPr>
        <w:shd w:val="clear" w:color="auto" w:fill="FFFFFF"/>
        <w:spacing w:after="0" w:line="360" w:lineRule="auto"/>
        <w:ind w:left="1080"/>
        <w:rPr>
          <w:rFonts w:ascii="Times New Roman" w:eastAsia="Times New Roman" w:hAnsi="Times New Roman" w:cs="Times New Roman"/>
          <w:color w:val="333333"/>
          <w:kern w:val="0"/>
          <w:sz w:val="24"/>
          <w:szCs w:val="24"/>
          <w:lang/>
          <w14:ligatures w14:val="none"/>
        </w:rPr>
      </w:pPr>
    </w:p>
    <w:p w14:paraId="756C667C" w14:textId="77777777" w:rsidR="00840C33" w:rsidRPr="00840C33" w:rsidRDefault="00840C33" w:rsidP="00840C33">
      <w:pPr>
        <w:pStyle w:val="ListParagraph"/>
        <w:spacing w:line="360" w:lineRule="auto"/>
        <w:ind w:left="1080"/>
        <w:rPr>
          <w:rFonts w:ascii="Times New Roman" w:hAnsi="Times New Roman" w:cs="Times New Roman"/>
          <w:b/>
          <w:bCs/>
          <w:sz w:val="24"/>
          <w:szCs w:val="24"/>
          <w:lang/>
        </w:rPr>
      </w:pPr>
    </w:p>
    <w:tbl>
      <w:tblPr>
        <w:tblW w:w="0" w:type="auto"/>
        <w:tblCellMar>
          <w:top w:w="15" w:type="dxa"/>
          <w:left w:w="15" w:type="dxa"/>
          <w:bottom w:w="15" w:type="dxa"/>
          <w:right w:w="15" w:type="dxa"/>
        </w:tblCellMar>
        <w:tblLook w:val="04A0" w:firstRow="1" w:lastRow="0" w:firstColumn="1" w:lastColumn="0" w:noHBand="0" w:noVBand="1"/>
      </w:tblPr>
      <w:tblGrid>
        <w:gridCol w:w="577"/>
        <w:gridCol w:w="8783"/>
      </w:tblGrid>
      <w:tr w:rsidR="008E09EF" w:rsidRPr="008E09EF" w14:paraId="2D2CC59E" w14:textId="77777777" w:rsidTr="008E09EF">
        <w:tc>
          <w:tcPr>
            <w:tcW w:w="660" w:type="dxa"/>
            <w:tcMar>
              <w:top w:w="0" w:type="dxa"/>
              <w:left w:w="240" w:type="dxa"/>
              <w:bottom w:w="0" w:type="dxa"/>
              <w:right w:w="240" w:type="dxa"/>
            </w:tcMar>
            <w:hideMark/>
          </w:tcPr>
          <w:p w14:paraId="7CC132DB" w14:textId="5FC6C083" w:rsidR="008E09EF" w:rsidRPr="008E09EF" w:rsidRDefault="008E09EF" w:rsidP="008E09EF">
            <w:pPr>
              <w:pStyle w:val="ListParagraph"/>
              <w:spacing w:line="360" w:lineRule="auto"/>
              <w:ind w:left="1080"/>
              <w:rPr>
                <w:rFonts w:ascii="Times New Roman" w:hAnsi="Times New Roman" w:cs="Times New Roman"/>
                <w:b/>
                <w:bCs/>
                <w:sz w:val="24"/>
                <w:szCs w:val="24"/>
                <w:lang/>
              </w:rPr>
            </w:pPr>
          </w:p>
        </w:tc>
        <w:tc>
          <w:tcPr>
            <w:tcW w:w="16800" w:type="dxa"/>
            <w:tcMar>
              <w:top w:w="0" w:type="dxa"/>
              <w:left w:w="0" w:type="dxa"/>
              <w:bottom w:w="0" w:type="dxa"/>
              <w:right w:w="0" w:type="dxa"/>
            </w:tcMar>
            <w:vAlign w:val="center"/>
            <w:hideMark/>
          </w:tcPr>
          <w:p w14:paraId="1AC90761" w14:textId="77777777" w:rsidR="008E09EF" w:rsidRPr="008E09EF" w:rsidRDefault="008E09EF" w:rsidP="008E09EF">
            <w:pPr>
              <w:pStyle w:val="ListParagraph"/>
              <w:spacing w:line="360" w:lineRule="auto"/>
              <w:ind w:left="1080"/>
              <w:rPr>
                <w:rFonts w:ascii="Times New Roman" w:hAnsi="Times New Roman" w:cs="Times New Roman"/>
                <w:b/>
                <w:bCs/>
                <w:sz w:val="24"/>
                <w:szCs w:val="24"/>
                <w:lang/>
              </w:rPr>
            </w:pPr>
          </w:p>
        </w:tc>
      </w:tr>
    </w:tbl>
    <w:p w14:paraId="76F72053" w14:textId="77777777" w:rsidR="000D4E41" w:rsidRPr="000D4E41" w:rsidRDefault="000D4E41" w:rsidP="000D4E41">
      <w:pPr>
        <w:pStyle w:val="ListParagraph"/>
        <w:spacing w:line="360" w:lineRule="auto"/>
        <w:ind w:left="1080"/>
        <w:rPr>
          <w:rFonts w:ascii="Times New Roman" w:hAnsi="Times New Roman" w:cs="Times New Roman"/>
          <w:b/>
          <w:bCs/>
          <w:sz w:val="24"/>
          <w:szCs w:val="24"/>
          <w:lang/>
        </w:rPr>
      </w:pPr>
    </w:p>
    <w:p w14:paraId="31AE2025" w14:textId="77777777" w:rsidR="000D4E41" w:rsidRPr="000D4E41" w:rsidRDefault="000D4E41" w:rsidP="008A6A53">
      <w:pPr>
        <w:spacing w:line="360" w:lineRule="auto"/>
        <w:jc w:val="both"/>
        <w:rPr>
          <w:rFonts w:ascii="Times New Roman" w:hAnsi="Times New Roman" w:cs="Times New Roman"/>
          <w:sz w:val="24"/>
          <w:szCs w:val="24"/>
        </w:rPr>
      </w:pPr>
    </w:p>
    <w:p w14:paraId="2229BDCC" w14:textId="77777777" w:rsidR="000D4E41" w:rsidRPr="008A6A53" w:rsidRDefault="000D4E41" w:rsidP="008A6A53">
      <w:pPr>
        <w:spacing w:line="360" w:lineRule="auto"/>
        <w:jc w:val="both"/>
        <w:rPr>
          <w:rFonts w:ascii="Times New Roman" w:hAnsi="Times New Roman" w:cs="Times New Roman"/>
          <w:sz w:val="24"/>
          <w:szCs w:val="24"/>
        </w:rPr>
      </w:pPr>
    </w:p>
    <w:p w14:paraId="33B7C870" w14:textId="77777777" w:rsidR="008A6A53" w:rsidRPr="008A6A53" w:rsidRDefault="008A6A53" w:rsidP="008A6A53">
      <w:pPr>
        <w:spacing w:line="360" w:lineRule="auto"/>
        <w:rPr>
          <w:rFonts w:ascii="Times New Roman" w:hAnsi="Times New Roman" w:cs="Times New Roman"/>
          <w:b/>
          <w:bCs/>
          <w:sz w:val="24"/>
          <w:szCs w:val="24"/>
          <w:lang/>
        </w:rPr>
      </w:pPr>
    </w:p>
    <w:p w14:paraId="3A1DE035" w14:textId="77777777" w:rsidR="008A6A53" w:rsidRPr="008A6A53" w:rsidRDefault="008A6A53" w:rsidP="00493302">
      <w:pPr>
        <w:spacing w:line="360" w:lineRule="auto"/>
        <w:rPr>
          <w:rFonts w:ascii="Times New Roman" w:hAnsi="Times New Roman" w:cs="Times New Roman"/>
          <w:sz w:val="24"/>
          <w:szCs w:val="24"/>
        </w:rPr>
      </w:pPr>
    </w:p>
    <w:p w14:paraId="74B1682E" w14:textId="77777777" w:rsidR="001D67B3" w:rsidRPr="001D67B3" w:rsidRDefault="001D67B3" w:rsidP="00493302">
      <w:pPr>
        <w:spacing w:line="360" w:lineRule="auto"/>
        <w:rPr>
          <w:rFonts w:ascii="Times New Roman" w:hAnsi="Times New Roman" w:cs="Times New Roman"/>
          <w:sz w:val="24"/>
          <w:szCs w:val="24"/>
        </w:rPr>
      </w:pPr>
    </w:p>
    <w:p w14:paraId="16501FC9" w14:textId="77777777" w:rsidR="001D67B3" w:rsidRPr="001D67B3" w:rsidRDefault="001D67B3" w:rsidP="00493302">
      <w:pPr>
        <w:spacing w:line="360" w:lineRule="auto"/>
        <w:rPr>
          <w:rFonts w:ascii="Times New Roman" w:hAnsi="Times New Roman" w:cs="Times New Roman"/>
          <w:b/>
          <w:bCs/>
          <w:sz w:val="24"/>
          <w:szCs w:val="24"/>
        </w:rPr>
      </w:pPr>
    </w:p>
    <w:p w14:paraId="187BE94F" w14:textId="77777777" w:rsidR="001D67B3" w:rsidRDefault="001D67B3" w:rsidP="00493302">
      <w:pPr>
        <w:spacing w:line="360" w:lineRule="auto"/>
        <w:rPr>
          <w:rFonts w:ascii="Times New Roman" w:hAnsi="Times New Roman" w:cs="Times New Roman"/>
          <w:sz w:val="24"/>
          <w:szCs w:val="24"/>
        </w:rPr>
      </w:pPr>
    </w:p>
    <w:p w14:paraId="0F0621E9" w14:textId="77777777" w:rsidR="001D67B3" w:rsidRPr="00493302" w:rsidRDefault="001D67B3" w:rsidP="00493302">
      <w:pPr>
        <w:spacing w:line="360" w:lineRule="auto"/>
        <w:rPr>
          <w:rFonts w:ascii="Times New Roman" w:hAnsi="Times New Roman" w:cs="Times New Roman"/>
          <w:sz w:val="24"/>
          <w:szCs w:val="24"/>
        </w:rPr>
      </w:pPr>
    </w:p>
    <w:p w14:paraId="25D6CE27" w14:textId="77777777" w:rsidR="00493302" w:rsidRDefault="00493302" w:rsidP="00493302">
      <w:pPr>
        <w:pStyle w:val="ListParagraph"/>
        <w:spacing w:line="360" w:lineRule="auto"/>
        <w:ind w:left="1080"/>
        <w:rPr>
          <w:rFonts w:ascii="Times New Roman" w:hAnsi="Times New Roman" w:cs="Times New Roman"/>
          <w:sz w:val="24"/>
          <w:szCs w:val="24"/>
        </w:rPr>
      </w:pPr>
    </w:p>
    <w:p w14:paraId="104A9C88" w14:textId="77777777" w:rsidR="00493302" w:rsidRPr="00493302" w:rsidRDefault="00493302" w:rsidP="00493302">
      <w:pPr>
        <w:pStyle w:val="ListParagraph"/>
        <w:spacing w:line="360" w:lineRule="auto"/>
        <w:ind w:left="1080"/>
        <w:rPr>
          <w:rFonts w:ascii="Times New Roman" w:hAnsi="Times New Roman" w:cs="Times New Roman"/>
          <w:sz w:val="24"/>
          <w:szCs w:val="24"/>
        </w:rPr>
      </w:pPr>
    </w:p>
    <w:p w14:paraId="631F8B81" w14:textId="77777777" w:rsidR="00F42DC8" w:rsidRPr="00F42DC8" w:rsidRDefault="00F42DC8" w:rsidP="00613503">
      <w:pPr>
        <w:pStyle w:val="ListParagraph"/>
        <w:spacing w:line="360" w:lineRule="auto"/>
        <w:rPr>
          <w:rFonts w:ascii="Times New Roman" w:hAnsi="Times New Roman" w:cs="Times New Roman"/>
          <w:sz w:val="24"/>
          <w:szCs w:val="24"/>
        </w:rPr>
      </w:pPr>
    </w:p>
    <w:p w14:paraId="58871030" w14:textId="30260CD2" w:rsidR="00267A32" w:rsidRDefault="00103927" w:rsidP="009C3F6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07E768F7" w14:textId="77777777" w:rsidR="00103927" w:rsidRDefault="00103927" w:rsidP="009C3F61">
      <w:pPr>
        <w:spacing w:line="360" w:lineRule="auto"/>
        <w:rPr>
          <w:rFonts w:ascii="Times New Roman" w:hAnsi="Times New Roman" w:cs="Times New Roman"/>
          <w:b/>
          <w:bCs/>
          <w:sz w:val="24"/>
          <w:szCs w:val="24"/>
        </w:rPr>
      </w:pPr>
    </w:p>
    <w:p w14:paraId="033F74FD" w14:textId="77777777" w:rsidR="00103927" w:rsidRPr="00103927" w:rsidRDefault="00103927">
      <w:pPr>
        <w:rPr>
          <w:rFonts w:ascii="Times New Roman" w:hAnsi="Times New Roman" w:cs="Times New Roman"/>
          <w:b/>
          <w:bCs/>
          <w:sz w:val="24"/>
          <w:szCs w:val="24"/>
        </w:rPr>
      </w:pPr>
    </w:p>
    <w:sectPr w:rsidR="00103927" w:rsidRPr="001039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4532"/>
    <w:multiLevelType w:val="hybridMultilevel"/>
    <w:tmpl w:val="DAC413A0"/>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04766240"/>
    <w:multiLevelType w:val="hybridMultilevel"/>
    <w:tmpl w:val="2B26CB44"/>
    <w:lvl w:ilvl="0" w:tplc="20000017">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 w15:restartNumberingAfterBreak="0">
    <w:nsid w:val="11201AE4"/>
    <w:multiLevelType w:val="multilevel"/>
    <w:tmpl w:val="99223B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7A176D"/>
    <w:multiLevelType w:val="hybridMultilevel"/>
    <w:tmpl w:val="AD7AC318"/>
    <w:lvl w:ilvl="0" w:tplc="2000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36715E2C"/>
    <w:multiLevelType w:val="multilevel"/>
    <w:tmpl w:val="0E10F0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81597A"/>
    <w:multiLevelType w:val="multilevel"/>
    <w:tmpl w:val="BBC4F5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A95FE5"/>
    <w:multiLevelType w:val="hybridMultilevel"/>
    <w:tmpl w:val="8A16DF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719D76B0"/>
    <w:multiLevelType w:val="hybridMultilevel"/>
    <w:tmpl w:val="1406A65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569966844">
    <w:abstractNumId w:val="6"/>
  </w:num>
  <w:num w:numId="2" w16cid:durableId="1687322018">
    <w:abstractNumId w:val="7"/>
  </w:num>
  <w:num w:numId="3" w16cid:durableId="1475491986">
    <w:abstractNumId w:val="0"/>
  </w:num>
  <w:num w:numId="4" w16cid:durableId="362488015">
    <w:abstractNumId w:val="5"/>
  </w:num>
  <w:num w:numId="5" w16cid:durableId="468207154">
    <w:abstractNumId w:val="2"/>
  </w:num>
  <w:num w:numId="6" w16cid:durableId="156698367">
    <w:abstractNumId w:val="1"/>
  </w:num>
  <w:num w:numId="7" w16cid:durableId="2146121801">
    <w:abstractNumId w:val="4"/>
  </w:num>
  <w:num w:numId="8" w16cid:durableId="14081864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927"/>
    <w:rsid w:val="000724FC"/>
    <w:rsid w:val="000802A0"/>
    <w:rsid w:val="000830E8"/>
    <w:rsid w:val="00095165"/>
    <w:rsid w:val="000D4E41"/>
    <w:rsid w:val="00103927"/>
    <w:rsid w:val="001D67B3"/>
    <w:rsid w:val="00267A32"/>
    <w:rsid w:val="00362F82"/>
    <w:rsid w:val="00465DA4"/>
    <w:rsid w:val="00472E7F"/>
    <w:rsid w:val="00493302"/>
    <w:rsid w:val="005B0A19"/>
    <w:rsid w:val="005D78E8"/>
    <w:rsid w:val="00613503"/>
    <w:rsid w:val="006422E8"/>
    <w:rsid w:val="00684A84"/>
    <w:rsid w:val="00716C07"/>
    <w:rsid w:val="00725E24"/>
    <w:rsid w:val="007A77BA"/>
    <w:rsid w:val="008037CC"/>
    <w:rsid w:val="00840C33"/>
    <w:rsid w:val="00882A8A"/>
    <w:rsid w:val="008A6A53"/>
    <w:rsid w:val="008E09EF"/>
    <w:rsid w:val="009737D0"/>
    <w:rsid w:val="009C3F61"/>
    <w:rsid w:val="00A20B37"/>
    <w:rsid w:val="00D97089"/>
    <w:rsid w:val="00DA420A"/>
    <w:rsid w:val="00E46A2C"/>
    <w:rsid w:val="00E53A04"/>
    <w:rsid w:val="00F00F5F"/>
    <w:rsid w:val="00F42DC8"/>
    <w:rsid w:val="00FD744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B3AFD"/>
  <w15:chartTrackingRefBased/>
  <w15:docId w15:val="{3ED5D5E7-9307-499D-B7A2-6AB6C0E09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paragraph" w:styleId="Heading1">
    <w:name w:val="heading 1"/>
    <w:basedOn w:val="Normal"/>
    <w:next w:val="Normal"/>
    <w:link w:val="Heading1Char"/>
    <w:uiPriority w:val="9"/>
    <w:qFormat/>
    <w:rsid w:val="00103927"/>
    <w:pPr>
      <w:keepNext/>
      <w:keepLines/>
      <w:spacing w:before="360" w:after="80"/>
      <w:outlineLvl w:val="0"/>
    </w:pPr>
    <w:rPr>
      <w:rFonts w:asciiTheme="majorHAnsi" w:eastAsiaTheme="majorEastAsia" w:hAnsiTheme="majorHAnsi" w:cstheme="majorBidi"/>
      <w:color w:val="365F91" w:themeColor="accent1" w:themeShade="BF"/>
      <w:sz w:val="40"/>
      <w:szCs w:val="36"/>
    </w:rPr>
  </w:style>
  <w:style w:type="paragraph" w:styleId="Heading2">
    <w:name w:val="heading 2"/>
    <w:basedOn w:val="Normal"/>
    <w:next w:val="Normal"/>
    <w:link w:val="Heading2Char"/>
    <w:uiPriority w:val="9"/>
    <w:semiHidden/>
    <w:unhideWhenUsed/>
    <w:qFormat/>
    <w:rsid w:val="00103927"/>
    <w:pPr>
      <w:keepNext/>
      <w:keepLines/>
      <w:spacing w:before="160" w:after="80"/>
      <w:outlineLvl w:val="1"/>
    </w:pPr>
    <w:rPr>
      <w:rFonts w:asciiTheme="majorHAnsi" w:eastAsiaTheme="majorEastAsia" w:hAnsiTheme="majorHAnsi" w:cstheme="majorBidi"/>
      <w:color w:val="365F91" w:themeColor="accent1" w:themeShade="BF"/>
      <w:sz w:val="32"/>
      <w:szCs w:val="29"/>
    </w:rPr>
  </w:style>
  <w:style w:type="paragraph" w:styleId="Heading3">
    <w:name w:val="heading 3"/>
    <w:basedOn w:val="Normal"/>
    <w:next w:val="Normal"/>
    <w:link w:val="Heading3Char"/>
    <w:uiPriority w:val="9"/>
    <w:semiHidden/>
    <w:unhideWhenUsed/>
    <w:qFormat/>
    <w:rsid w:val="00103927"/>
    <w:pPr>
      <w:keepNext/>
      <w:keepLines/>
      <w:spacing w:before="160" w:after="80"/>
      <w:outlineLvl w:val="2"/>
    </w:pPr>
    <w:rPr>
      <w:rFonts w:eastAsiaTheme="majorEastAsia" w:cstheme="majorBidi"/>
      <w:color w:val="365F91" w:themeColor="accent1" w:themeShade="BF"/>
      <w:sz w:val="28"/>
      <w:szCs w:val="25"/>
    </w:rPr>
  </w:style>
  <w:style w:type="paragraph" w:styleId="Heading4">
    <w:name w:val="heading 4"/>
    <w:basedOn w:val="Normal"/>
    <w:next w:val="Normal"/>
    <w:link w:val="Heading4Char"/>
    <w:uiPriority w:val="9"/>
    <w:semiHidden/>
    <w:unhideWhenUsed/>
    <w:qFormat/>
    <w:rsid w:val="00103927"/>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103927"/>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1039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39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39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39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927"/>
    <w:rPr>
      <w:rFonts w:asciiTheme="majorHAnsi" w:eastAsiaTheme="majorEastAsia" w:hAnsiTheme="majorHAnsi" w:cstheme="majorBidi"/>
      <w:color w:val="365F91" w:themeColor="accent1" w:themeShade="BF"/>
      <w:sz w:val="40"/>
      <w:szCs w:val="36"/>
    </w:rPr>
  </w:style>
  <w:style w:type="character" w:customStyle="1" w:styleId="Heading2Char">
    <w:name w:val="Heading 2 Char"/>
    <w:basedOn w:val="DefaultParagraphFont"/>
    <w:link w:val="Heading2"/>
    <w:uiPriority w:val="9"/>
    <w:semiHidden/>
    <w:rsid w:val="00103927"/>
    <w:rPr>
      <w:rFonts w:asciiTheme="majorHAnsi" w:eastAsiaTheme="majorEastAsia" w:hAnsiTheme="majorHAnsi" w:cstheme="majorBidi"/>
      <w:color w:val="365F91" w:themeColor="accent1" w:themeShade="BF"/>
      <w:sz w:val="32"/>
      <w:szCs w:val="29"/>
    </w:rPr>
  </w:style>
  <w:style w:type="character" w:customStyle="1" w:styleId="Heading3Char">
    <w:name w:val="Heading 3 Char"/>
    <w:basedOn w:val="DefaultParagraphFont"/>
    <w:link w:val="Heading3"/>
    <w:uiPriority w:val="9"/>
    <w:semiHidden/>
    <w:rsid w:val="00103927"/>
    <w:rPr>
      <w:rFonts w:eastAsiaTheme="majorEastAsia" w:cstheme="majorBidi"/>
      <w:color w:val="365F91" w:themeColor="accent1" w:themeShade="BF"/>
      <w:sz w:val="28"/>
      <w:szCs w:val="25"/>
    </w:rPr>
  </w:style>
  <w:style w:type="character" w:customStyle="1" w:styleId="Heading4Char">
    <w:name w:val="Heading 4 Char"/>
    <w:basedOn w:val="DefaultParagraphFont"/>
    <w:link w:val="Heading4"/>
    <w:uiPriority w:val="9"/>
    <w:semiHidden/>
    <w:rsid w:val="00103927"/>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103927"/>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1039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39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39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3927"/>
    <w:rPr>
      <w:rFonts w:eastAsiaTheme="majorEastAsia" w:cstheme="majorBidi"/>
      <w:color w:val="272727" w:themeColor="text1" w:themeTint="D8"/>
    </w:rPr>
  </w:style>
  <w:style w:type="paragraph" w:styleId="Title">
    <w:name w:val="Title"/>
    <w:basedOn w:val="Normal"/>
    <w:next w:val="Normal"/>
    <w:link w:val="TitleChar"/>
    <w:uiPriority w:val="10"/>
    <w:qFormat/>
    <w:rsid w:val="00103927"/>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103927"/>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103927"/>
    <w:pPr>
      <w:numPr>
        <w:ilvl w:val="1"/>
      </w:numPr>
      <w:spacing w:after="160"/>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103927"/>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10392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03927"/>
    <w:rPr>
      <w:rFonts w:cs="Mangal"/>
      <w:i/>
      <w:iCs/>
      <w:color w:val="404040" w:themeColor="text1" w:themeTint="BF"/>
    </w:rPr>
  </w:style>
  <w:style w:type="paragraph" w:styleId="ListParagraph">
    <w:name w:val="List Paragraph"/>
    <w:basedOn w:val="Normal"/>
    <w:uiPriority w:val="34"/>
    <w:qFormat/>
    <w:rsid w:val="00103927"/>
    <w:pPr>
      <w:ind w:left="720"/>
      <w:contextualSpacing/>
    </w:pPr>
  </w:style>
  <w:style w:type="character" w:styleId="IntenseEmphasis">
    <w:name w:val="Intense Emphasis"/>
    <w:basedOn w:val="DefaultParagraphFont"/>
    <w:uiPriority w:val="21"/>
    <w:qFormat/>
    <w:rsid w:val="00103927"/>
    <w:rPr>
      <w:i/>
      <w:iCs/>
      <w:color w:val="365F91" w:themeColor="accent1" w:themeShade="BF"/>
    </w:rPr>
  </w:style>
  <w:style w:type="paragraph" w:styleId="IntenseQuote">
    <w:name w:val="Intense Quote"/>
    <w:basedOn w:val="Normal"/>
    <w:next w:val="Normal"/>
    <w:link w:val="IntenseQuoteChar"/>
    <w:uiPriority w:val="30"/>
    <w:qFormat/>
    <w:rsid w:val="0010392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03927"/>
    <w:rPr>
      <w:rFonts w:cs="Mangal"/>
      <w:i/>
      <w:iCs/>
      <w:color w:val="365F91" w:themeColor="accent1" w:themeShade="BF"/>
    </w:rPr>
  </w:style>
  <w:style w:type="character" w:styleId="IntenseReference">
    <w:name w:val="Intense Reference"/>
    <w:basedOn w:val="DefaultParagraphFont"/>
    <w:uiPriority w:val="32"/>
    <w:qFormat/>
    <w:rsid w:val="00103927"/>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871506">
      <w:bodyDiv w:val="1"/>
      <w:marLeft w:val="0"/>
      <w:marRight w:val="0"/>
      <w:marTop w:val="0"/>
      <w:marBottom w:val="0"/>
      <w:divBdr>
        <w:top w:val="none" w:sz="0" w:space="0" w:color="auto"/>
        <w:left w:val="none" w:sz="0" w:space="0" w:color="auto"/>
        <w:bottom w:val="none" w:sz="0" w:space="0" w:color="auto"/>
        <w:right w:val="none" w:sz="0" w:space="0" w:color="auto"/>
      </w:divBdr>
    </w:div>
    <w:div w:id="346248730">
      <w:bodyDiv w:val="1"/>
      <w:marLeft w:val="0"/>
      <w:marRight w:val="0"/>
      <w:marTop w:val="0"/>
      <w:marBottom w:val="0"/>
      <w:divBdr>
        <w:top w:val="none" w:sz="0" w:space="0" w:color="auto"/>
        <w:left w:val="none" w:sz="0" w:space="0" w:color="auto"/>
        <w:bottom w:val="none" w:sz="0" w:space="0" w:color="auto"/>
        <w:right w:val="none" w:sz="0" w:space="0" w:color="auto"/>
      </w:divBdr>
      <w:divsChild>
        <w:div w:id="748306824">
          <w:marLeft w:val="0"/>
          <w:marRight w:val="0"/>
          <w:marTop w:val="0"/>
          <w:marBottom w:val="0"/>
          <w:divBdr>
            <w:top w:val="none" w:sz="0" w:space="0" w:color="auto"/>
            <w:left w:val="none" w:sz="0" w:space="0" w:color="auto"/>
            <w:bottom w:val="none" w:sz="0" w:space="0" w:color="auto"/>
            <w:right w:val="none" w:sz="0" w:space="0" w:color="auto"/>
          </w:divBdr>
        </w:div>
        <w:div w:id="216673017">
          <w:marLeft w:val="0"/>
          <w:marRight w:val="0"/>
          <w:marTop w:val="0"/>
          <w:marBottom w:val="0"/>
          <w:divBdr>
            <w:top w:val="none" w:sz="0" w:space="0" w:color="auto"/>
            <w:left w:val="none" w:sz="0" w:space="0" w:color="auto"/>
            <w:bottom w:val="none" w:sz="0" w:space="0" w:color="auto"/>
            <w:right w:val="none" w:sz="0" w:space="0" w:color="auto"/>
          </w:divBdr>
        </w:div>
        <w:div w:id="659234306">
          <w:marLeft w:val="0"/>
          <w:marRight w:val="0"/>
          <w:marTop w:val="0"/>
          <w:marBottom w:val="0"/>
          <w:divBdr>
            <w:top w:val="none" w:sz="0" w:space="0" w:color="auto"/>
            <w:left w:val="none" w:sz="0" w:space="0" w:color="auto"/>
            <w:bottom w:val="none" w:sz="0" w:space="0" w:color="auto"/>
            <w:right w:val="none" w:sz="0" w:space="0" w:color="auto"/>
          </w:divBdr>
        </w:div>
        <w:div w:id="1204903756">
          <w:marLeft w:val="0"/>
          <w:marRight w:val="0"/>
          <w:marTop w:val="0"/>
          <w:marBottom w:val="0"/>
          <w:divBdr>
            <w:top w:val="none" w:sz="0" w:space="0" w:color="auto"/>
            <w:left w:val="none" w:sz="0" w:space="0" w:color="auto"/>
            <w:bottom w:val="none" w:sz="0" w:space="0" w:color="auto"/>
            <w:right w:val="none" w:sz="0" w:space="0" w:color="auto"/>
          </w:divBdr>
        </w:div>
        <w:div w:id="2070836964">
          <w:marLeft w:val="0"/>
          <w:marRight w:val="0"/>
          <w:marTop w:val="0"/>
          <w:marBottom w:val="0"/>
          <w:divBdr>
            <w:top w:val="none" w:sz="0" w:space="0" w:color="auto"/>
            <w:left w:val="none" w:sz="0" w:space="0" w:color="auto"/>
            <w:bottom w:val="none" w:sz="0" w:space="0" w:color="auto"/>
            <w:right w:val="none" w:sz="0" w:space="0" w:color="auto"/>
          </w:divBdr>
        </w:div>
      </w:divsChild>
    </w:div>
    <w:div w:id="354579423">
      <w:bodyDiv w:val="1"/>
      <w:marLeft w:val="0"/>
      <w:marRight w:val="0"/>
      <w:marTop w:val="0"/>
      <w:marBottom w:val="0"/>
      <w:divBdr>
        <w:top w:val="none" w:sz="0" w:space="0" w:color="auto"/>
        <w:left w:val="none" w:sz="0" w:space="0" w:color="auto"/>
        <w:bottom w:val="none" w:sz="0" w:space="0" w:color="auto"/>
        <w:right w:val="none" w:sz="0" w:space="0" w:color="auto"/>
      </w:divBdr>
      <w:divsChild>
        <w:div w:id="190339456">
          <w:marLeft w:val="0"/>
          <w:marRight w:val="0"/>
          <w:marTop w:val="0"/>
          <w:marBottom w:val="0"/>
          <w:divBdr>
            <w:top w:val="none" w:sz="0" w:space="0" w:color="auto"/>
            <w:left w:val="none" w:sz="0" w:space="0" w:color="auto"/>
            <w:bottom w:val="none" w:sz="0" w:space="0" w:color="auto"/>
            <w:right w:val="none" w:sz="0" w:space="0" w:color="auto"/>
          </w:divBdr>
        </w:div>
        <w:div w:id="668022703">
          <w:marLeft w:val="0"/>
          <w:marRight w:val="0"/>
          <w:marTop w:val="0"/>
          <w:marBottom w:val="0"/>
          <w:divBdr>
            <w:top w:val="none" w:sz="0" w:space="0" w:color="auto"/>
            <w:left w:val="none" w:sz="0" w:space="0" w:color="auto"/>
            <w:bottom w:val="none" w:sz="0" w:space="0" w:color="auto"/>
            <w:right w:val="none" w:sz="0" w:space="0" w:color="auto"/>
          </w:divBdr>
        </w:div>
        <w:div w:id="1014382337">
          <w:marLeft w:val="0"/>
          <w:marRight w:val="0"/>
          <w:marTop w:val="0"/>
          <w:marBottom w:val="0"/>
          <w:divBdr>
            <w:top w:val="none" w:sz="0" w:space="0" w:color="auto"/>
            <w:left w:val="none" w:sz="0" w:space="0" w:color="auto"/>
            <w:bottom w:val="none" w:sz="0" w:space="0" w:color="auto"/>
            <w:right w:val="none" w:sz="0" w:space="0" w:color="auto"/>
          </w:divBdr>
        </w:div>
        <w:div w:id="367950215">
          <w:marLeft w:val="0"/>
          <w:marRight w:val="0"/>
          <w:marTop w:val="0"/>
          <w:marBottom w:val="0"/>
          <w:divBdr>
            <w:top w:val="none" w:sz="0" w:space="0" w:color="auto"/>
            <w:left w:val="none" w:sz="0" w:space="0" w:color="auto"/>
            <w:bottom w:val="none" w:sz="0" w:space="0" w:color="auto"/>
            <w:right w:val="none" w:sz="0" w:space="0" w:color="auto"/>
          </w:divBdr>
        </w:div>
        <w:div w:id="1660694022">
          <w:marLeft w:val="0"/>
          <w:marRight w:val="0"/>
          <w:marTop w:val="0"/>
          <w:marBottom w:val="0"/>
          <w:divBdr>
            <w:top w:val="none" w:sz="0" w:space="0" w:color="auto"/>
            <w:left w:val="none" w:sz="0" w:space="0" w:color="auto"/>
            <w:bottom w:val="none" w:sz="0" w:space="0" w:color="auto"/>
            <w:right w:val="none" w:sz="0" w:space="0" w:color="auto"/>
          </w:divBdr>
        </w:div>
        <w:div w:id="699673261">
          <w:marLeft w:val="0"/>
          <w:marRight w:val="0"/>
          <w:marTop w:val="0"/>
          <w:marBottom w:val="0"/>
          <w:divBdr>
            <w:top w:val="none" w:sz="0" w:space="0" w:color="auto"/>
            <w:left w:val="none" w:sz="0" w:space="0" w:color="auto"/>
            <w:bottom w:val="none" w:sz="0" w:space="0" w:color="auto"/>
            <w:right w:val="none" w:sz="0" w:space="0" w:color="auto"/>
          </w:divBdr>
        </w:div>
        <w:div w:id="1011030260">
          <w:marLeft w:val="0"/>
          <w:marRight w:val="0"/>
          <w:marTop w:val="0"/>
          <w:marBottom w:val="0"/>
          <w:divBdr>
            <w:top w:val="none" w:sz="0" w:space="0" w:color="auto"/>
            <w:left w:val="none" w:sz="0" w:space="0" w:color="auto"/>
            <w:bottom w:val="none" w:sz="0" w:space="0" w:color="auto"/>
            <w:right w:val="none" w:sz="0" w:space="0" w:color="auto"/>
          </w:divBdr>
        </w:div>
        <w:div w:id="1773895170">
          <w:marLeft w:val="0"/>
          <w:marRight w:val="0"/>
          <w:marTop w:val="0"/>
          <w:marBottom w:val="0"/>
          <w:divBdr>
            <w:top w:val="none" w:sz="0" w:space="0" w:color="auto"/>
            <w:left w:val="none" w:sz="0" w:space="0" w:color="auto"/>
            <w:bottom w:val="none" w:sz="0" w:space="0" w:color="auto"/>
            <w:right w:val="none" w:sz="0" w:space="0" w:color="auto"/>
          </w:divBdr>
        </w:div>
        <w:div w:id="979455026">
          <w:marLeft w:val="0"/>
          <w:marRight w:val="0"/>
          <w:marTop w:val="0"/>
          <w:marBottom w:val="0"/>
          <w:divBdr>
            <w:top w:val="none" w:sz="0" w:space="0" w:color="auto"/>
            <w:left w:val="none" w:sz="0" w:space="0" w:color="auto"/>
            <w:bottom w:val="none" w:sz="0" w:space="0" w:color="auto"/>
            <w:right w:val="none" w:sz="0" w:space="0" w:color="auto"/>
          </w:divBdr>
        </w:div>
        <w:div w:id="855074997">
          <w:marLeft w:val="0"/>
          <w:marRight w:val="0"/>
          <w:marTop w:val="0"/>
          <w:marBottom w:val="0"/>
          <w:divBdr>
            <w:top w:val="none" w:sz="0" w:space="0" w:color="auto"/>
            <w:left w:val="none" w:sz="0" w:space="0" w:color="auto"/>
            <w:bottom w:val="none" w:sz="0" w:space="0" w:color="auto"/>
            <w:right w:val="none" w:sz="0" w:space="0" w:color="auto"/>
          </w:divBdr>
        </w:div>
        <w:div w:id="352610320">
          <w:marLeft w:val="0"/>
          <w:marRight w:val="0"/>
          <w:marTop w:val="0"/>
          <w:marBottom w:val="0"/>
          <w:divBdr>
            <w:top w:val="none" w:sz="0" w:space="0" w:color="auto"/>
            <w:left w:val="none" w:sz="0" w:space="0" w:color="auto"/>
            <w:bottom w:val="none" w:sz="0" w:space="0" w:color="auto"/>
            <w:right w:val="none" w:sz="0" w:space="0" w:color="auto"/>
          </w:divBdr>
        </w:div>
        <w:div w:id="1262763177">
          <w:marLeft w:val="0"/>
          <w:marRight w:val="0"/>
          <w:marTop w:val="0"/>
          <w:marBottom w:val="0"/>
          <w:divBdr>
            <w:top w:val="none" w:sz="0" w:space="0" w:color="auto"/>
            <w:left w:val="none" w:sz="0" w:space="0" w:color="auto"/>
            <w:bottom w:val="none" w:sz="0" w:space="0" w:color="auto"/>
            <w:right w:val="none" w:sz="0" w:space="0" w:color="auto"/>
          </w:divBdr>
        </w:div>
        <w:div w:id="662243979">
          <w:marLeft w:val="0"/>
          <w:marRight w:val="0"/>
          <w:marTop w:val="0"/>
          <w:marBottom w:val="0"/>
          <w:divBdr>
            <w:top w:val="none" w:sz="0" w:space="0" w:color="auto"/>
            <w:left w:val="none" w:sz="0" w:space="0" w:color="auto"/>
            <w:bottom w:val="none" w:sz="0" w:space="0" w:color="auto"/>
            <w:right w:val="none" w:sz="0" w:space="0" w:color="auto"/>
          </w:divBdr>
        </w:div>
        <w:div w:id="32730484">
          <w:marLeft w:val="0"/>
          <w:marRight w:val="0"/>
          <w:marTop w:val="0"/>
          <w:marBottom w:val="0"/>
          <w:divBdr>
            <w:top w:val="none" w:sz="0" w:space="0" w:color="auto"/>
            <w:left w:val="none" w:sz="0" w:space="0" w:color="auto"/>
            <w:bottom w:val="none" w:sz="0" w:space="0" w:color="auto"/>
            <w:right w:val="none" w:sz="0" w:space="0" w:color="auto"/>
          </w:divBdr>
        </w:div>
        <w:div w:id="460196886">
          <w:marLeft w:val="0"/>
          <w:marRight w:val="0"/>
          <w:marTop w:val="0"/>
          <w:marBottom w:val="0"/>
          <w:divBdr>
            <w:top w:val="none" w:sz="0" w:space="0" w:color="auto"/>
            <w:left w:val="none" w:sz="0" w:space="0" w:color="auto"/>
            <w:bottom w:val="none" w:sz="0" w:space="0" w:color="auto"/>
            <w:right w:val="none" w:sz="0" w:space="0" w:color="auto"/>
          </w:divBdr>
        </w:div>
        <w:div w:id="677735797">
          <w:marLeft w:val="0"/>
          <w:marRight w:val="0"/>
          <w:marTop w:val="0"/>
          <w:marBottom w:val="0"/>
          <w:divBdr>
            <w:top w:val="none" w:sz="0" w:space="0" w:color="auto"/>
            <w:left w:val="none" w:sz="0" w:space="0" w:color="auto"/>
            <w:bottom w:val="none" w:sz="0" w:space="0" w:color="auto"/>
            <w:right w:val="none" w:sz="0" w:space="0" w:color="auto"/>
          </w:divBdr>
        </w:div>
        <w:div w:id="1460612638">
          <w:marLeft w:val="0"/>
          <w:marRight w:val="0"/>
          <w:marTop w:val="0"/>
          <w:marBottom w:val="0"/>
          <w:divBdr>
            <w:top w:val="none" w:sz="0" w:space="0" w:color="auto"/>
            <w:left w:val="none" w:sz="0" w:space="0" w:color="auto"/>
            <w:bottom w:val="none" w:sz="0" w:space="0" w:color="auto"/>
            <w:right w:val="none" w:sz="0" w:space="0" w:color="auto"/>
          </w:divBdr>
        </w:div>
        <w:div w:id="1381438029">
          <w:marLeft w:val="0"/>
          <w:marRight w:val="0"/>
          <w:marTop w:val="0"/>
          <w:marBottom w:val="0"/>
          <w:divBdr>
            <w:top w:val="none" w:sz="0" w:space="0" w:color="auto"/>
            <w:left w:val="none" w:sz="0" w:space="0" w:color="auto"/>
            <w:bottom w:val="none" w:sz="0" w:space="0" w:color="auto"/>
            <w:right w:val="none" w:sz="0" w:space="0" w:color="auto"/>
          </w:divBdr>
        </w:div>
      </w:divsChild>
    </w:div>
    <w:div w:id="491722345">
      <w:bodyDiv w:val="1"/>
      <w:marLeft w:val="0"/>
      <w:marRight w:val="0"/>
      <w:marTop w:val="0"/>
      <w:marBottom w:val="0"/>
      <w:divBdr>
        <w:top w:val="none" w:sz="0" w:space="0" w:color="auto"/>
        <w:left w:val="none" w:sz="0" w:space="0" w:color="auto"/>
        <w:bottom w:val="none" w:sz="0" w:space="0" w:color="auto"/>
        <w:right w:val="none" w:sz="0" w:space="0" w:color="auto"/>
      </w:divBdr>
      <w:divsChild>
        <w:div w:id="747844436">
          <w:marLeft w:val="0"/>
          <w:marRight w:val="0"/>
          <w:marTop w:val="0"/>
          <w:marBottom w:val="0"/>
          <w:divBdr>
            <w:top w:val="none" w:sz="0" w:space="0" w:color="auto"/>
            <w:left w:val="none" w:sz="0" w:space="0" w:color="auto"/>
            <w:bottom w:val="none" w:sz="0" w:space="0" w:color="auto"/>
            <w:right w:val="none" w:sz="0" w:space="0" w:color="auto"/>
          </w:divBdr>
          <w:divsChild>
            <w:div w:id="593821777">
              <w:marLeft w:val="0"/>
              <w:marRight w:val="0"/>
              <w:marTop w:val="0"/>
              <w:marBottom w:val="0"/>
              <w:divBdr>
                <w:top w:val="none" w:sz="0" w:space="0" w:color="auto"/>
                <w:left w:val="none" w:sz="0" w:space="0" w:color="auto"/>
                <w:bottom w:val="none" w:sz="0" w:space="0" w:color="auto"/>
                <w:right w:val="none" w:sz="0" w:space="0" w:color="auto"/>
              </w:divBdr>
              <w:divsChild>
                <w:div w:id="1178884170">
                  <w:marLeft w:val="0"/>
                  <w:marRight w:val="0"/>
                  <w:marTop w:val="0"/>
                  <w:marBottom w:val="0"/>
                  <w:divBdr>
                    <w:top w:val="none" w:sz="0" w:space="0" w:color="auto"/>
                    <w:left w:val="none" w:sz="0" w:space="0" w:color="auto"/>
                    <w:bottom w:val="none" w:sz="0" w:space="0" w:color="auto"/>
                    <w:right w:val="none" w:sz="0" w:space="0" w:color="auto"/>
                  </w:divBdr>
                  <w:divsChild>
                    <w:div w:id="693843857">
                      <w:marLeft w:val="0"/>
                      <w:marRight w:val="0"/>
                      <w:marTop w:val="120"/>
                      <w:marBottom w:val="0"/>
                      <w:divBdr>
                        <w:top w:val="none" w:sz="0" w:space="0" w:color="auto"/>
                        <w:left w:val="none" w:sz="0" w:space="0" w:color="auto"/>
                        <w:bottom w:val="none" w:sz="0" w:space="0" w:color="auto"/>
                        <w:right w:val="none" w:sz="0" w:space="0" w:color="auto"/>
                      </w:divBdr>
                      <w:divsChild>
                        <w:div w:id="213472259">
                          <w:marLeft w:val="0"/>
                          <w:marRight w:val="0"/>
                          <w:marTop w:val="0"/>
                          <w:marBottom w:val="0"/>
                          <w:divBdr>
                            <w:top w:val="none" w:sz="0" w:space="0" w:color="auto"/>
                            <w:left w:val="none" w:sz="0" w:space="0" w:color="auto"/>
                            <w:bottom w:val="none" w:sz="0" w:space="0" w:color="auto"/>
                            <w:right w:val="none" w:sz="0" w:space="0" w:color="auto"/>
                          </w:divBdr>
                          <w:divsChild>
                            <w:div w:id="1306738532">
                              <w:marLeft w:val="0"/>
                              <w:marRight w:val="0"/>
                              <w:marTop w:val="0"/>
                              <w:marBottom w:val="0"/>
                              <w:divBdr>
                                <w:top w:val="none" w:sz="0" w:space="0" w:color="auto"/>
                                <w:left w:val="none" w:sz="0" w:space="0" w:color="auto"/>
                                <w:bottom w:val="none" w:sz="0" w:space="0" w:color="auto"/>
                                <w:right w:val="none" w:sz="0" w:space="0" w:color="auto"/>
                              </w:divBdr>
                              <w:divsChild>
                                <w:div w:id="777218952">
                                  <w:marLeft w:val="0"/>
                                  <w:marRight w:val="0"/>
                                  <w:marTop w:val="0"/>
                                  <w:marBottom w:val="0"/>
                                  <w:divBdr>
                                    <w:top w:val="none" w:sz="0" w:space="0" w:color="auto"/>
                                    <w:left w:val="none" w:sz="0" w:space="0" w:color="auto"/>
                                    <w:bottom w:val="none" w:sz="0" w:space="0" w:color="auto"/>
                                    <w:right w:val="none" w:sz="0" w:space="0" w:color="auto"/>
                                  </w:divBdr>
                                </w:div>
                                <w:div w:id="1699968776">
                                  <w:marLeft w:val="0"/>
                                  <w:marRight w:val="0"/>
                                  <w:marTop w:val="0"/>
                                  <w:marBottom w:val="0"/>
                                  <w:divBdr>
                                    <w:top w:val="none" w:sz="0" w:space="0" w:color="auto"/>
                                    <w:left w:val="none" w:sz="0" w:space="0" w:color="auto"/>
                                    <w:bottom w:val="none" w:sz="0" w:space="0" w:color="auto"/>
                                    <w:right w:val="none" w:sz="0" w:space="0" w:color="auto"/>
                                  </w:divBdr>
                                </w:div>
                                <w:div w:id="13548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994067">
      <w:bodyDiv w:val="1"/>
      <w:marLeft w:val="0"/>
      <w:marRight w:val="0"/>
      <w:marTop w:val="0"/>
      <w:marBottom w:val="0"/>
      <w:divBdr>
        <w:top w:val="none" w:sz="0" w:space="0" w:color="auto"/>
        <w:left w:val="none" w:sz="0" w:space="0" w:color="auto"/>
        <w:bottom w:val="none" w:sz="0" w:space="0" w:color="auto"/>
        <w:right w:val="none" w:sz="0" w:space="0" w:color="auto"/>
      </w:divBdr>
      <w:divsChild>
        <w:div w:id="178980426">
          <w:marLeft w:val="0"/>
          <w:marRight w:val="0"/>
          <w:marTop w:val="0"/>
          <w:marBottom w:val="0"/>
          <w:divBdr>
            <w:top w:val="none" w:sz="0" w:space="0" w:color="auto"/>
            <w:left w:val="none" w:sz="0" w:space="0" w:color="auto"/>
            <w:bottom w:val="none" w:sz="0" w:space="0" w:color="auto"/>
            <w:right w:val="none" w:sz="0" w:space="0" w:color="auto"/>
          </w:divBdr>
          <w:divsChild>
            <w:div w:id="532502237">
              <w:marLeft w:val="0"/>
              <w:marRight w:val="0"/>
              <w:marTop w:val="0"/>
              <w:marBottom w:val="0"/>
              <w:divBdr>
                <w:top w:val="none" w:sz="0" w:space="0" w:color="auto"/>
                <w:left w:val="none" w:sz="0" w:space="0" w:color="auto"/>
                <w:bottom w:val="none" w:sz="0" w:space="0" w:color="auto"/>
                <w:right w:val="none" w:sz="0" w:space="0" w:color="auto"/>
              </w:divBdr>
              <w:divsChild>
                <w:div w:id="1145506157">
                  <w:marLeft w:val="0"/>
                  <w:marRight w:val="0"/>
                  <w:marTop w:val="0"/>
                  <w:marBottom w:val="0"/>
                  <w:divBdr>
                    <w:top w:val="none" w:sz="0" w:space="0" w:color="auto"/>
                    <w:left w:val="none" w:sz="0" w:space="0" w:color="auto"/>
                    <w:bottom w:val="none" w:sz="0" w:space="0" w:color="auto"/>
                    <w:right w:val="none" w:sz="0" w:space="0" w:color="auto"/>
                  </w:divBdr>
                  <w:divsChild>
                    <w:div w:id="754935326">
                      <w:marLeft w:val="0"/>
                      <w:marRight w:val="0"/>
                      <w:marTop w:val="120"/>
                      <w:marBottom w:val="0"/>
                      <w:divBdr>
                        <w:top w:val="none" w:sz="0" w:space="0" w:color="auto"/>
                        <w:left w:val="none" w:sz="0" w:space="0" w:color="auto"/>
                        <w:bottom w:val="none" w:sz="0" w:space="0" w:color="auto"/>
                        <w:right w:val="none" w:sz="0" w:space="0" w:color="auto"/>
                      </w:divBdr>
                      <w:divsChild>
                        <w:div w:id="1169708853">
                          <w:marLeft w:val="0"/>
                          <w:marRight w:val="0"/>
                          <w:marTop w:val="0"/>
                          <w:marBottom w:val="0"/>
                          <w:divBdr>
                            <w:top w:val="none" w:sz="0" w:space="0" w:color="auto"/>
                            <w:left w:val="none" w:sz="0" w:space="0" w:color="auto"/>
                            <w:bottom w:val="none" w:sz="0" w:space="0" w:color="auto"/>
                            <w:right w:val="none" w:sz="0" w:space="0" w:color="auto"/>
                          </w:divBdr>
                          <w:divsChild>
                            <w:div w:id="235555957">
                              <w:marLeft w:val="0"/>
                              <w:marRight w:val="0"/>
                              <w:marTop w:val="0"/>
                              <w:marBottom w:val="0"/>
                              <w:divBdr>
                                <w:top w:val="none" w:sz="0" w:space="0" w:color="auto"/>
                                <w:left w:val="none" w:sz="0" w:space="0" w:color="auto"/>
                                <w:bottom w:val="none" w:sz="0" w:space="0" w:color="auto"/>
                                <w:right w:val="none" w:sz="0" w:space="0" w:color="auto"/>
                              </w:divBdr>
                              <w:divsChild>
                                <w:div w:id="179126477">
                                  <w:marLeft w:val="0"/>
                                  <w:marRight w:val="0"/>
                                  <w:marTop w:val="229"/>
                                  <w:marBottom w:val="0"/>
                                  <w:divBdr>
                                    <w:top w:val="none" w:sz="0" w:space="0" w:color="auto"/>
                                    <w:left w:val="none" w:sz="0" w:space="0" w:color="auto"/>
                                    <w:bottom w:val="none" w:sz="0" w:space="0" w:color="auto"/>
                                    <w:right w:val="none" w:sz="0" w:space="0" w:color="auto"/>
                                  </w:divBdr>
                                  <w:divsChild>
                                    <w:div w:id="140662510">
                                      <w:marLeft w:val="0"/>
                                      <w:marRight w:val="0"/>
                                      <w:marTop w:val="0"/>
                                      <w:marBottom w:val="0"/>
                                      <w:divBdr>
                                        <w:top w:val="none" w:sz="0" w:space="0" w:color="auto"/>
                                        <w:left w:val="none" w:sz="0" w:space="0" w:color="auto"/>
                                        <w:bottom w:val="none" w:sz="0" w:space="0" w:color="auto"/>
                                        <w:right w:val="none" w:sz="0" w:space="0" w:color="auto"/>
                                      </w:divBdr>
                                      <w:divsChild>
                                        <w:div w:id="1584026243">
                                          <w:marLeft w:val="0"/>
                                          <w:marRight w:val="0"/>
                                          <w:marTop w:val="152"/>
                                          <w:marBottom w:val="152"/>
                                          <w:divBdr>
                                            <w:top w:val="none" w:sz="0" w:space="0" w:color="auto"/>
                                            <w:left w:val="none" w:sz="0" w:space="0" w:color="auto"/>
                                            <w:bottom w:val="none" w:sz="0" w:space="0" w:color="auto"/>
                                            <w:right w:val="none" w:sz="0" w:space="0" w:color="auto"/>
                                          </w:divBdr>
                                          <w:divsChild>
                                            <w:div w:id="1021198663">
                                              <w:marLeft w:val="0"/>
                                              <w:marRight w:val="0"/>
                                              <w:marTop w:val="0"/>
                                              <w:marBottom w:val="0"/>
                                              <w:divBdr>
                                                <w:top w:val="none" w:sz="0" w:space="0" w:color="auto"/>
                                                <w:left w:val="none" w:sz="0" w:space="0" w:color="auto"/>
                                                <w:bottom w:val="none" w:sz="0" w:space="0" w:color="auto"/>
                                                <w:right w:val="none" w:sz="0" w:space="0" w:color="auto"/>
                                              </w:divBdr>
                                              <w:divsChild>
                                                <w:div w:id="204608755">
                                                  <w:marLeft w:val="0"/>
                                                  <w:marRight w:val="0"/>
                                                  <w:marTop w:val="0"/>
                                                  <w:marBottom w:val="0"/>
                                                  <w:divBdr>
                                                    <w:top w:val="none" w:sz="0" w:space="0" w:color="auto"/>
                                                    <w:left w:val="none" w:sz="0" w:space="0" w:color="auto"/>
                                                    <w:bottom w:val="none" w:sz="0" w:space="0" w:color="auto"/>
                                                    <w:right w:val="none" w:sz="0" w:space="0" w:color="auto"/>
                                                  </w:divBdr>
                                                  <w:divsChild>
                                                    <w:div w:id="1035811421">
                                                      <w:marLeft w:val="0"/>
                                                      <w:marRight w:val="0"/>
                                                      <w:marTop w:val="13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6299532">
          <w:marLeft w:val="0"/>
          <w:marRight w:val="0"/>
          <w:marTop w:val="0"/>
          <w:marBottom w:val="0"/>
          <w:divBdr>
            <w:top w:val="none" w:sz="0" w:space="0" w:color="auto"/>
            <w:left w:val="none" w:sz="0" w:space="0" w:color="auto"/>
            <w:bottom w:val="none" w:sz="0" w:space="0" w:color="auto"/>
            <w:right w:val="none" w:sz="0" w:space="0" w:color="auto"/>
          </w:divBdr>
          <w:divsChild>
            <w:div w:id="388115908">
              <w:marLeft w:val="0"/>
              <w:marRight w:val="0"/>
              <w:marTop w:val="0"/>
              <w:marBottom w:val="0"/>
              <w:divBdr>
                <w:top w:val="none" w:sz="0" w:space="0" w:color="auto"/>
                <w:left w:val="none" w:sz="0" w:space="0" w:color="auto"/>
                <w:bottom w:val="none" w:sz="0" w:space="0" w:color="auto"/>
                <w:right w:val="none" w:sz="0" w:space="0" w:color="auto"/>
              </w:divBdr>
              <w:divsChild>
                <w:div w:id="629022389">
                  <w:marLeft w:val="0"/>
                  <w:marRight w:val="0"/>
                  <w:marTop w:val="0"/>
                  <w:marBottom w:val="0"/>
                  <w:divBdr>
                    <w:top w:val="none" w:sz="0" w:space="0" w:color="auto"/>
                    <w:left w:val="none" w:sz="0" w:space="0" w:color="auto"/>
                    <w:bottom w:val="none" w:sz="0" w:space="0" w:color="auto"/>
                    <w:right w:val="none" w:sz="0" w:space="0" w:color="auto"/>
                  </w:divBdr>
                  <w:divsChild>
                    <w:div w:id="191489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198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2089</Words>
  <Characters>11912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ANANYA MISHRA</dc:creator>
  <cp:keywords/>
  <dc:description/>
  <cp:lastModifiedBy>ANANYA MISHRA</cp:lastModifiedBy>
  <cp:revision>2</cp:revision>
  <dcterms:created xsi:type="dcterms:W3CDTF">2025-06-25T14:40:00Z</dcterms:created>
  <dcterms:modified xsi:type="dcterms:W3CDTF">2025-06-25T14:40:00Z</dcterms:modified>
</cp:coreProperties>
</file>