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85DE86" w14:textId="53E7F066" w:rsidR="00A76EB6" w:rsidRPr="004E01F0" w:rsidRDefault="00E704B4" w:rsidP="004E01F0">
      <w:pPr>
        <w:spacing w:line="360" w:lineRule="auto"/>
        <w:jc w:val="center"/>
        <w:rPr>
          <w:rFonts w:ascii="Times New Roman" w:hAnsi="Times New Roman" w:cs="Times New Roman"/>
          <w:b/>
          <w:bCs/>
          <w:u w:val="single"/>
        </w:rPr>
      </w:pPr>
      <w:r w:rsidRPr="004E01F0">
        <w:rPr>
          <w:rFonts w:ascii="Times New Roman" w:hAnsi="Times New Roman" w:cs="Times New Roman"/>
          <w:b/>
          <w:bCs/>
          <w:u w:val="single"/>
        </w:rPr>
        <w:t>NBFCs in India: Regulation, Growth, and the Road Ahead</w:t>
      </w:r>
    </w:p>
    <w:p w14:paraId="7D863F9E" w14:textId="77777777" w:rsidR="00E704B4" w:rsidRPr="004E01F0" w:rsidRDefault="00E704B4" w:rsidP="004E01F0">
      <w:pPr>
        <w:spacing w:line="360" w:lineRule="auto"/>
        <w:jc w:val="both"/>
        <w:rPr>
          <w:rFonts w:ascii="Times New Roman" w:hAnsi="Times New Roman" w:cs="Times New Roman"/>
          <w:b/>
          <w:bCs/>
          <w:u w:val="single"/>
        </w:rPr>
      </w:pPr>
    </w:p>
    <w:p w14:paraId="14FB1686" w14:textId="2832BFD6" w:rsidR="00E704B4" w:rsidRPr="004E01F0" w:rsidRDefault="00E704B4" w:rsidP="004E01F0">
      <w:pPr>
        <w:spacing w:line="360" w:lineRule="auto"/>
        <w:jc w:val="both"/>
        <w:rPr>
          <w:rFonts w:ascii="Times New Roman" w:hAnsi="Times New Roman" w:cs="Times New Roman"/>
          <w:b/>
          <w:bCs/>
          <w:u w:val="single"/>
        </w:rPr>
      </w:pPr>
      <w:r w:rsidRPr="004E01F0">
        <w:rPr>
          <w:rFonts w:ascii="Times New Roman" w:hAnsi="Times New Roman" w:cs="Times New Roman"/>
          <w:b/>
          <w:bCs/>
          <w:u w:val="single"/>
        </w:rPr>
        <w:t>Introduction:</w:t>
      </w:r>
    </w:p>
    <w:p w14:paraId="7ECE9E1F" w14:textId="1CD6278F" w:rsidR="00F4261C" w:rsidRPr="004E01F0" w:rsidRDefault="00F4261C" w:rsidP="004E01F0">
      <w:pPr>
        <w:spacing w:line="360" w:lineRule="auto"/>
        <w:jc w:val="both"/>
        <w:rPr>
          <w:rFonts w:ascii="Times New Roman" w:hAnsi="Times New Roman" w:cs="Times New Roman"/>
        </w:rPr>
      </w:pPr>
      <w:r w:rsidRPr="004E01F0">
        <w:rPr>
          <w:rFonts w:ascii="Times New Roman" w:hAnsi="Times New Roman" w:cs="Times New Roman"/>
        </w:rPr>
        <w:t xml:space="preserve">Financial institutions, particularly banks, are the vital link in economies where economic resources are connected to borrowers, aggregate investments and savings and encourage an efficient flow of credit. Banks have been the centre of the financial </w:t>
      </w:r>
      <w:r w:rsidR="008623CC">
        <w:rPr>
          <w:rFonts w:ascii="Times New Roman" w:hAnsi="Times New Roman" w:cs="Times New Roman"/>
        </w:rPr>
        <w:t>system, mainly through deposit-taking, lending, payments,</w:t>
      </w:r>
      <w:r w:rsidRPr="004E01F0">
        <w:rPr>
          <w:rFonts w:ascii="Times New Roman" w:hAnsi="Times New Roman" w:cs="Times New Roman"/>
        </w:rPr>
        <w:t xml:space="preserve"> and settlement functions. However, with the complexity of the economy and demands for financing increasing, this has allowed Non-Banking Financial Companies (</w:t>
      </w:r>
      <w:r w:rsidRPr="004E01F0">
        <w:rPr>
          <w:rFonts w:ascii="Times New Roman" w:hAnsi="Times New Roman" w:cs="Times New Roman"/>
        </w:rPr>
        <w:t>NBFCs</w:t>
      </w:r>
      <w:r w:rsidRPr="004E01F0">
        <w:rPr>
          <w:rFonts w:ascii="Times New Roman" w:hAnsi="Times New Roman" w:cs="Times New Roman"/>
        </w:rPr>
        <w:t>) to emerge to fill that gap</w:t>
      </w:r>
      <w:r w:rsidRPr="004E01F0">
        <w:rPr>
          <w:rFonts w:ascii="Times New Roman" w:hAnsi="Times New Roman" w:cs="Times New Roman"/>
        </w:rPr>
        <w:t>,</w:t>
      </w:r>
      <w:r w:rsidRPr="004E01F0">
        <w:rPr>
          <w:rFonts w:ascii="Times New Roman" w:hAnsi="Times New Roman" w:cs="Times New Roman"/>
        </w:rPr>
        <w:t xml:space="preserve"> especially in the Indian Economy.</w:t>
      </w:r>
    </w:p>
    <w:p w14:paraId="0BE2C62F" w14:textId="0DDEF851" w:rsidR="00F4261C" w:rsidRPr="004E01F0" w:rsidRDefault="00F4261C" w:rsidP="004E01F0">
      <w:pPr>
        <w:spacing w:line="360" w:lineRule="auto"/>
        <w:jc w:val="both"/>
        <w:rPr>
          <w:rFonts w:ascii="Times New Roman" w:hAnsi="Times New Roman" w:cs="Times New Roman"/>
        </w:rPr>
      </w:pPr>
      <w:r w:rsidRPr="004E01F0">
        <w:rPr>
          <w:rFonts w:ascii="Times New Roman" w:hAnsi="Times New Roman" w:cs="Times New Roman"/>
        </w:rPr>
        <w:t>NBFCs</w:t>
      </w:r>
      <w:r w:rsidRPr="004E01F0">
        <w:rPr>
          <w:rFonts w:ascii="Times New Roman" w:hAnsi="Times New Roman" w:cs="Times New Roman"/>
        </w:rPr>
        <w:t xml:space="preserve"> do not have to be licensed</w:t>
      </w:r>
      <w:r w:rsidRPr="004E01F0">
        <w:rPr>
          <w:rFonts w:ascii="Times New Roman" w:hAnsi="Times New Roman" w:cs="Times New Roman"/>
        </w:rPr>
        <w:t>,</w:t>
      </w:r>
      <w:r w:rsidRPr="004E01F0">
        <w:rPr>
          <w:rFonts w:ascii="Times New Roman" w:hAnsi="Times New Roman" w:cs="Times New Roman"/>
        </w:rPr>
        <w:t xml:space="preserve"> but they are still financial institutions which provide services similar to banks. </w:t>
      </w:r>
      <w:r w:rsidRPr="004E01F0">
        <w:rPr>
          <w:rFonts w:ascii="Times New Roman" w:hAnsi="Times New Roman" w:cs="Times New Roman"/>
        </w:rPr>
        <w:t>NBFCs</w:t>
      </w:r>
      <w:r w:rsidRPr="004E01F0">
        <w:rPr>
          <w:rFonts w:ascii="Times New Roman" w:hAnsi="Times New Roman" w:cs="Times New Roman"/>
        </w:rPr>
        <w:t xml:space="preserve"> are so diversified, providing loans, asset finance, micro finance, leasing, and investments, that they have become an important part in providing various types of financial services. </w:t>
      </w:r>
      <w:r w:rsidRPr="004E01F0">
        <w:rPr>
          <w:rFonts w:ascii="Times New Roman" w:hAnsi="Times New Roman" w:cs="Times New Roman"/>
        </w:rPr>
        <w:t>NBFCs</w:t>
      </w:r>
      <w:r w:rsidRPr="004E01F0">
        <w:rPr>
          <w:rFonts w:ascii="Times New Roman" w:hAnsi="Times New Roman" w:cs="Times New Roman"/>
        </w:rPr>
        <w:t xml:space="preserve"> do not process demand </w:t>
      </w:r>
      <w:r w:rsidRPr="004E01F0">
        <w:rPr>
          <w:rFonts w:ascii="Times New Roman" w:hAnsi="Times New Roman" w:cs="Times New Roman"/>
        </w:rPr>
        <w:t>drafts</w:t>
      </w:r>
      <w:r w:rsidRPr="004E01F0">
        <w:rPr>
          <w:rFonts w:ascii="Times New Roman" w:hAnsi="Times New Roman" w:cs="Times New Roman"/>
        </w:rPr>
        <w:t xml:space="preserve">, </w:t>
      </w:r>
      <w:r w:rsidRPr="004E01F0">
        <w:rPr>
          <w:rFonts w:ascii="Times New Roman" w:hAnsi="Times New Roman" w:cs="Times New Roman"/>
        </w:rPr>
        <w:t>which</w:t>
      </w:r>
      <w:r w:rsidRPr="004E01F0">
        <w:rPr>
          <w:rFonts w:ascii="Times New Roman" w:hAnsi="Times New Roman" w:cs="Times New Roman"/>
        </w:rPr>
        <w:t xml:space="preserve"> </w:t>
      </w:r>
      <w:r w:rsidR="00694EE5">
        <w:rPr>
          <w:rFonts w:ascii="Times New Roman" w:hAnsi="Times New Roman" w:cs="Times New Roman"/>
        </w:rPr>
        <w:t>are</w:t>
      </w:r>
      <w:r w:rsidRPr="004E01F0">
        <w:rPr>
          <w:rFonts w:ascii="Times New Roman" w:hAnsi="Times New Roman" w:cs="Times New Roman"/>
        </w:rPr>
        <w:t xml:space="preserve"> within the commercial banking envelope.</w:t>
      </w:r>
    </w:p>
    <w:p w14:paraId="5928BFCE" w14:textId="244FC729" w:rsidR="00825442" w:rsidRPr="004E01F0" w:rsidRDefault="00F4261C" w:rsidP="004E01F0">
      <w:pPr>
        <w:spacing w:line="360" w:lineRule="auto"/>
        <w:jc w:val="both"/>
        <w:rPr>
          <w:rFonts w:ascii="Times New Roman" w:hAnsi="Times New Roman" w:cs="Times New Roman"/>
        </w:rPr>
      </w:pPr>
      <w:r w:rsidRPr="004E01F0">
        <w:rPr>
          <w:rFonts w:ascii="Times New Roman" w:hAnsi="Times New Roman" w:cs="Times New Roman"/>
        </w:rPr>
        <w:t>NBFCs</w:t>
      </w:r>
      <w:r w:rsidRPr="004E01F0">
        <w:rPr>
          <w:rFonts w:ascii="Times New Roman" w:hAnsi="Times New Roman" w:cs="Times New Roman"/>
        </w:rPr>
        <w:t xml:space="preserve"> have increased in importance in economic value and support to traditional banks</w:t>
      </w:r>
      <w:r w:rsidRPr="004E01F0">
        <w:rPr>
          <w:rFonts w:ascii="Times New Roman" w:hAnsi="Times New Roman" w:cs="Times New Roman"/>
        </w:rPr>
        <w:t>,</w:t>
      </w:r>
      <w:r w:rsidRPr="004E01F0">
        <w:rPr>
          <w:rFonts w:ascii="Times New Roman" w:hAnsi="Times New Roman" w:cs="Times New Roman"/>
        </w:rPr>
        <w:t xml:space="preserve"> particularly in housing and transportation, small business financing and in the infrastructure sector.</w:t>
      </w:r>
      <w:r w:rsidRPr="004E01F0">
        <w:rPr>
          <w:rFonts w:ascii="Times New Roman" w:hAnsi="Times New Roman" w:cs="Times New Roman"/>
        </w:rPr>
        <w:t xml:space="preserve"> </w:t>
      </w:r>
      <w:r w:rsidR="008A689F" w:rsidRPr="004E01F0">
        <w:rPr>
          <w:rFonts w:ascii="Times New Roman" w:hAnsi="Times New Roman" w:cs="Times New Roman"/>
        </w:rPr>
        <w:t>NBF</w:t>
      </w:r>
      <w:r w:rsidR="00E3541A" w:rsidRPr="004E01F0">
        <w:rPr>
          <w:rFonts w:ascii="Times New Roman" w:hAnsi="Times New Roman" w:cs="Times New Roman"/>
        </w:rPr>
        <w:t xml:space="preserve">Cs have </w:t>
      </w:r>
      <w:r w:rsidR="00CE5FA1" w:rsidRPr="004E01F0">
        <w:rPr>
          <w:rFonts w:ascii="Times New Roman" w:hAnsi="Times New Roman" w:cs="Times New Roman"/>
        </w:rPr>
        <w:t>come</w:t>
      </w:r>
      <w:r w:rsidR="00DA75A3" w:rsidRPr="004E01F0">
        <w:rPr>
          <w:rFonts w:ascii="Times New Roman" w:hAnsi="Times New Roman" w:cs="Times New Roman"/>
        </w:rPr>
        <w:t xml:space="preserve"> in </w:t>
      </w:r>
      <w:r w:rsidR="00E3541A" w:rsidRPr="004E01F0">
        <w:rPr>
          <w:rFonts w:ascii="Times New Roman" w:hAnsi="Times New Roman" w:cs="Times New Roman"/>
        </w:rPr>
        <w:t>where banks are</w:t>
      </w:r>
      <w:r w:rsidR="00B25119" w:rsidRPr="004E01F0">
        <w:rPr>
          <w:rFonts w:ascii="Times New Roman" w:hAnsi="Times New Roman" w:cs="Times New Roman"/>
        </w:rPr>
        <w:t xml:space="preserve"> </w:t>
      </w:r>
      <w:r w:rsidR="00CE5FA1" w:rsidRPr="004E01F0">
        <w:rPr>
          <w:rFonts w:ascii="Times New Roman" w:hAnsi="Times New Roman" w:cs="Times New Roman"/>
        </w:rPr>
        <w:t xml:space="preserve">unable or reluctant to function, mobilise resources and </w:t>
      </w:r>
      <w:r w:rsidR="00725961" w:rsidRPr="004E01F0">
        <w:rPr>
          <w:rFonts w:ascii="Times New Roman" w:hAnsi="Times New Roman" w:cs="Times New Roman"/>
        </w:rPr>
        <w:t xml:space="preserve">provide </w:t>
      </w:r>
      <w:r w:rsidR="00CE5FA1" w:rsidRPr="004E01F0">
        <w:rPr>
          <w:rFonts w:ascii="Times New Roman" w:hAnsi="Times New Roman" w:cs="Times New Roman"/>
        </w:rPr>
        <w:t>investments</w:t>
      </w:r>
      <w:r w:rsidR="00725961" w:rsidRPr="004E01F0">
        <w:rPr>
          <w:rFonts w:ascii="Times New Roman" w:hAnsi="Times New Roman" w:cs="Times New Roman"/>
        </w:rPr>
        <w:t xml:space="preserve">. This helps them </w:t>
      </w:r>
      <w:r w:rsidR="00A04313" w:rsidRPr="004E01F0">
        <w:rPr>
          <w:rFonts w:ascii="Times New Roman" w:hAnsi="Times New Roman" w:cs="Times New Roman"/>
        </w:rPr>
        <w:t xml:space="preserve">be the essential drivers of financial inclusion and growth. </w:t>
      </w:r>
      <w:r w:rsidR="007877C9" w:rsidRPr="004E01F0">
        <w:rPr>
          <w:rFonts w:ascii="Times New Roman" w:hAnsi="Times New Roman" w:cs="Times New Roman"/>
        </w:rPr>
        <w:t>Yet</w:t>
      </w:r>
      <w:r w:rsidR="004A0AF2" w:rsidRPr="004E01F0">
        <w:rPr>
          <w:rFonts w:ascii="Times New Roman" w:hAnsi="Times New Roman" w:cs="Times New Roman"/>
        </w:rPr>
        <w:t>, since their influence and existence have expanded</w:t>
      </w:r>
      <w:r w:rsidR="00940A89" w:rsidRPr="004E01F0">
        <w:rPr>
          <w:rFonts w:ascii="Times New Roman" w:hAnsi="Times New Roman" w:cs="Times New Roman"/>
        </w:rPr>
        <w:t xml:space="preserve">, so have the risks. </w:t>
      </w:r>
      <w:r w:rsidR="00603D75" w:rsidRPr="004E01F0">
        <w:rPr>
          <w:rFonts w:ascii="Times New Roman" w:hAnsi="Times New Roman" w:cs="Times New Roman"/>
        </w:rPr>
        <w:t xml:space="preserve">The main challenges that </w:t>
      </w:r>
      <w:r w:rsidR="00075F90" w:rsidRPr="004E01F0">
        <w:rPr>
          <w:rFonts w:ascii="Times New Roman" w:hAnsi="Times New Roman" w:cs="Times New Roman"/>
        </w:rPr>
        <w:t>surround</w:t>
      </w:r>
      <w:r w:rsidR="00603D75" w:rsidRPr="004E01F0">
        <w:rPr>
          <w:rFonts w:ascii="Times New Roman" w:hAnsi="Times New Roman" w:cs="Times New Roman"/>
        </w:rPr>
        <w:t xml:space="preserve"> NBFCs </w:t>
      </w:r>
      <w:r w:rsidR="003417A5" w:rsidRPr="004E01F0">
        <w:rPr>
          <w:rFonts w:ascii="Times New Roman" w:hAnsi="Times New Roman" w:cs="Times New Roman"/>
        </w:rPr>
        <w:t>are the stability, consumer protection and regulatory gaps</w:t>
      </w:r>
      <w:r w:rsidR="006A7501" w:rsidRPr="004E01F0">
        <w:rPr>
          <w:rFonts w:ascii="Times New Roman" w:hAnsi="Times New Roman" w:cs="Times New Roman"/>
        </w:rPr>
        <w:t>. Because of this, stronger oversight and a structured regulatory framework are required.</w:t>
      </w:r>
    </w:p>
    <w:p w14:paraId="73F9D852" w14:textId="41531EE3" w:rsidR="0041740E" w:rsidRPr="004E01F0" w:rsidRDefault="0041740E" w:rsidP="004E01F0">
      <w:pPr>
        <w:spacing w:line="360" w:lineRule="auto"/>
        <w:jc w:val="both"/>
        <w:rPr>
          <w:rFonts w:ascii="Times New Roman" w:hAnsi="Times New Roman" w:cs="Times New Roman"/>
        </w:rPr>
      </w:pPr>
      <w:r w:rsidRPr="004E01F0">
        <w:rPr>
          <w:rFonts w:ascii="Times New Roman" w:hAnsi="Times New Roman" w:cs="Times New Roman"/>
        </w:rPr>
        <w:t>This article provides a comprehensive overview of NBFCs in India by tracing their history and development and discussing how they are currently regulated. It will cover how NBFCs are classified, what they need to comply with from a regulatory perspective, and how NBFCs fit within the overall ecosystem. It will discuss governance and compliance issues, anti-money laundering safeguards, regulations governing public deposits, foreign investment policies and many more issues related to how NBFCs are regulated</w:t>
      </w:r>
      <w:r w:rsidR="00DB211B" w:rsidRPr="004E01F0">
        <w:rPr>
          <w:rFonts w:ascii="Times New Roman" w:hAnsi="Times New Roman" w:cs="Times New Roman"/>
        </w:rPr>
        <w:t>. It</w:t>
      </w:r>
      <w:r w:rsidRPr="004E01F0">
        <w:rPr>
          <w:rFonts w:ascii="Times New Roman" w:hAnsi="Times New Roman" w:cs="Times New Roman"/>
        </w:rPr>
        <w:t xml:space="preserve"> will </w:t>
      </w:r>
      <w:r w:rsidR="00DB211B" w:rsidRPr="004E01F0">
        <w:rPr>
          <w:rFonts w:ascii="Times New Roman" w:hAnsi="Times New Roman" w:cs="Times New Roman"/>
        </w:rPr>
        <w:t xml:space="preserve">also </w:t>
      </w:r>
      <w:r w:rsidRPr="004E01F0">
        <w:rPr>
          <w:rFonts w:ascii="Times New Roman" w:hAnsi="Times New Roman" w:cs="Times New Roman"/>
        </w:rPr>
        <w:t xml:space="preserve">discuss the need for regulation that balances innovation and promotes safety, security and trust. </w:t>
      </w:r>
    </w:p>
    <w:p w14:paraId="4EAC4154" w14:textId="77777777" w:rsidR="00DB211B" w:rsidRPr="004E01F0" w:rsidRDefault="00DB211B" w:rsidP="004E01F0">
      <w:pPr>
        <w:spacing w:line="360" w:lineRule="auto"/>
        <w:jc w:val="both"/>
        <w:rPr>
          <w:rFonts w:ascii="Times New Roman" w:hAnsi="Times New Roman" w:cs="Times New Roman"/>
        </w:rPr>
      </w:pPr>
    </w:p>
    <w:p w14:paraId="1F74DAF8" w14:textId="77777777" w:rsidR="0041740E" w:rsidRPr="004E01F0" w:rsidRDefault="0041740E" w:rsidP="004E01F0">
      <w:pPr>
        <w:spacing w:line="360" w:lineRule="auto"/>
        <w:jc w:val="both"/>
        <w:rPr>
          <w:rFonts w:ascii="Times New Roman" w:hAnsi="Times New Roman" w:cs="Times New Roman"/>
        </w:rPr>
      </w:pPr>
    </w:p>
    <w:p w14:paraId="69D15F44" w14:textId="1061592E" w:rsidR="002D48AE" w:rsidRPr="004E01F0" w:rsidRDefault="002D48AE" w:rsidP="004E01F0">
      <w:pPr>
        <w:spacing w:line="360" w:lineRule="auto"/>
        <w:jc w:val="both"/>
        <w:rPr>
          <w:rFonts w:ascii="Times New Roman" w:hAnsi="Times New Roman" w:cs="Times New Roman"/>
          <w:b/>
          <w:bCs/>
          <w:u w:val="single"/>
        </w:rPr>
      </w:pPr>
      <w:r w:rsidRPr="004E01F0">
        <w:rPr>
          <w:rFonts w:ascii="Times New Roman" w:hAnsi="Times New Roman" w:cs="Times New Roman"/>
          <w:b/>
          <w:bCs/>
          <w:u w:val="single"/>
        </w:rPr>
        <w:lastRenderedPageBreak/>
        <w:t>Non-Banking Financial Institutions (</w:t>
      </w:r>
      <w:r w:rsidR="005F67D6" w:rsidRPr="004E01F0">
        <w:rPr>
          <w:rFonts w:ascii="Times New Roman" w:hAnsi="Times New Roman" w:cs="Times New Roman"/>
          <w:b/>
          <w:bCs/>
          <w:u w:val="single"/>
        </w:rPr>
        <w:t>NBFCs</w:t>
      </w:r>
      <w:r w:rsidRPr="004E01F0">
        <w:rPr>
          <w:rFonts w:ascii="Times New Roman" w:hAnsi="Times New Roman" w:cs="Times New Roman"/>
          <w:b/>
          <w:bCs/>
          <w:u w:val="single"/>
        </w:rPr>
        <w:t>) and the International Regulatory System</w:t>
      </w:r>
    </w:p>
    <w:p w14:paraId="6F0F2F5B" w14:textId="1A46CC11" w:rsidR="00687243" w:rsidRPr="004E01F0" w:rsidRDefault="0041740E" w:rsidP="004E01F0">
      <w:pPr>
        <w:spacing w:line="360" w:lineRule="auto"/>
        <w:jc w:val="both"/>
        <w:rPr>
          <w:rFonts w:ascii="Times New Roman" w:hAnsi="Times New Roman" w:cs="Times New Roman"/>
        </w:rPr>
      </w:pPr>
      <w:r w:rsidRPr="004E01F0">
        <w:rPr>
          <w:rFonts w:ascii="Times New Roman" w:hAnsi="Times New Roman" w:cs="Times New Roman"/>
        </w:rPr>
        <w:t>The term NBF</w:t>
      </w:r>
      <w:r w:rsidR="00D62075" w:rsidRPr="004E01F0">
        <w:rPr>
          <w:rFonts w:ascii="Times New Roman" w:hAnsi="Times New Roman" w:cs="Times New Roman"/>
        </w:rPr>
        <w:t>C</w:t>
      </w:r>
      <w:r w:rsidRPr="004E01F0">
        <w:rPr>
          <w:rFonts w:ascii="Times New Roman" w:hAnsi="Times New Roman" w:cs="Times New Roman"/>
        </w:rPr>
        <w:t>s covers a broad spectrum of, and includes, NBFCs, insurance companies, pension funds, mutual funds etc., microfinance institutions</w:t>
      </w:r>
      <w:r w:rsidR="00765455" w:rsidRPr="004E01F0">
        <w:rPr>
          <w:rFonts w:ascii="Times New Roman" w:hAnsi="Times New Roman" w:cs="Times New Roman"/>
        </w:rPr>
        <w:t>,</w:t>
      </w:r>
      <w:r w:rsidRPr="004E01F0">
        <w:rPr>
          <w:rFonts w:ascii="Times New Roman" w:hAnsi="Times New Roman" w:cs="Times New Roman"/>
        </w:rPr>
        <w:t xml:space="preserve"> etc. The </w:t>
      </w:r>
      <w:r w:rsidR="005F67D6" w:rsidRPr="004E01F0">
        <w:rPr>
          <w:rFonts w:ascii="Times New Roman" w:hAnsi="Times New Roman" w:cs="Times New Roman"/>
        </w:rPr>
        <w:t>NBFCs</w:t>
      </w:r>
      <w:r w:rsidRPr="004E01F0">
        <w:rPr>
          <w:rFonts w:ascii="Times New Roman" w:hAnsi="Times New Roman" w:cs="Times New Roman"/>
        </w:rPr>
        <w:t xml:space="preserve"> can increase access to credit, increase competition and innovate financial products worldwide.</w:t>
      </w:r>
    </w:p>
    <w:p w14:paraId="0B16F7F7" w14:textId="241A48DF" w:rsidR="00B73ED4" w:rsidRPr="004E01F0" w:rsidRDefault="00B73ED4" w:rsidP="004E01F0">
      <w:pPr>
        <w:spacing w:line="360" w:lineRule="auto"/>
        <w:jc w:val="both"/>
        <w:rPr>
          <w:rFonts w:ascii="Times New Roman" w:hAnsi="Times New Roman" w:cs="Times New Roman"/>
        </w:rPr>
      </w:pPr>
      <w:r w:rsidRPr="004E01F0">
        <w:rPr>
          <w:rFonts w:ascii="Times New Roman" w:hAnsi="Times New Roman" w:cs="Times New Roman"/>
        </w:rPr>
        <w:t>Non-Banking Financial Institutions (</w:t>
      </w:r>
      <w:r w:rsidR="005F67D6" w:rsidRPr="004E01F0">
        <w:rPr>
          <w:rFonts w:ascii="Times New Roman" w:hAnsi="Times New Roman" w:cs="Times New Roman"/>
        </w:rPr>
        <w:t>NBF</w:t>
      </w:r>
      <w:r w:rsidR="00813D05" w:rsidRPr="004E01F0">
        <w:rPr>
          <w:rFonts w:ascii="Times New Roman" w:hAnsi="Times New Roman" w:cs="Times New Roman"/>
        </w:rPr>
        <w:t>I</w:t>
      </w:r>
      <w:r w:rsidR="005F67D6" w:rsidRPr="004E01F0">
        <w:rPr>
          <w:rFonts w:ascii="Times New Roman" w:hAnsi="Times New Roman" w:cs="Times New Roman"/>
        </w:rPr>
        <w:t>s</w:t>
      </w:r>
      <w:r w:rsidRPr="004E01F0">
        <w:rPr>
          <w:rFonts w:ascii="Times New Roman" w:hAnsi="Times New Roman" w:cs="Times New Roman"/>
        </w:rPr>
        <w:t xml:space="preserve">) have become </w:t>
      </w:r>
      <w:r w:rsidR="00E719BF" w:rsidRPr="004E01F0">
        <w:rPr>
          <w:rFonts w:ascii="Times New Roman" w:hAnsi="Times New Roman" w:cs="Times New Roman"/>
        </w:rPr>
        <w:t>increasingly essential on the global stage, particularly</w:t>
      </w:r>
      <w:r w:rsidRPr="004E01F0">
        <w:rPr>
          <w:rFonts w:ascii="Times New Roman" w:hAnsi="Times New Roman" w:cs="Times New Roman"/>
        </w:rPr>
        <w:t xml:space="preserve"> since the 2008 global financial crisis. The crisis revealed weaknesses in something now referred to as the "shadow banking system"</w:t>
      </w:r>
      <w:r w:rsidR="00CF4B64" w:rsidRPr="004E01F0">
        <w:rPr>
          <w:rFonts w:ascii="Times New Roman" w:hAnsi="Times New Roman" w:cs="Times New Roman"/>
        </w:rPr>
        <w:t>, which is</w:t>
      </w:r>
      <w:r w:rsidRPr="004E01F0">
        <w:rPr>
          <w:rFonts w:ascii="Times New Roman" w:hAnsi="Times New Roman" w:cs="Times New Roman"/>
        </w:rPr>
        <w:t xml:space="preserve"> the network of non-bank institutions that </w:t>
      </w:r>
      <w:r w:rsidR="00CF4B64" w:rsidRPr="004E01F0">
        <w:rPr>
          <w:rFonts w:ascii="Times New Roman" w:hAnsi="Times New Roman" w:cs="Times New Roman"/>
        </w:rPr>
        <w:t>provide</w:t>
      </w:r>
      <w:r w:rsidRPr="004E01F0">
        <w:rPr>
          <w:rFonts w:ascii="Times New Roman" w:hAnsi="Times New Roman" w:cs="Times New Roman"/>
        </w:rPr>
        <w:t xml:space="preserve"> bank-like functions without the same regulatory oversight as banks. The inherent links to banks led to the </w:t>
      </w:r>
      <w:r w:rsidR="00E719BF" w:rsidRPr="004E01F0">
        <w:rPr>
          <w:rFonts w:ascii="Times New Roman" w:hAnsi="Times New Roman" w:cs="Times New Roman"/>
        </w:rPr>
        <w:t>realisation</w:t>
      </w:r>
      <w:r w:rsidRPr="004E01F0">
        <w:rPr>
          <w:rFonts w:ascii="Times New Roman" w:hAnsi="Times New Roman" w:cs="Times New Roman"/>
        </w:rPr>
        <w:t xml:space="preserve"> that </w:t>
      </w:r>
      <w:r w:rsidR="005F67D6" w:rsidRPr="004E01F0">
        <w:rPr>
          <w:rFonts w:ascii="Times New Roman" w:hAnsi="Times New Roman" w:cs="Times New Roman"/>
        </w:rPr>
        <w:t>NBFCs</w:t>
      </w:r>
      <w:r w:rsidRPr="004E01F0">
        <w:rPr>
          <w:rFonts w:ascii="Times New Roman" w:hAnsi="Times New Roman" w:cs="Times New Roman"/>
        </w:rPr>
        <w:t xml:space="preserve"> presented systemic risk to the system, which led global regulators to increase oversight of </w:t>
      </w:r>
      <w:r w:rsidR="005F67D6" w:rsidRPr="004E01F0">
        <w:rPr>
          <w:rFonts w:ascii="Times New Roman" w:hAnsi="Times New Roman" w:cs="Times New Roman"/>
        </w:rPr>
        <w:t>NBFCs</w:t>
      </w:r>
      <w:r w:rsidRPr="004E01F0">
        <w:rPr>
          <w:rFonts w:ascii="Times New Roman" w:hAnsi="Times New Roman" w:cs="Times New Roman"/>
        </w:rPr>
        <w:t>.</w:t>
      </w:r>
    </w:p>
    <w:p w14:paraId="4D8665E3" w14:textId="27001D19" w:rsidR="00B73ED4" w:rsidRPr="004E01F0" w:rsidRDefault="00B73ED4" w:rsidP="004E01F0">
      <w:pPr>
        <w:spacing w:line="360" w:lineRule="auto"/>
        <w:jc w:val="both"/>
        <w:rPr>
          <w:rFonts w:ascii="Times New Roman" w:hAnsi="Times New Roman" w:cs="Times New Roman"/>
        </w:rPr>
      </w:pPr>
      <w:r w:rsidRPr="004E01F0">
        <w:rPr>
          <w:rFonts w:ascii="Times New Roman" w:hAnsi="Times New Roman" w:cs="Times New Roman"/>
        </w:rPr>
        <w:t xml:space="preserve">Global </w:t>
      </w:r>
      <w:r w:rsidR="0011442C" w:rsidRPr="004E01F0">
        <w:rPr>
          <w:rFonts w:ascii="Times New Roman" w:hAnsi="Times New Roman" w:cs="Times New Roman"/>
        </w:rPr>
        <w:t>organisations</w:t>
      </w:r>
      <w:r w:rsidRPr="004E01F0">
        <w:rPr>
          <w:rFonts w:ascii="Times New Roman" w:hAnsi="Times New Roman" w:cs="Times New Roman"/>
        </w:rPr>
        <w:t>, such as the Financial Stability Board (FSB) and the International Monetary Fund (IMF), began to build global standards that would ensure transparency, reduce liquidity and credit risk, and limit regulatory arbitrage between banks and non-banks</w:t>
      </w:r>
      <w:r w:rsidR="0011442C" w:rsidRPr="004E01F0">
        <w:rPr>
          <w:rFonts w:ascii="Times New Roman" w:hAnsi="Times New Roman" w:cs="Times New Roman"/>
        </w:rPr>
        <w:t>.</w:t>
      </w:r>
      <w:r w:rsidRPr="004E01F0">
        <w:rPr>
          <w:rFonts w:ascii="Times New Roman" w:hAnsi="Times New Roman" w:cs="Times New Roman"/>
        </w:rPr>
        <w:t xml:space="preserve"> </w:t>
      </w:r>
    </w:p>
    <w:p w14:paraId="608E6780" w14:textId="2476551D" w:rsidR="00B73ED4" w:rsidRPr="004E01F0" w:rsidRDefault="00B73ED4" w:rsidP="004E01F0">
      <w:pPr>
        <w:spacing w:line="360" w:lineRule="auto"/>
        <w:jc w:val="both"/>
        <w:rPr>
          <w:rFonts w:ascii="Times New Roman" w:hAnsi="Times New Roman" w:cs="Times New Roman"/>
        </w:rPr>
      </w:pPr>
      <w:r w:rsidRPr="004E01F0">
        <w:rPr>
          <w:rFonts w:ascii="Times New Roman" w:hAnsi="Times New Roman" w:cs="Times New Roman"/>
        </w:rPr>
        <w:t xml:space="preserve">As a result, it was established that countries should adopt a regulatory practice when it comes to </w:t>
      </w:r>
      <w:r w:rsidR="005F67D6" w:rsidRPr="004E01F0">
        <w:rPr>
          <w:rFonts w:ascii="Times New Roman" w:hAnsi="Times New Roman" w:cs="Times New Roman"/>
        </w:rPr>
        <w:t>NBFCs</w:t>
      </w:r>
      <w:r w:rsidRPr="004E01F0">
        <w:rPr>
          <w:rFonts w:ascii="Times New Roman" w:hAnsi="Times New Roman" w:cs="Times New Roman"/>
        </w:rPr>
        <w:t xml:space="preserve"> based on their related risks — that is, a risk-based regulatory approach that would stem from the size, complexity, and system impact of the NBFI. </w:t>
      </w:r>
    </w:p>
    <w:p w14:paraId="5944CE84" w14:textId="77777777" w:rsidR="00914DA6" w:rsidRPr="004E01F0" w:rsidRDefault="00C91209" w:rsidP="004E01F0">
      <w:pPr>
        <w:spacing w:line="360" w:lineRule="auto"/>
        <w:jc w:val="both"/>
        <w:rPr>
          <w:rFonts w:ascii="Times New Roman" w:hAnsi="Times New Roman" w:cs="Times New Roman"/>
        </w:rPr>
      </w:pPr>
      <w:r w:rsidRPr="004E01F0">
        <w:rPr>
          <w:rFonts w:ascii="Times New Roman" w:hAnsi="Times New Roman" w:cs="Times New Roman"/>
        </w:rPr>
        <w:t>The regulatory</w:t>
      </w:r>
      <w:r w:rsidR="00E7037A" w:rsidRPr="004E01F0">
        <w:rPr>
          <w:rFonts w:ascii="Times New Roman" w:hAnsi="Times New Roman" w:cs="Times New Roman"/>
        </w:rPr>
        <w:t xml:space="preserve"> </w:t>
      </w:r>
      <w:r w:rsidRPr="004E01F0">
        <w:rPr>
          <w:rFonts w:ascii="Times New Roman" w:hAnsi="Times New Roman" w:cs="Times New Roman"/>
        </w:rPr>
        <w:t>body</w:t>
      </w:r>
      <w:r w:rsidR="003A6DBC" w:rsidRPr="004E01F0">
        <w:rPr>
          <w:rFonts w:ascii="Times New Roman" w:hAnsi="Times New Roman" w:cs="Times New Roman"/>
        </w:rPr>
        <w:t xml:space="preserve"> for NBFIs </w:t>
      </w:r>
      <w:r w:rsidR="00914DA6" w:rsidRPr="004E01F0">
        <w:rPr>
          <w:rFonts w:ascii="Times New Roman" w:hAnsi="Times New Roman" w:cs="Times New Roman"/>
        </w:rPr>
        <w:t>in some countries</w:t>
      </w:r>
    </w:p>
    <w:p w14:paraId="275B06D8" w14:textId="4C291EB3" w:rsidR="00C91209" w:rsidRPr="004E01F0" w:rsidRDefault="00914DA6" w:rsidP="004E01F0">
      <w:pPr>
        <w:pStyle w:val="ListParagraph"/>
        <w:numPr>
          <w:ilvl w:val="0"/>
          <w:numId w:val="1"/>
        </w:numPr>
        <w:spacing w:line="360" w:lineRule="auto"/>
        <w:jc w:val="both"/>
        <w:rPr>
          <w:rFonts w:ascii="Times New Roman" w:hAnsi="Times New Roman" w:cs="Times New Roman"/>
        </w:rPr>
      </w:pPr>
      <w:r w:rsidRPr="004E01F0">
        <w:rPr>
          <w:rFonts w:ascii="Times New Roman" w:hAnsi="Times New Roman" w:cs="Times New Roman"/>
        </w:rPr>
        <w:t xml:space="preserve">The </w:t>
      </w:r>
      <w:r w:rsidR="0007481D" w:rsidRPr="004E01F0">
        <w:rPr>
          <w:rFonts w:ascii="Times New Roman" w:hAnsi="Times New Roman" w:cs="Times New Roman"/>
        </w:rPr>
        <w:t xml:space="preserve">United Kingdom </w:t>
      </w:r>
      <w:r w:rsidRPr="004E01F0">
        <w:rPr>
          <w:rFonts w:ascii="Times New Roman" w:hAnsi="Times New Roman" w:cs="Times New Roman"/>
        </w:rPr>
        <w:t>-</w:t>
      </w:r>
      <w:r w:rsidR="0007481D" w:rsidRPr="004E01F0">
        <w:rPr>
          <w:rFonts w:ascii="Times New Roman" w:hAnsi="Times New Roman" w:cs="Times New Roman"/>
        </w:rPr>
        <w:t xml:space="preserve"> </w:t>
      </w:r>
      <w:r w:rsidR="00C91209" w:rsidRPr="004E01F0">
        <w:rPr>
          <w:rFonts w:ascii="Times New Roman" w:hAnsi="Times New Roman" w:cs="Times New Roman"/>
        </w:rPr>
        <w:t xml:space="preserve">the </w:t>
      </w:r>
      <w:r w:rsidR="0007481D" w:rsidRPr="004E01F0">
        <w:rPr>
          <w:rFonts w:ascii="Times New Roman" w:hAnsi="Times New Roman" w:cs="Times New Roman"/>
        </w:rPr>
        <w:t>F</w:t>
      </w:r>
      <w:r w:rsidR="00C91209" w:rsidRPr="004E01F0">
        <w:rPr>
          <w:rFonts w:ascii="Times New Roman" w:hAnsi="Times New Roman" w:cs="Times New Roman"/>
        </w:rPr>
        <w:t xml:space="preserve">SA (Financial </w:t>
      </w:r>
      <w:r w:rsidRPr="004E01F0">
        <w:rPr>
          <w:rFonts w:ascii="Times New Roman" w:hAnsi="Times New Roman" w:cs="Times New Roman"/>
        </w:rPr>
        <w:t>Services</w:t>
      </w:r>
      <w:r w:rsidR="00C91209" w:rsidRPr="004E01F0">
        <w:rPr>
          <w:rFonts w:ascii="Times New Roman" w:hAnsi="Times New Roman" w:cs="Times New Roman"/>
        </w:rPr>
        <w:t xml:space="preserve"> Authority)</w:t>
      </w:r>
      <w:r w:rsidR="00040879" w:rsidRPr="004E01F0">
        <w:rPr>
          <w:rStyle w:val="FootnoteReference"/>
          <w:rFonts w:ascii="Times New Roman" w:hAnsi="Times New Roman" w:cs="Times New Roman"/>
        </w:rPr>
        <w:footnoteReference w:id="1"/>
      </w:r>
    </w:p>
    <w:p w14:paraId="62BF9073" w14:textId="6F9B43D2" w:rsidR="00914DA6" w:rsidRPr="004E01F0" w:rsidRDefault="00914DA6" w:rsidP="004E01F0">
      <w:pPr>
        <w:pStyle w:val="ListParagraph"/>
        <w:numPr>
          <w:ilvl w:val="0"/>
          <w:numId w:val="1"/>
        </w:numPr>
        <w:spacing w:line="360" w:lineRule="auto"/>
        <w:jc w:val="both"/>
        <w:rPr>
          <w:rFonts w:ascii="Times New Roman" w:hAnsi="Times New Roman" w:cs="Times New Roman"/>
        </w:rPr>
      </w:pPr>
      <w:r w:rsidRPr="004E01F0">
        <w:rPr>
          <w:rFonts w:ascii="Times New Roman" w:hAnsi="Times New Roman" w:cs="Times New Roman"/>
        </w:rPr>
        <w:t>Australia- Twin regulators</w:t>
      </w:r>
      <w:r w:rsidR="00101126" w:rsidRPr="004E01F0">
        <w:rPr>
          <w:rFonts w:ascii="Times New Roman" w:hAnsi="Times New Roman" w:cs="Times New Roman"/>
        </w:rPr>
        <w:t>,</w:t>
      </w:r>
      <w:r w:rsidRPr="004E01F0">
        <w:rPr>
          <w:rFonts w:ascii="Times New Roman" w:hAnsi="Times New Roman" w:cs="Times New Roman"/>
        </w:rPr>
        <w:t xml:space="preserve"> ASIC &amp; </w:t>
      </w:r>
      <w:r w:rsidR="00101126" w:rsidRPr="004E01F0">
        <w:rPr>
          <w:rFonts w:ascii="Times New Roman" w:hAnsi="Times New Roman" w:cs="Times New Roman"/>
        </w:rPr>
        <w:t>APRA</w:t>
      </w:r>
      <w:r w:rsidR="00B5575E" w:rsidRPr="004E01F0">
        <w:rPr>
          <w:rStyle w:val="FootnoteReference"/>
          <w:rFonts w:ascii="Times New Roman" w:hAnsi="Times New Roman" w:cs="Times New Roman"/>
        </w:rPr>
        <w:footnoteReference w:id="2"/>
      </w:r>
    </w:p>
    <w:p w14:paraId="2D1D0BAB" w14:textId="49E5ACE4" w:rsidR="00101126" w:rsidRPr="004E01F0" w:rsidRDefault="00101126" w:rsidP="004E01F0">
      <w:pPr>
        <w:pStyle w:val="ListParagraph"/>
        <w:numPr>
          <w:ilvl w:val="0"/>
          <w:numId w:val="1"/>
        </w:numPr>
        <w:spacing w:line="360" w:lineRule="auto"/>
        <w:jc w:val="both"/>
        <w:rPr>
          <w:rFonts w:ascii="Times New Roman" w:hAnsi="Times New Roman" w:cs="Times New Roman"/>
        </w:rPr>
      </w:pPr>
      <w:r w:rsidRPr="004E01F0">
        <w:rPr>
          <w:rFonts w:ascii="Times New Roman" w:hAnsi="Times New Roman" w:cs="Times New Roman"/>
        </w:rPr>
        <w:t>S</w:t>
      </w:r>
      <w:r w:rsidR="00310576" w:rsidRPr="004E01F0">
        <w:rPr>
          <w:rFonts w:ascii="Times New Roman" w:hAnsi="Times New Roman" w:cs="Times New Roman"/>
        </w:rPr>
        <w:t>ingapore: Monetary Authority of Singapore (MAS)</w:t>
      </w:r>
      <w:r w:rsidR="00D70D49" w:rsidRPr="004E01F0">
        <w:rPr>
          <w:rStyle w:val="FootnoteReference"/>
          <w:rFonts w:ascii="Times New Roman" w:hAnsi="Times New Roman" w:cs="Times New Roman"/>
        </w:rPr>
        <w:footnoteReference w:id="3"/>
      </w:r>
    </w:p>
    <w:p w14:paraId="45CE69CE" w14:textId="66AA88E2" w:rsidR="00310576" w:rsidRPr="004E01F0" w:rsidRDefault="00921B2C" w:rsidP="004E01F0">
      <w:pPr>
        <w:pStyle w:val="ListParagraph"/>
        <w:numPr>
          <w:ilvl w:val="0"/>
          <w:numId w:val="1"/>
        </w:numPr>
        <w:spacing w:line="360" w:lineRule="auto"/>
        <w:jc w:val="both"/>
        <w:rPr>
          <w:rFonts w:ascii="Times New Roman" w:hAnsi="Times New Roman" w:cs="Times New Roman"/>
        </w:rPr>
      </w:pPr>
      <w:r w:rsidRPr="004E01F0">
        <w:rPr>
          <w:rFonts w:ascii="Times New Roman" w:hAnsi="Times New Roman" w:cs="Times New Roman"/>
        </w:rPr>
        <w:t xml:space="preserve">India: </w:t>
      </w:r>
      <w:r w:rsidR="00C3319F">
        <w:rPr>
          <w:rFonts w:ascii="Times New Roman" w:hAnsi="Times New Roman" w:cs="Times New Roman"/>
        </w:rPr>
        <w:t xml:space="preserve"> </w:t>
      </w:r>
      <w:r w:rsidRPr="004E01F0">
        <w:rPr>
          <w:rFonts w:ascii="Times New Roman" w:hAnsi="Times New Roman" w:cs="Times New Roman"/>
        </w:rPr>
        <w:t>Reserve Bank of India (RBI)</w:t>
      </w:r>
      <w:r w:rsidR="004A201F" w:rsidRPr="004E01F0">
        <w:rPr>
          <w:rStyle w:val="FootnoteReference"/>
          <w:rFonts w:ascii="Times New Roman" w:hAnsi="Times New Roman" w:cs="Times New Roman"/>
        </w:rPr>
        <w:footnoteReference w:id="4"/>
      </w:r>
    </w:p>
    <w:p w14:paraId="4D26FAAE" w14:textId="0A3D63A8" w:rsidR="009156D3" w:rsidRPr="004E01F0" w:rsidRDefault="00EF65F3" w:rsidP="004E01F0">
      <w:pPr>
        <w:pStyle w:val="ListParagraph"/>
        <w:numPr>
          <w:ilvl w:val="0"/>
          <w:numId w:val="1"/>
        </w:numPr>
        <w:spacing w:line="360" w:lineRule="auto"/>
        <w:jc w:val="both"/>
        <w:rPr>
          <w:rFonts w:ascii="Times New Roman" w:hAnsi="Times New Roman" w:cs="Times New Roman"/>
        </w:rPr>
      </w:pPr>
      <w:r w:rsidRPr="004E01F0">
        <w:rPr>
          <w:rFonts w:ascii="Times New Roman" w:hAnsi="Times New Roman" w:cs="Times New Roman"/>
        </w:rPr>
        <w:lastRenderedPageBreak/>
        <w:t xml:space="preserve">United </w:t>
      </w:r>
      <w:r w:rsidR="00363D36" w:rsidRPr="004E01F0">
        <w:rPr>
          <w:rFonts w:ascii="Times New Roman" w:hAnsi="Times New Roman" w:cs="Times New Roman"/>
        </w:rPr>
        <w:t xml:space="preserve">States: </w:t>
      </w:r>
      <w:r w:rsidR="00813D05" w:rsidRPr="004E01F0">
        <w:rPr>
          <w:rFonts w:ascii="Times New Roman" w:hAnsi="Times New Roman" w:cs="Times New Roman"/>
        </w:rPr>
        <w:t>The principal</w:t>
      </w:r>
      <w:r w:rsidR="00363D36" w:rsidRPr="004E01F0">
        <w:rPr>
          <w:rFonts w:ascii="Times New Roman" w:hAnsi="Times New Roman" w:cs="Times New Roman"/>
        </w:rPr>
        <w:t xml:space="preserve"> regulatory authorities of its financial system such as </w:t>
      </w:r>
      <w:r w:rsidR="00813D05" w:rsidRPr="004E01F0">
        <w:rPr>
          <w:rFonts w:ascii="Times New Roman" w:hAnsi="Times New Roman" w:cs="Times New Roman"/>
        </w:rPr>
        <w:t xml:space="preserve">the </w:t>
      </w:r>
      <w:r w:rsidR="00363D36" w:rsidRPr="004E01F0">
        <w:rPr>
          <w:rFonts w:ascii="Times New Roman" w:hAnsi="Times New Roman" w:cs="Times New Roman"/>
        </w:rPr>
        <w:t>SEC. CFTC, OCC, FDIC, NCUA, OTS</w:t>
      </w:r>
      <w:r w:rsidR="00813D05" w:rsidRPr="004E01F0">
        <w:rPr>
          <w:rFonts w:ascii="Times New Roman" w:hAnsi="Times New Roman" w:cs="Times New Roman"/>
        </w:rPr>
        <w:t>, Federal Reserve System and State Banking and Insurance Commissions.</w:t>
      </w:r>
    </w:p>
    <w:p w14:paraId="2D0C134E" w14:textId="77777777" w:rsidR="002056CC" w:rsidRPr="004E01F0" w:rsidRDefault="002056CC" w:rsidP="004E01F0">
      <w:pPr>
        <w:spacing w:line="360" w:lineRule="auto"/>
        <w:jc w:val="both"/>
        <w:rPr>
          <w:rFonts w:ascii="Times New Roman" w:hAnsi="Times New Roman" w:cs="Times New Roman"/>
          <w:b/>
          <w:bCs/>
          <w:u w:val="single"/>
        </w:rPr>
      </w:pPr>
    </w:p>
    <w:p w14:paraId="2484D60F" w14:textId="0D802A5B" w:rsidR="002056CC" w:rsidRPr="004E01F0" w:rsidRDefault="002056CC" w:rsidP="004E01F0">
      <w:pPr>
        <w:spacing w:line="360" w:lineRule="auto"/>
        <w:jc w:val="both"/>
        <w:rPr>
          <w:rFonts w:ascii="Times New Roman" w:hAnsi="Times New Roman" w:cs="Times New Roman"/>
          <w:b/>
          <w:bCs/>
          <w:u w:val="single"/>
        </w:rPr>
      </w:pPr>
      <w:r w:rsidRPr="004E01F0">
        <w:rPr>
          <w:rFonts w:ascii="Times New Roman" w:hAnsi="Times New Roman" w:cs="Times New Roman"/>
          <w:b/>
          <w:bCs/>
          <w:u w:val="single"/>
        </w:rPr>
        <w:t>Evolution of NBFCs- Indian Perspective:</w:t>
      </w:r>
    </w:p>
    <w:p w14:paraId="6D404DB2" w14:textId="2472D3C8" w:rsidR="003B3CFF" w:rsidRPr="004E01F0" w:rsidRDefault="003B3CFF" w:rsidP="004E01F0">
      <w:pPr>
        <w:spacing w:line="360" w:lineRule="auto"/>
        <w:jc w:val="both"/>
        <w:rPr>
          <w:rFonts w:ascii="Times New Roman" w:hAnsi="Times New Roman" w:cs="Times New Roman"/>
        </w:rPr>
      </w:pPr>
      <w:r w:rsidRPr="004E01F0">
        <w:rPr>
          <w:rFonts w:ascii="Times New Roman" w:hAnsi="Times New Roman" w:cs="Times New Roman"/>
        </w:rPr>
        <w:t xml:space="preserve">NBFCs began to thrive in India in the 1980s because of a regulated banking system with </w:t>
      </w:r>
      <w:r w:rsidR="00B31C1A" w:rsidRPr="004E01F0">
        <w:rPr>
          <w:rFonts w:ascii="Times New Roman" w:hAnsi="Times New Roman" w:cs="Times New Roman"/>
        </w:rPr>
        <w:t>few</w:t>
      </w:r>
      <w:r w:rsidRPr="004E01F0">
        <w:rPr>
          <w:rFonts w:ascii="Times New Roman" w:hAnsi="Times New Roman" w:cs="Times New Roman"/>
        </w:rPr>
        <w:t xml:space="preserve"> market entry barriers and a simplified sanction process. Although these factors positively contributed to growth, mismanagement and over-reliance on unsecured public deposits resulted in risk-taking lending behaviour. To service their very </w:t>
      </w:r>
      <w:r w:rsidR="00B31C1A" w:rsidRPr="004E01F0">
        <w:rPr>
          <w:rFonts w:ascii="Times New Roman" w:hAnsi="Times New Roman" w:cs="Times New Roman"/>
        </w:rPr>
        <w:t>high-cost</w:t>
      </w:r>
      <w:r w:rsidRPr="004E01F0">
        <w:rPr>
          <w:rFonts w:ascii="Times New Roman" w:hAnsi="Times New Roman" w:cs="Times New Roman"/>
        </w:rPr>
        <w:t xml:space="preserve"> deposit portfolios, some NBFCs lent without structure to high-return, high-risk assets that created insecurity with depositors and the financial system.</w:t>
      </w:r>
    </w:p>
    <w:p w14:paraId="3319656E" w14:textId="76568AF6" w:rsidR="00D517A7" w:rsidRPr="004E01F0" w:rsidRDefault="00021F72" w:rsidP="004E01F0">
      <w:pPr>
        <w:spacing w:line="360" w:lineRule="auto"/>
        <w:jc w:val="both"/>
        <w:rPr>
          <w:rFonts w:ascii="Times New Roman" w:hAnsi="Times New Roman" w:cs="Times New Roman"/>
        </w:rPr>
      </w:pPr>
      <w:r w:rsidRPr="004E01F0">
        <w:rPr>
          <w:rFonts w:ascii="Times New Roman" w:hAnsi="Times New Roman" w:cs="Times New Roman"/>
        </w:rPr>
        <w:t xml:space="preserve">The RBI Act 1934 was further modified in 1964 to extend its jurisdiction to include deposit-accepting institutions. </w:t>
      </w:r>
      <w:r w:rsidR="00207525" w:rsidRPr="004E01F0">
        <w:rPr>
          <w:rFonts w:ascii="Times New Roman" w:hAnsi="Times New Roman" w:cs="Times New Roman"/>
        </w:rPr>
        <w:t xml:space="preserve">The </w:t>
      </w:r>
      <w:r w:rsidR="00971964" w:rsidRPr="004E01F0">
        <w:rPr>
          <w:rFonts w:ascii="Times New Roman" w:hAnsi="Times New Roman" w:cs="Times New Roman"/>
        </w:rPr>
        <w:t xml:space="preserve">Regulation of </w:t>
      </w:r>
      <w:r w:rsidR="00980324" w:rsidRPr="004E01F0">
        <w:rPr>
          <w:rFonts w:ascii="Times New Roman" w:hAnsi="Times New Roman" w:cs="Times New Roman"/>
        </w:rPr>
        <w:t>Companies</w:t>
      </w:r>
      <w:r w:rsidR="00971964" w:rsidRPr="004E01F0">
        <w:rPr>
          <w:rFonts w:ascii="Times New Roman" w:hAnsi="Times New Roman" w:cs="Times New Roman"/>
        </w:rPr>
        <w:t xml:space="preserve"> </w:t>
      </w:r>
      <w:r w:rsidR="00980324" w:rsidRPr="004E01F0">
        <w:rPr>
          <w:rFonts w:ascii="Times New Roman" w:hAnsi="Times New Roman" w:cs="Times New Roman"/>
        </w:rPr>
        <w:t>was empowered to regulate the provision</w:t>
      </w:r>
      <w:r w:rsidR="00207525" w:rsidRPr="004E01F0">
        <w:rPr>
          <w:rFonts w:ascii="Times New Roman" w:hAnsi="Times New Roman" w:cs="Times New Roman"/>
        </w:rPr>
        <w:t xml:space="preserve"> </w:t>
      </w:r>
      <w:r w:rsidR="00980324" w:rsidRPr="004E01F0">
        <w:rPr>
          <w:rFonts w:ascii="Times New Roman" w:hAnsi="Times New Roman" w:cs="Times New Roman"/>
        </w:rPr>
        <w:t xml:space="preserve">of </w:t>
      </w:r>
      <w:r w:rsidR="00971964" w:rsidRPr="004E01F0">
        <w:rPr>
          <w:rFonts w:ascii="Times New Roman" w:hAnsi="Times New Roman" w:cs="Times New Roman"/>
        </w:rPr>
        <w:t xml:space="preserve">deposits via the Companies (Acceptance of Deposits) Rules, 1975. </w:t>
      </w:r>
      <w:r w:rsidR="003B3CFF" w:rsidRPr="004E01F0">
        <w:rPr>
          <w:rFonts w:ascii="Times New Roman" w:hAnsi="Times New Roman" w:cs="Times New Roman"/>
        </w:rPr>
        <w:t>Non-Banking Companies (Reserve Bank) Directions, 1977, and section 58A of the Companies Act 1956</w:t>
      </w:r>
      <w:r w:rsidR="001F31A8">
        <w:rPr>
          <w:rStyle w:val="FootnoteReference"/>
          <w:rFonts w:ascii="Times New Roman" w:hAnsi="Times New Roman" w:cs="Times New Roman"/>
        </w:rPr>
        <w:footnoteReference w:id="5"/>
      </w:r>
      <w:r w:rsidR="00207525" w:rsidRPr="004E01F0">
        <w:rPr>
          <w:rFonts w:ascii="Times New Roman" w:hAnsi="Times New Roman" w:cs="Times New Roman"/>
        </w:rPr>
        <w:t>.</w:t>
      </w:r>
      <w:r w:rsidR="003B3CFF" w:rsidRPr="004E01F0">
        <w:rPr>
          <w:rFonts w:ascii="Times New Roman" w:hAnsi="Times New Roman" w:cs="Times New Roman"/>
        </w:rPr>
        <w:t xml:space="preserve"> The RBI Act was </w:t>
      </w:r>
      <w:r w:rsidR="007735A2" w:rsidRPr="004E01F0">
        <w:rPr>
          <w:rFonts w:ascii="Times New Roman" w:hAnsi="Times New Roman" w:cs="Times New Roman"/>
        </w:rPr>
        <w:t xml:space="preserve">additionally </w:t>
      </w:r>
      <w:r w:rsidR="003B3CFF" w:rsidRPr="004E01F0">
        <w:rPr>
          <w:rFonts w:ascii="Times New Roman" w:hAnsi="Times New Roman" w:cs="Times New Roman"/>
        </w:rPr>
        <w:t>amended in 1997 to provide better governance</w:t>
      </w:r>
      <w:r w:rsidR="00346B3A" w:rsidRPr="004E01F0">
        <w:rPr>
          <w:rFonts w:ascii="Times New Roman" w:hAnsi="Times New Roman" w:cs="Times New Roman"/>
        </w:rPr>
        <w:t xml:space="preserve"> and regulatory oversight </w:t>
      </w:r>
      <w:r w:rsidR="003B3CFF" w:rsidRPr="004E01F0">
        <w:rPr>
          <w:rFonts w:ascii="Times New Roman" w:hAnsi="Times New Roman" w:cs="Times New Roman"/>
        </w:rPr>
        <w:t xml:space="preserve">to NBFCs and </w:t>
      </w:r>
      <w:r w:rsidR="00346B3A" w:rsidRPr="004E01F0">
        <w:rPr>
          <w:rFonts w:ascii="Times New Roman" w:hAnsi="Times New Roman" w:cs="Times New Roman"/>
        </w:rPr>
        <w:t>to require</w:t>
      </w:r>
      <w:r w:rsidR="003B3CFF" w:rsidRPr="004E01F0">
        <w:rPr>
          <w:rFonts w:ascii="Times New Roman" w:hAnsi="Times New Roman" w:cs="Times New Roman"/>
        </w:rPr>
        <w:t xml:space="preserve"> registration and compliance with accounting norms</w:t>
      </w:r>
      <w:r w:rsidR="00E84F11">
        <w:rPr>
          <w:rStyle w:val="FootnoteReference"/>
          <w:rFonts w:ascii="Times New Roman" w:hAnsi="Times New Roman" w:cs="Times New Roman"/>
        </w:rPr>
        <w:footnoteReference w:id="6"/>
      </w:r>
      <w:r w:rsidR="00346B3A" w:rsidRPr="004E01F0">
        <w:rPr>
          <w:rFonts w:ascii="Times New Roman" w:hAnsi="Times New Roman" w:cs="Times New Roman"/>
        </w:rPr>
        <w:t xml:space="preserve">. </w:t>
      </w:r>
      <w:r w:rsidR="003B3CFF" w:rsidRPr="004E01F0">
        <w:rPr>
          <w:rFonts w:ascii="Times New Roman" w:hAnsi="Times New Roman" w:cs="Times New Roman"/>
        </w:rPr>
        <w:t xml:space="preserve">Once the NBFCs were registered as non-banking financial institutions, they were also required to comply with the </w:t>
      </w:r>
      <w:r w:rsidR="00B44C27" w:rsidRPr="004E01F0">
        <w:rPr>
          <w:rFonts w:ascii="Times New Roman" w:hAnsi="Times New Roman" w:cs="Times New Roman"/>
        </w:rPr>
        <w:t>division</w:t>
      </w:r>
      <w:r w:rsidR="003B3CFF" w:rsidRPr="004E01F0">
        <w:rPr>
          <w:rFonts w:ascii="Times New Roman" w:hAnsi="Times New Roman" w:cs="Times New Roman"/>
        </w:rPr>
        <w:t xml:space="preserve"> of all NBFCs into three </w:t>
      </w:r>
      <w:r w:rsidR="00D517A7" w:rsidRPr="004E01F0">
        <w:rPr>
          <w:rFonts w:ascii="Times New Roman" w:hAnsi="Times New Roman" w:cs="Times New Roman"/>
        </w:rPr>
        <w:t>c</w:t>
      </w:r>
      <w:r w:rsidR="00D517A7" w:rsidRPr="004E01F0">
        <w:rPr>
          <w:rFonts w:ascii="Times New Roman" w:hAnsi="Times New Roman" w:cs="Times New Roman"/>
        </w:rPr>
        <w:t>ategories of deposit-taking, non-deposit-taking, and core investment companies</w:t>
      </w:r>
      <w:r w:rsidR="00D517A7" w:rsidRPr="004E01F0">
        <w:rPr>
          <w:rFonts w:ascii="Times New Roman" w:hAnsi="Times New Roman" w:cs="Times New Roman"/>
        </w:rPr>
        <w:t>.</w:t>
      </w:r>
    </w:p>
    <w:p w14:paraId="3992E761" w14:textId="123564F9" w:rsidR="00EA41E6" w:rsidRPr="004E01F0" w:rsidRDefault="003B3CFF" w:rsidP="004E01F0">
      <w:pPr>
        <w:spacing w:line="360" w:lineRule="auto"/>
        <w:jc w:val="both"/>
        <w:rPr>
          <w:rFonts w:ascii="Times New Roman" w:hAnsi="Times New Roman" w:cs="Times New Roman"/>
        </w:rPr>
      </w:pPr>
      <w:r w:rsidRPr="004E01F0">
        <w:rPr>
          <w:rFonts w:ascii="Times New Roman" w:hAnsi="Times New Roman" w:cs="Times New Roman"/>
        </w:rPr>
        <w:t>Numerous committees played important roles in shaping NBFC regulations. The James Raj Committee (1974)</w:t>
      </w:r>
      <w:r w:rsidR="00931D6F">
        <w:rPr>
          <w:rStyle w:val="FootnoteReference"/>
          <w:rFonts w:ascii="Times New Roman" w:hAnsi="Times New Roman" w:cs="Times New Roman"/>
        </w:rPr>
        <w:footnoteReference w:id="7"/>
      </w:r>
      <w:r w:rsidRPr="004E01F0">
        <w:rPr>
          <w:rFonts w:ascii="Times New Roman" w:hAnsi="Times New Roman" w:cs="Times New Roman"/>
        </w:rPr>
        <w:t xml:space="preserve"> led to a ban on money circulation schemes. The Chakravarty (1984)</w:t>
      </w:r>
      <w:r w:rsidR="00BF2C99">
        <w:rPr>
          <w:rStyle w:val="FootnoteReference"/>
          <w:rFonts w:ascii="Times New Roman" w:hAnsi="Times New Roman" w:cs="Times New Roman"/>
        </w:rPr>
        <w:footnoteReference w:id="8"/>
      </w:r>
      <w:r w:rsidRPr="004E01F0">
        <w:rPr>
          <w:rFonts w:ascii="Times New Roman" w:hAnsi="Times New Roman" w:cs="Times New Roman"/>
        </w:rPr>
        <w:t xml:space="preserve"> and </w:t>
      </w:r>
      <w:proofErr w:type="spellStart"/>
      <w:r w:rsidRPr="004E01F0">
        <w:rPr>
          <w:rFonts w:ascii="Times New Roman" w:hAnsi="Times New Roman" w:cs="Times New Roman"/>
        </w:rPr>
        <w:t>Vaghul</w:t>
      </w:r>
      <w:proofErr w:type="spellEnd"/>
      <w:r w:rsidRPr="004E01F0">
        <w:rPr>
          <w:rFonts w:ascii="Times New Roman" w:hAnsi="Times New Roman" w:cs="Times New Roman"/>
        </w:rPr>
        <w:t xml:space="preserve"> (1987)</w:t>
      </w:r>
      <w:r w:rsidR="001D284F">
        <w:rPr>
          <w:rStyle w:val="FootnoteReference"/>
          <w:rFonts w:ascii="Times New Roman" w:hAnsi="Times New Roman" w:cs="Times New Roman"/>
        </w:rPr>
        <w:footnoteReference w:id="9"/>
      </w:r>
      <w:r w:rsidRPr="004E01F0">
        <w:rPr>
          <w:rFonts w:ascii="Times New Roman" w:hAnsi="Times New Roman" w:cs="Times New Roman"/>
        </w:rPr>
        <w:t xml:space="preserve"> Committees influenced reforms in monetary policy and money markets. The </w:t>
      </w:r>
      <w:r w:rsidRPr="004E01F0">
        <w:rPr>
          <w:rFonts w:ascii="Times New Roman" w:hAnsi="Times New Roman" w:cs="Times New Roman"/>
        </w:rPr>
        <w:lastRenderedPageBreak/>
        <w:t xml:space="preserve">reports released by the </w:t>
      </w:r>
      <w:proofErr w:type="spellStart"/>
      <w:r w:rsidRPr="004E01F0">
        <w:rPr>
          <w:rFonts w:ascii="Times New Roman" w:hAnsi="Times New Roman" w:cs="Times New Roman"/>
        </w:rPr>
        <w:t>Narasimham</w:t>
      </w:r>
      <w:proofErr w:type="spellEnd"/>
      <w:r w:rsidRPr="004E01F0">
        <w:rPr>
          <w:rFonts w:ascii="Times New Roman" w:hAnsi="Times New Roman" w:cs="Times New Roman"/>
        </w:rPr>
        <w:t xml:space="preserve"> Committee (1991)</w:t>
      </w:r>
      <w:r w:rsidR="00AD7302">
        <w:rPr>
          <w:rStyle w:val="FootnoteReference"/>
          <w:rFonts w:ascii="Times New Roman" w:hAnsi="Times New Roman" w:cs="Times New Roman"/>
        </w:rPr>
        <w:footnoteReference w:id="10"/>
      </w:r>
      <w:r w:rsidRPr="004E01F0">
        <w:rPr>
          <w:rFonts w:ascii="Times New Roman" w:hAnsi="Times New Roman" w:cs="Times New Roman"/>
        </w:rPr>
        <w:t xml:space="preserve"> and Shah Committee (1992)</w:t>
      </w:r>
      <w:r w:rsidR="00967C39">
        <w:rPr>
          <w:rStyle w:val="FootnoteReference"/>
          <w:rFonts w:ascii="Times New Roman" w:hAnsi="Times New Roman" w:cs="Times New Roman"/>
        </w:rPr>
        <w:footnoteReference w:id="11"/>
      </w:r>
      <w:r w:rsidRPr="004E01F0">
        <w:rPr>
          <w:rFonts w:ascii="Times New Roman" w:hAnsi="Times New Roman" w:cs="Times New Roman"/>
        </w:rPr>
        <w:t xml:space="preserve"> enabled services by NBFCs to fall under the RBI regulatory umbrella.</w:t>
      </w:r>
    </w:p>
    <w:p w14:paraId="651177FE" w14:textId="616BBA05" w:rsidR="003B7C2F" w:rsidRPr="004E01F0" w:rsidRDefault="003B7C2F" w:rsidP="004E01F0">
      <w:pPr>
        <w:spacing w:line="360" w:lineRule="auto"/>
        <w:jc w:val="both"/>
        <w:rPr>
          <w:rFonts w:ascii="Times New Roman" w:hAnsi="Times New Roman" w:cs="Times New Roman"/>
          <w:b/>
          <w:bCs/>
          <w:u w:val="single"/>
        </w:rPr>
      </w:pPr>
      <w:r w:rsidRPr="004E01F0">
        <w:rPr>
          <w:rFonts w:ascii="Times New Roman" w:hAnsi="Times New Roman" w:cs="Times New Roman"/>
          <w:b/>
          <w:bCs/>
          <w:u w:val="single"/>
        </w:rPr>
        <w:t>NBFC under RBI Act:</w:t>
      </w:r>
    </w:p>
    <w:p w14:paraId="61D6C384" w14:textId="79203EAD" w:rsidR="009B4DD2" w:rsidRPr="004E01F0" w:rsidRDefault="00515115" w:rsidP="004E01F0">
      <w:pPr>
        <w:spacing w:line="360" w:lineRule="auto"/>
        <w:jc w:val="both"/>
        <w:rPr>
          <w:rFonts w:ascii="Times New Roman" w:hAnsi="Times New Roman" w:cs="Times New Roman"/>
        </w:rPr>
      </w:pPr>
      <w:r w:rsidRPr="004E01F0">
        <w:rPr>
          <w:rFonts w:ascii="Times New Roman" w:hAnsi="Times New Roman" w:cs="Times New Roman"/>
        </w:rPr>
        <w:t xml:space="preserve">Under Section 45-IA of the RBI Act, </w:t>
      </w:r>
      <w:r w:rsidR="00694F40" w:rsidRPr="004E01F0">
        <w:rPr>
          <w:rFonts w:ascii="Times New Roman" w:hAnsi="Times New Roman" w:cs="Times New Roman"/>
        </w:rPr>
        <w:t>1934</w:t>
      </w:r>
      <w:r w:rsidR="00694F40" w:rsidRPr="004E01F0">
        <w:rPr>
          <w:rFonts w:ascii="Times New Roman" w:hAnsi="Times New Roman" w:cs="Times New Roman"/>
        </w:rPr>
        <w:t xml:space="preserve">, </w:t>
      </w:r>
      <w:r w:rsidR="006B6278" w:rsidRPr="004E01F0">
        <w:rPr>
          <w:rFonts w:ascii="Times New Roman" w:hAnsi="Times New Roman" w:cs="Times New Roman"/>
        </w:rPr>
        <w:t xml:space="preserve">the </w:t>
      </w:r>
      <w:r w:rsidR="00777425" w:rsidRPr="004E01F0">
        <w:rPr>
          <w:rFonts w:ascii="Times New Roman" w:hAnsi="Times New Roman" w:cs="Times New Roman"/>
        </w:rPr>
        <w:t xml:space="preserve">business of </w:t>
      </w:r>
      <w:r w:rsidR="006B6278" w:rsidRPr="004E01F0">
        <w:rPr>
          <w:rFonts w:ascii="Times New Roman" w:hAnsi="Times New Roman" w:cs="Times New Roman"/>
        </w:rPr>
        <w:t xml:space="preserve">a </w:t>
      </w:r>
      <w:r w:rsidR="00777425" w:rsidRPr="004E01F0">
        <w:rPr>
          <w:rFonts w:ascii="Times New Roman" w:hAnsi="Times New Roman" w:cs="Times New Roman"/>
        </w:rPr>
        <w:t>non-banking</w:t>
      </w:r>
      <w:r w:rsidR="00777425" w:rsidRPr="004E01F0">
        <w:rPr>
          <w:rFonts w:ascii="Times New Roman" w:hAnsi="Times New Roman" w:cs="Times New Roman"/>
        </w:rPr>
        <w:t xml:space="preserve"> financial institution is defined</w:t>
      </w:r>
      <w:r w:rsidR="006B6278" w:rsidRPr="004E01F0">
        <w:rPr>
          <w:rFonts w:ascii="Times New Roman" w:hAnsi="Times New Roman" w:cs="Times New Roman"/>
        </w:rPr>
        <w:t>,</w:t>
      </w:r>
      <w:r w:rsidR="00777425" w:rsidRPr="004E01F0">
        <w:rPr>
          <w:rFonts w:ascii="Times New Roman" w:hAnsi="Times New Roman" w:cs="Times New Roman"/>
        </w:rPr>
        <w:t xml:space="preserve"> </w:t>
      </w:r>
      <w:r w:rsidR="00DF7EA0" w:rsidRPr="004E01F0">
        <w:rPr>
          <w:rFonts w:ascii="Times New Roman" w:hAnsi="Times New Roman" w:cs="Times New Roman"/>
        </w:rPr>
        <w:t xml:space="preserve">which includes </w:t>
      </w:r>
      <w:r w:rsidR="006B6278" w:rsidRPr="004E01F0">
        <w:rPr>
          <w:rFonts w:ascii="Times New Roman" w:hAnsi="Times New Roman" w:cs="Times New Roman"/>
        </w:rPr>
        <w:t>both</w:t>
      </w:r>
      <w:r w:rsidR="00DF7EA0" w:rsidRPr="004E01F0">
        <w:rPr>
          <w:rFonts w:ascii="Times New Roman" w:hAnsi="Times New Roman" w:cs="Times New Roman"/>
        </w:rPr>
        <w:t xml:space="preserve"> financial </w:t>
      </w:r>
      <w:r w:rsidR="006B6278" w:rsidRPr="004E01F0">
        <w:rPr>
          <w:rFonts w:ascii="Times New Roman" w:hAnsi="Times New Roman" w:cs="Times New Roman"/>
        </w:rPr>
        <w:t>institutions</w:t>
      </w:r>
      <w:r w:rsidR="00DF7EA0" w:rsidRPr="004E01F0">
        <w:rPr>
          <w:rFonts w:ascii="Times New Roman" w:hAnsi="Times New Roman" w:cs="Times New Roman"/>
        </w:rPr>
        <w:t xml:space="preserve"> (</w:t>
      </w:r>
      <w:r w:rsidR="006B6278" w:rsidRPr="004E01F0">
        <w:rPr>
          <w:rFonts w:ascii="Times New Roman" w:hAnsi="Times New Roman" w:cs="Times New Roman"/>
        </w:rPr>
        <w:t>Section 45-I(c)</w:t>
      </w:r>
      <w:r w:rsidR="006B6278" w:rsidRPr="004E01F0">
        <w:rPr>
          <w:rFonts w:ascii="Times New Roman" w:hAnsi="Times New Roman" w:cs="Times New Roman"/>
        </w:rPr>
        <w:t>) and non-banking financial institutions</w:t>
      </w:r>
      <w:r w:rsidR="00FE0B37" w:rsidRPr="004E01F0">
        <w:rPr>
          <w:rFonts w:ascii="Times New Roman" w:hAnsi="Times New Roman" w:cs="Times New Roman"/>
        </w:rPr>
        <w:t xml:space="preserve"> </w:t>
      </w:r>
      <w:r w:rsidR="00E87A60" w:rsidRPr="004E01F0">
        <w:rPr>
          <w:rFonts w:ascii="Times New Roman" w:hAnsi="Times New Roman" w:cs="Times New Roman"/>
        </w:rPr>
        <w:t>(</w:t>
      </w:r>
      <w:r w:rsidR="00FE0B37" w:rsidRPr="004E01F0">
        <w:rPr>
          <w:rFonts w:ascii="Times New Roman" w:hAnsi="Times New Roman" w:cs="Times New Roman"/>
        </w:rPr>
        <w:t>Section 45-I(f)</w:t>
      </w:r>
      <w:r w:rsidR="00FE0B37" w:rsidRPr="004E01F0">
        <w:rPr>
          <w:rFonts w:ascii="Times New Roman" w:hAnsi="Times New Roman" w:cs="Times New Roman"/>
        </w:rPr>
        <w:t>).</w:t>
      </w:r>
    </w:p>
    <w:p w14:paraId="18F5248E" w14:textId="77777777" w:rsidR="00B13909" w:rsidRPr="004E01F0" w:rsidRDefault="00B13909" w:rsidP="004E01F0">
      <w:pPr>
        <w:spacing w:line="360" w:lineRule="auto"/>
        <w:jc w:val="both"/>
        <w:rPr>
          <w:rFonts w:ascii="Times New Roman" w:hAnsi="Times New Roman" w:cs="Times New Roman"/>
          <w:u w:val="single"/>
        </w:rPr>
      </w:pPr>
      <w:r w:rsidRPr="004E01F0">
        <w:rPr>
          <w:rFonts w:ascii="Times New Roman" w:hAnsi="Times New Roman" w:cs="Times New Roman"/>
          <w:u w:val="single"/>
        </w:rPr>
        <w:t>1. Financial Institution (FI) [Section 45-I(c)]</w:t>
      </w:r>
    </w:p>
    <w:p w14:paraId="0F88265E" w14:textId="77777777" w:rsidR="00B13909" w:rsidRPr="004E01F0" w:rsidRDefault="00B13909" w:rsidP="004E01F0">
      <w:pPr>
        <w:pStyle w:val="ListParagraph"/>
        <w:spacing w:line="360" w:lineRule="auto"/>
        <w:jc w:val="both"/>
        <w:rPr>
          <w:rFonts w:ascii="Times New Roman" w:hAnsi="Times New Roman" w:cs="Times New Roman"/>
        </w:rPr>
      </w:pPr>
      <w:r w:rsidRPr="004E01F0">
        <w:rPr>
          <w:rFonts w:ascii="Times New Roman" w:hAnsi="Times New Roman" w:cs="Times New Roman"/>
        </w:rPr>
        <w:t>Financial Institution means any non-banking institution which is involved in any of the pathways below:</w:t>
      </w:r>
    </w:p>
    <w:p w14:paraId="3588CE02" w14:textId="77777777" w:rsidR="00B13909" w:rsidRPr="004E01F0" w:rsidRDefault="00B13909" w:rsidP="004E01F0">
      <w:pPr>
        <w:pStyle w:val="ListParagraph"/>
        <w:numPr>
          <w:ilvl w:val="0"/>
          <w:numId w:val="3"/>
        </w:numPr>
        <w:spacing w:line="360" w:lineRule="auto"/>
        <w:jc w:val="both"/>
        <w:rPr>
          <w:rFonts w:ascii="Times New Roman" w:hAnsi="Times New Roman" w:cs="Times New Roman"/>
        </w:rPr>
      </w:pPr>
      <w:r w:rsidRPr="004E01F0">
        <w:rPr>
          <w:rFonts w:ascii="Times New Roman" w:hAnsi="Times New Roman" w:cs="Times New Roman"/>
        </w:rPr>
        <w:t>Lending or financing (with the exception of conducting any transactions for its own business)</w:t>
      </w:r>
    </w:p>
    <w:p w14:paraId="2E50D3BD" w14:textId="77777777" w:rsidR="00B13909" w:rsidRPr="004E01F0" w:rsidRDefault="00B13909" w:rsidP="004E01F0">
      <w:pPr>
        <w:pStyle w:val="ListParagraph"/>
        <w:numPr>
          <w:ilvl w:val="0"/>
          <w:numId w:val="3"/>
        </w:numPr>
        <w:spacing w:line="360" w:lineRule="auto"/>
        <w:jc w:val="both"/>
        <w:rPr>
          <w:rFonts w:ascii="Times New Roman" w:hAnsi="Times New Roman" w:cs="Times New Roman"/>
        </w:rPr>
      </w:pPr>
      <w:r w:rsidRPr="004E01F0">
        <w:rPr>
          <w:rFonts w:ascii="Times New Roman" w:hAnsi="Times New Roman" w:cs="Times New Roman"/>
        </w:rPr>
        <w:t>Investing in stocks, bonds, or government issued instruments</w:t>
      </w:r>
    </w:p>
    <w:p w14:paraId="0F2F8A72" w14:textId="77777777" w:rsidR="00B13909" w:rsidRPr="004E01F0" w:rsidRDefault="00B13909" w:rsidP="004E01F0">
      <w:pPr>
        <w:pStyle w:val="ListParagraph"/>
        <w:numPr>
          <w:ilvl w:val="0"/>
          <w:numId w:val="3"/>
        </w:numPr>
        <w:spacing w:line="360" w:lineRule="auto"/>
        <w:jc w:val="both"/>
        <w:rPr>
          <w:rFonts w:ascii="Times New Roman" w:hAnsi="Times New Roman" w:cs="Times New Roman"/>
        </w:rPr>
      </w:pPr>
      <w:r w:rsidRPr="004E01F0">
        <w:rPr>
          <w:rFonts w:ascii="Times New Roman" w:hAnsi="Times New Roman" w:cs="Times New Roman"/>
        </w:rPr>
        <w:t>Hire-purchas</w:t>
      </w:r>
      <w:r w:rsidRPr="004E01F0">
        <w:rPr>
          <w:rFonts w:ascii="Times New Roman" w:hAnsi="Times New Roman" w:cs="Times New Roman"/>
        </w:rPr>
        <w:t>e</w:t>
      </w:r>
    </w:p>
    <w:p w14:paraId="35E3E9DA" w14:textId="77777777" w:rsidR="00B13909" w:rsidRPr="004E01F0" w:rsidRDefault="00B13909" w:rsidP="004E01F0">
      <w:pPr>
        <w:pStyle w:val="ListParagraph"/>
        <w:numPr>
          <w:ilvl w:val="0"/>
          <w:numId w:val="3"/>
        </w:numPr>
        <w:spacing w:line="360" w:lineRule="auto"/>
        <w:jc w:val="both"/>
        <w:rPr>
          <w:rFonts w:ascii="Times New Roman" w:hAnsi="Times New Roman" w:cs="Times New Roman"/>
        </w:rPr>
      </w:pPr>
      <w:r w:rsidRPr="004E01F0">
        <w:rPr>
          <w:rFonts w:ascii="Times New Roman" w:hAnsi="Times New Roman" w:cs="Times New Roman"/>
        </w:rPr>
        <w:t>Insurance</w:t>
      </w:r>
    </w:p>
    <w:p w14:paraId="3BF174F6" w14:textId="77777777" w:rsidR="00B13909" w:rsidRPr="004E01F0" w:rsidRDefault="00B13909" w:rsidP="004E01F0">
      <w:pPr>
        <w:pStyle w:val="ListParagraph"/>
        <w:numPr>
          <w:ilvl w:val="0"/>
          <w:numId w:val="3"/>
        </w:numPr>
        <w:spacing w:line="360" w:lineRule="auto"/>
        <w:jc w:val="both"/>
        <w:rPr>
          <w:rFonts w:ascii="Times New Roman" w:hAnsi="Times New Roman" w:cs="Times New Roman"/>
        </w:rPr>
      </w:pPr>
      <w:r w:rsidRPr="004E01F0">
        <w:rPr>
          <w:rFonts w:ascii="Times New Roman" w:hAnsi="Times New Roman" w:cs="Times New Roman"/>
        </w:rPr>
        <w:t>Managing chits (or similar) schemes</w:t>
      </w:r>
    </w:p>
    <w:p w14:paraId="6816BD01" w14:textId="03B117FA" w:rsidR="00B13909" w:rsidRPr="004E01F0" w:rsidRDefault="00B13909" w:rsidP="004E01F0">
      <w:pPr>
        <w:pStyle w:val="ListParagraph"/>
        <w:numPr>
          <w:ilvl w:val="0"/>
          <w:numId w:val="3"/>
        </w:numPr>
        <w:spacing w:line="360" w:lineRule="auto"/>
        <w:jc w:val="both"/>
        <w:rPr>
          <w:rFonts w:ascii="Times New Roman" w:hAnsi="Times New Roman" w:cs="Times New Roman"/>
        </w:rPr>
      </w:pPr>
      <w:r w:rsidRPr="004E01F0">
        <w:rPr>
          <w:rFonts w:ascii="Times New Roman" w:hAnsi="Times New Roman" w:cs="Times New Roman"/>
        </w:rPr>
        <w:t>Collecting money and giving away money under collective schemes as gifts or prizes</w:t>
      </w:r>
    </w:p>
    <w:p w14:paraId="4B5DBFFB" w14:textId="77777777" w:rsidR="00B13909" w:rsidRPr="004E01F0" w:rsidRDefault="00B13909" w:rsidP="004E01F0">
      <w:pPr>
        <w:spacing w:line="360" w:lineRule="auto"/>
        <w:jc w:val="both"/>
        <w:rPr>
          <w:rFonts w:ascii="Times New Roman" w:hAnsi="Times New Roman" w:cs="Times New Roman"/>
          <w:u w:val="single"/>
        </w:rPr>
      </w:pPr>
      <w:r w:rsidRPr="004E01F0">
        <w:rPr>
          <w:rFonts w:ascii="Times New Roman" w:hAnsi="Times New Roman" w:cs="Times New Roman"/>
          <w:u w:val="single"/>
        </w:rPr>
        <w:t>2. Non-Banking Institution (NBI) [Section 45-I(e)]</w:t>
      </w:r>
    </w:p>
    <w:p w14:paraId="669ADA3F" w14:textId="6F0C6D91" w:rsidR="00B13909" w:rsidRPr="004E01F0" w:rsidRDefault="00B13909" w:rsidP="004E01F0">
      <w:pPr>
        <w:spacing w:line="360" w:lineRule="auto"/>
        <w:ind w:left="360"/>
        <w:jc w:val="both"/>
        <w:rPr>
          <w:rFonts w:ascii="Times New Roman" w:hAnsi="Times New Roman" w:cs="Times New Roman"/>
        </w:rPr>
      </w:pPr>
      <w:r w:rsidRPr="004E01F0">
        <w:rPr>
          <w:rFonts w:ascii="Times New Roman" w:hAnsi="Times New Roman" w:cs="Times New Roman"/>
        </w:rPr>
        <w:t xml:space="preserve">Non-Banking Institution means </w:t>
      </w:r>
      <w:r w:rsidR="00E2534A">
        <w:rPr>
          <w:rFonts w:ascii="Times New Roman" w:hAnsi="Times New Roman" w:cs="Times New Roman"/>
        </w:rPr>
        <w:t>“</w:t>
      </w:r>
      <w:r w:rsidRPr="004E01F0">
        <w:rPr>
          <w:rFonts w:ascii="Times New Roman" w:hAnsi="Times New Roman" w:cs="Times New Roman"/>
        </w:rPr>
        <w:t>any company, corporation, or cooperative society which is not a ban</w:t>
      </w:r>
      <w:r w:rsidR="00E2534A">
        <w:rPr>
          <w:rFonts w:ascii="Times New Roman" w:hAnsi="Times New Roman" w:cs="Times New Roman"/>
        </w:rPr>
        <w:t>k”</w:t>
      </w:r>
    </w:p>
    <w:p w14:paraId="4BAD6742" w14:textId="77777777" w:rsidR="00B13909" w:rsidRPr="004E01F0" w:rsidRDefault="00B13909" w:rsidP="004E01F0">
      <w:pPr>
        <w:spacing w:line="360" w:lineRule="auto"/>
        <w:jc w:val="both"/>
        <w:rPr>
          <w:rFonts w:ascii="Times New Roman" w:hAnsi="Times New Roman" w:cs="Times New Roman"/>
          <w:u w:val="single"/>
        </w:rPr>
      </w:pPr>
      <w:r w:rsidRPr="004E01F0">
        <w:rPr>
          <w:rFonts w:ascii="Times New Roman" w:hAnsi="Times New Roman" w:cs="Times New Roman"/>
          <w:u w:val="single"/>
        </w:rPr>
        <w:t>3. NBFC [Section 45-I(f)]</w:t>
      </w:r>
    </w:p>
    <w:p w14:paraId="565F1E53" w14:textId="3AB9ACF2" w:rsidR="00B13909" w:rsidRPr="004E01F0" w:rsidRDefault="00B13909" w:rsidP="004E01F0">
      <w:pPr>
        <w:spacing w:line="360" w:lineRule="auto"/>
        <w:jc w:val="both"/>
        <w:rPr>
          <w:rFonts w:ascii="Times New Roman" w:hAnsi="Times New Roman" w:cs="Times New Roman"/>
        </w:rPr>
      </w:pPr>
      <w:r w:rsidRPr="004E01F0">
        <w:rPr>
          <w:rFonts w:ascii="Times New Roman" w:hAnsi="Times New Roman" w:cs="Times New Roman"/>
        </w:rPr>
        <w:t xml:space="preserve">    </w:t>
      </w:r>
      <w:r w:rsidRPr="004E01F0">
        <w:rPr>
          <w:rFonts w:ascii="Times New Roman" w:hAnsi="Times New Roman" w:cs="Times New Roman"/>
        </w:rPr>
        <w:t>NBFC means:</w:t>
      </w:r>
    </w:p>
    <w:p w14:paraId="268FE2DA" w14:textId="77777777" w:rsidR="00137298" w:rsidRPr="004E01F0" w:rsidRDefault="00B13909" w:rsidP="004E01F0">
      <w:pPr>
        <w:pStyle w:val="ListParagraph"/>
        <w:numPr>
          <w:ilvl w:val="0"/>
          <w:numId w:val="5"/>
        </w:numPr>
        <w:spacing w:line="360" w:lineRule="auto"/>
        <w:jc w:val="both"/>
        <w:rPr>
          <w:rFonts w:ascii="Times New Roman" w:hAnsi="Times New Roman" w:cs="Times New Roman"/>
        </w:rPr>
      </w:pPr>
      <w:r w:rsidRPr="004E01F0">
        <w:rPr>
          <w:rFonts w:ascii="Times New Roman" w:hAnsi="Times New Roman" w:cs="Times New Roman"/>
        </w:rPr>
        <w:t>A financial institution which is a</w:t>
      </w:r>
      <w:r w:rsidR="00137298" w:rsidRPr="004E01F0">
        <w:rPr>
          <w:rFonts w:ascii="Times New Roman" w:hAnsi="Times New Roman" w:cs="Times New Roman"/>
        </w:rPr>
        <w:t xml:space="preserve"> </w:t>
      </w:r>
      <w:r w:rsidRPr="004E01F0">
        <w:rPr>
          <w:rFonts w:ascii="Times New Roman" w:hAnsi="Times New Roman" w:cs="Times New Roman"/>
        </w:rPr>
        <w:t>company</w:t>
      </w:r>
      <w:r w:rsidR="00137298" w:rsidRPr="004E01F0">
        <w:rPr>
          <w:rFonts w:ascii="Times New Roman" w:hAnsi="Times New Roman" w:cs="Times New Roman"/>
        </w:rPr>
        <w:t xml:space="preserve">, </w:t>
      </w:r>
    </w:p>
    <w:p w14:paraId="3DFA779A" w14:textId="77777777" w:rsidR="00137298" w:rsidRPr="004E01F0" w:rsidRDefault="00B13909" w:rsidP="004E01F0">
      <w:pPr>
        <w:pStyle w:val="ListParagraph"/>
        <w:numPr>
          <w:ilvl w:val="0"/>
          <w:numId w:val="5"/>
        </w:numPr>
        <w:spacing w:line="360" w:lineRule="auto"/>
        <w:jc w:val="both"/>
        <w:rPr>
          <w:rFonts w:ascii="Times New Roman" w:hAnsi="Times New Roman" w:cs="Times New Roman"/>
        </w:rPr>
      </w:pPr>
      <w:r w:rsidRPr="004E01F0">
        <w:rPr>
          <w:rFonts w:ascii="Times New Roman" w:hAnsi="Times New Roman" w:cs="Times New Roman"/>
        </w:rPr>
        <w:t>A non-banking institution (company) which has the principal business of receiving deposits or lending</w:t>
      </w:r>
    </w:p>
    <w:p w14:paraId="681AF0AA" w14:textId="7C5E0533" w:rsidR="00B13909" w:rsidRPr="004E01F0" w:rsidRDefault="00B13909" w:rsidP="004E01F0">
      <w:pPr>
        <w:pStyle w:val="ListParagraph"/>
        <w:numPr>
          <w:ilvl w:val="0"/>
          <w:numId w:val="5"/>
        </w:numPr>
        <w:spacing w:line="360" w:lineRule="auto"/>
        <w:jc w:val="both"/>
        <w:rPr>
          <w:rFonts w:ascii="Times New Roman" w:hAnsi="Times New Roman" w:cs="Times New Roman"/>
        </w:rPr>
      </w:pPr>
      <w:r w:rsidRPr="004E01F0">
        <w:rPr>
          <w:rFonts w:ascii="Times New Roman" w:hAnsi="Times New Roman" w:cs="Times New Roman"/>
        </w:rPr>
        <w:lastRenderedPageBreak/>
        <w:t>Any other institution which has been so notified by the RBI with the approval of the Central Government</w:t>
      </w:r>
    </w:p>
    <w:p w14:paraId="6C8FA397" w14:textId="53C35126" w:rsidR="00B13909" w:rsidRPr="004E01F0" w:rsidRDefault="00B13909" w:rsidP="004E01F0">
      <w:pPr>
        <w:spacing w:line="360" w:lineRule="auto"/>
        <w:jc w:val="both"/>
        <w:rPr>
          <w:rFonts w:ascii="Times New Roman" w:hAnsi="Times New Roman" w:cs="Times New Roman"/>
        </w:rPr>
      </w:pPr>
      <w:r w:rsidRPr="004E01F0">
        <w:rPr>
          <w:rFonts w:ascii="Times New Roman" w:hAnsi="Times New Roman" w:cs="Times New Roman"/>
        </w:rPr>
        <w:t xml:space="preserve">A company may be deemed an NBFC, where more than 50% of its assets and income originates from financial activities (per RBI's press release in 1999). </w:t>
      </w:r>
      <w:r w:rsidR="00EA41E6">
        <w:rPr>
          <w:rStyle w:val="FootnoteReference"/>
          <w:rFonts w:ascii="Times New Roman" w:hAnsi="Times New Roman" w:cs="Times New Roman"/>
        </w:rPr>
        <w:footnoteReference w:id="12"/>
      </w:r>
    </w:p>
    <w:p w14:paraId="5D83CA7F" w14:textId="45239288" w:rsidR="00B13909" w:rsidRPr="004E01F0" w:rsidRDefault="00B13909" w:rsidP="004E01F0">
      <w:pPr>
        <w:spacing w:line="360" w:lineRule="auto"/>
        <w:jc w:val="both"/>
        <w:rPr>
          <w:rFonts w:ascii="Times New Roman" w:hAnsi="Times New Roman" w:cs="Times New Roman"/>
          <w:b/>
          <w:bCs/>
          <w:u w:val="single"/>
        </w:rPr>
      </w:pPr>
      <w:r w:rsidRPr="004E01F0">
        <w:rPr>
          <w:rFonts w:ascii="Times New Roman" w:hAnsi="Times New Roman" w:cs="Times New Roman"/>
          <w:b/>
          <w:bCs/>
          <w:u w:val="single"/>
        </w:rPr>
        <w:t>NBFC under the 1988 RBI Directions</w:t>
      </w:r>
    </w:p>
    <w:p w14:paraId="1F4A252F" w14:textId="0DA4F4F2" w:rsidR="00B13909" w:rsidRPr="004E01F0" w:rsidRDefault="00B13909" w:rsidP="004E01F0">
      <w:pPr>
        <w:spacing w:line="360" w:lineRule="auto"/>
        <w:jc w:val="both"/>
        <w:rPr>
          <w:rFonts w:ascii="Times New Roman" w:hAnsi="Times New Roman" w:cs="Times New Roman"/>
        </w:rPr>
      </w:pPr>
      <w:r w:rsidRPr="004E01F0">
        <w:rPr>
          <w:rFonts w:ascii="Times New Roman" w:hAnsi="Times New Roman" w:cs="Times New Roman"/>
        </w:rPr>
        <w:t>NBFC under Para 2(1)(xi) of the Non-Banking Financial Companies Acceptance of Public Deposits (Reserve Bank) Directions</w:t>
      </w:r>
      <w:r w:rsidR="007064C1">
        <w:rPr>
          <w:rStyle w:val="FootnoteReference"/>
          <w:rFonts w:ascii="Times New Roman" w:hAnsi="Times New Roman" w:cs="Times New Roman"/>
        </w:rPr>
        <w:footnoteReference w:id="13"/>
      </w:r>
      <w:r w:rsidRPr="004E01F0">
        <w:rPr>
          <w:rFonts w:ascii="Times New Roman" w:hAnsi="Times New Roman" w:cs="Times New Roman"/>
        </w:rPr>
        <w:t>, 1988 which includes</w:t>
      </w:r>
    </w:p>
    <w:p w14:paraId="4D261690" w14:textId="13E9BECB" w:rsidR="00B13909" w:rsidRPr="004E01F0" w:rsidRDefault="00B13909" w:rsidP="004E01F0">
      <w:pPr>
        <w:pStyle w:val="ListParagraph"/>
        <w:numPr>
          <w:ilvl w:val="0"/>
          <w:numId w:val="2"/>
        </w:numPr>
        <w:spacing w:line="360" w:lineRule="auto"/>
        <w:jc w:val="both"/>
        <w:rPr>
          <w:rFonts w:ascii="Times New Roman" w:hAnsi="Times New Roman" w:cs="Times New Roman"/>
        </w:rPr>
      </w:pPr>
      <w:r w:rsidRPr="004E01F0">
        <w:rPr>
          <w:rFonts w:ascii="Times New Roman" w:hAnsi="Times New Roman" w:cs="Times New Roman"/>
        </w:rPr>
        <w:t>Loan Companies:</w:t>
      </w:r>
      <w:r w:rsidR="00B92660" w:rsidRPr="004E01F0">
        <w:rPr>
          <w:rFonts w:ascii="Times New Roman" w:hAnsi="Times New Roman" w:cs="Times New Roman"/>
        </w:rPr>
        <w:t xml:space="preserve"> t</w:t>
      </w:r>
      <w:r w:rsidRPr="004E01F0">
        <w:rPr>
          <w:rFonts w:ascii="Times New Roman" w:hAnsi="Times New Roman" w:cs="Times New Roman"/>
        </w:rPr>
        <w:t>hat, primarily lending/financing;</w:t>
      </w:r>
    </w:p>
    <w:p w14:paraId="2C2AFB91" w14:textId="5B72CE5B" w:rsidR="00B13909" w:rsidRPr="004E01F0" w:rsidRDefault="00B13909" w:rsidP="004E01F0">
      <w:pPr>
        <w:pStyle w:val="ListParagraph"/>
        <w:numPr>
          <w:ilvl w:val="0"/>
          <w:numId w:val="2"/>
        </w:numPr>
        <w:spacing w:line="360" w:lineRule="auto"/>
        <w:jc w:val="both"/>
        <w:rPr>
          <w:rFonts w:ascii="Times New Roman" w:hAnsi="Times New Roman" w:cs="Times New Roman"/>
        </w:rPr>
      </w:pPr>
      <w:r w:rsidRPr="004E01F0">
        <w:rPr>
          <w:rFonts w:ascii="Times New Roman" w:hAnsi="Times New Roman" w:cs="Times New Roman"/>
        </w:rPr>
        <w:t>Investment Companies:</w:t>
      </w:r>
      <w:r w:rsidR="00B92660" w:rsidRPr="004E01F0">
        <w:rPr>
          <w:rFonts w:ascii="Times New Roman" w:hAnsi="Times New Roman" w:cs="Times New Roman"/>
        </w:rPr>
        <w:t xml:space="preserve"> t</w:t>
      </w:r>
      <w:r w:rsidRPr="004E01F0">
        <w:rPr>
          <w:rFonts w:ascii="Times New Roman" w:hAnsi="Times New Roman" w:cs="Times New Roman"/>
        </w:rPr>
        <w:t>hat primarily acquiring; and</w:t>
      </w:r>
    </w:p>
    <w:p w14:paraId="46EA2E4C" w14:textId="2CF1018C" w:rsidR="00B13909" w:rsidRPr="004E01F0" w:rsidRDefault="00B13909" w:rsidP="004E01F0">
      <w:pPr>
        <w:pStyle w:val="ListParagraph"/>
        <w:numPr>
          <w:ilvl w:val="0"/>
          <w:numId w:val="2"/>
        </w:numPr>
        <w:spacing w:line="360" w:lineRule="auto"/>
        <w:jc w:val="both"/>
        <w:rPr>
          <w:rFonts w:ascii="Times New Roman" w:hAnsi="Times New Roman" w:cs="Times New Roman"/>
        </w:rPr>
      </w:pPr>
      <w:r w:rsidRPr="004E01F0">
        <w:rPr>
          <w:rFonts w:ascii="Times New Roman" w:hAnsi="Times New Roman" w:cs="Times New Roman"/>
        </w:rPr>
        <w:t>Asset Finance Companies:</w:t>
      </w:r>
      <w:r w:rsidR="00B92660" w:rsidRPr="004E01F0">
        <w:rPr>
          <w:rFonts w:ascii="Times New Roman" w:hAnsi="Times New Roman" w:cs="Times New Roman"/>
        </w:rPr>
        <w:t xml:space="preserve">  </w:t>
      </w:r>
      <w:r w:rsidRPr="004E01F0">
        <w:rPr>
          <w:rFonts w:ascii="Times New Roman" w:hAnsi="Times New Roman" w:cs="Times New Roman"/>
        </w:rPr>
        <w:t>that finances the economic asset (which would include vehicles, machines etc.).</w:t>
      </w:r>
    </w:p>
    <w:p w14:paraId="1A74B8E4" w14:textId="6DC427EC" w:rsidR="00010DA4" w:rsidRPr="004E01F0" w:rsidRDefault="000A3F6C" w:rsidP="004E01F0">
      <w:pPr>
        <w:pStyle w:val="ListParagraph"/>
        <w:numPr>
          <w:ilvl w:val="0"/>
          <w:numId w:val="2"/>
        </w:numPr>
        <w:spacing w:line="360" w:lineRule="auto"/>
        <w:jc w:val="both"/>
        <w:rPr>
          <w:rFonts w:ascii="Times New Roman" w:hAnsi="Times New Roman" w:cs="Times New Roman"/>
        </w:rPr>
      </w:pPr>
      <w:r w:rsidRPr="004E01F0">
        <w:rPr>
          <w:rFonts w:ascii="Times New Roman" w:hAnsi="Times New Roman" w:cs="Times New Roman"/>
        </w:rPr>
        <w:t>Mutual Benefit Financial Companies – notified under Section 620A of the Companies Act, 1956</w:t>
      </w:r>
      <w:r w:rsidRPr="004E01F0">
        <w:rPr>
          <w:rFonts w:ascii="Times New Roman" w:hAnsi="Times New Roman" w:cs="Times New Roman"/>
        </w:rPr>
        <w:t>.</w:t>
      </w:r>
    </w:p>
    <w:p w14:paraId="573172DE" w14:textId="7EC652C6" w:rsidR="008D4667" w:rsidRPr="004E01F0" w:rsidRDefault="008D4667" w:rsidP="004E01F0">
      <w:pPr>
        <w:spacing w:line="360" w:lineRule="auto"/>
        <w:jc w:val="both"/>
        <w:rPr>
          <w:rFonts w:ascii="Times New Roman" w:hAnsi="Times New Roman" w:cs="Times New Roman"/>
        </w:rPr>
      </w:pPr>
      <w:r w:rsidRPr="004E01F0">
        <w:rPr>
          <w:rFonts w:ascii="Times New Roman" w:hAnsi="Times New Roman" w:cs="Times New Roman"/>
        </w:rPr>
        <w:t xml:space="preserve">Although these directives </w:t>
      </w:r>
      <w:r w:rsidR="008600A0">
        <w:rPr>
          <w:rFonts w:ascii="Times New Roman" w:hAnsi="Times New Roman" w:cs="Times New Roman"/>
        </w:rPr>
        <w:t>categorise</w:t>
      </w:r>
      <w:r w:rsidRPr="004E01F0">
        <w:rPr>
          <w:rFonts w:ascii="Times New Roman" w:hAnsi="Times New Roman" w:cs="Times New Roman"/>
        </w:rPr>
        <w:t xml:space="preserve"> NBFC types, </w:t>
      </w:r>
      <w:r w:rsidR="00903C3F">
        <w:rPr>
          <w:rFonts w:ascii="Times New Roman" w:hAnsi="Times New Roman" w:cs="Times New Roman"/>
        </w:rPr>
        <w:t>t</w:t>
      </w:r>
      <w:r w:rsidRPr="004E01F0">
        <w:rPr>
          <w:rFonts w:ascii="Times New Roman" w:hAnsi="Times New Roman" w:cs="Times New Roman"/>
        </w:rPr>
        <w:t>he expression "financial institution" continues to borrow its meaning from Section 45-I(c) of the RBI Act</w:t>
      </w:r>
      <w:r w:rsidR="00BB6B02">
        <w:rPr>
          <w:rStyle w:val="FootnoteReference"/>
          <w:rFonts w:ascii="Times New Roman" w:hAnsi="Times New Roman" w:cs="Times New Roman"/>
        </w:rPr>
        <w:footnoteReference w:id="14"/>
      </w:r>
      <w:r w:rsidRPr="004E01F0">
        <w:rPr>
          <w:rFonts w:ascii="Times New Roman" w:hAnsi="Times New Roman" w:cs="Times New Roman"/>
        </w:rPr>
        <w:t>. Therefore, the NBFCs of the Directions are a subset of NBFCs in the Act.</w:t>
      </w:r>
    </w:p>
    <w:p w14:paraId="3D78E952" w14:textId="5EA298BB" w:rsidR="000A3F6C" w:rsidRPr="004D21FB" w:rsidRDefault="000A3F6C" w:rsidP="004E01F0">
      <w:pPr>
        <w:spacing w:line="360" w:lineRule="auto"/>
        <w:jc w:val="both"/>
        <w:rPr>
          <w:rFonts w:ascii="Times New Roman" w:hAnsi="Times New Roman" w:cs="Times New Roman"/>
          <w:b/>
          <w:bCs/>
        </w:rPr>
      </w:pPr>
    </w:p>
    <w:p w14:paraId="38BEB78A" w14:textId="243DE2D1" w:rsidR="00DF2EF0" w:rsidRPr="004D21FB" w:rsidRDefault="005E75DC" w:rsidP="004E01F0">
      <w:pPr>
        <w:spacing w:line="360" w:lineRule="auto"/>
        <w:jc w:val="both"/>
        <w:rPr>
          <w:rFonts w:ascii="Times New Roman" w:hAnsi="Times New Roman" w:cs="Times New Roman"/>
          <w:b/>
          <w:bCs/>
          <w:u w:val="single"/>
        </w:rPr>
      </w:pPr>
      <w:r w:rsidRPr="004D21FB">
        <w:rPr>
          <w:rFonts w:ascii="Times New Roman" w:hAnsi="Times New Roman" w:cs="Times New Roman"/>
          <w:b/>
          <w:bCs/>
          <w:u w:val="single"/>
        </w:rPr>
        <w:t>Types of NBFCs:</w:t>
      </w:r>
    </w:p>
    <w:p w14:paraId="4700504E" w14:textId="2EBA4E29" w:rsidR="005E75DC" w:rsidRDefault="00BF70C1" w:rsidP="004E01F0">
      <w:pPr>
        <w:spacing w:line="360" w:lineRule="auto"/>
        <w:jc w:val="both"/>
        <w:rPr>
          <w:rFonts w:ascii="Times New Roman" w:hAnsi="Times New Roman" w:cs="Times New Roman"/>
        </w:rPr>
      </w:pPr>
      <w:r>
        <w:rPr>
          <w:rFonts w:ascii="Times New Roman" w:hAnsi="Times New Roman" w:cs="Times New Roman"/>
        </w:rPr>
        <w:t>Non-banking financial</w:t>
      </w:r>
      <w:r w:rsidR="00BB468E">
        <w:rPr>
          <w:rFonts w:ascii="Times New Roman" w:hAnsi="Times New Roman" w:cs="Times New Roman"/>
        </w:rPr>
        <w:t xml:space="preserve"> Companies in </w:t>
      </w:r>
      <w:r>
        <w:rPr>
          <w:rFonts w:ascii="Times New Roman" w:hAnsi="Times New Roman" w:cs="Times New Roman"/>
        </w:rPr>
        <w:t>India are now a diverse and important</w:t>
      </w:r>
      <w:r w:rsidR="00BB468E">
        <w:rPr>
          <w:rFonts w:ascii="Times New Roman" w:hAnsi="Times New Roman" w:cs="Times New Roman"/>
        </w:rPr>
        <w:t xml:space="preserve"> segment in the financial system. </w:t>
      </w:r>
      <w:r>
        <w:rPr>
          <w:rFonts w:ascii="Times New Roman" w:hAnsi="Times New Roman" w:cs="Times New Roman"/>
        </w:rPr>
        <w:t>They are widely categorised based on liability structure and activity</w:t>
      </w:r>
    </w:p>
    <w:p w14:paraId="10391790" w14:textId="4E25A2F0" w:rsidR="0007481D" w:rsidRDefault="005D7861" w:rsidP="004E01F0">
      <w:pPr>
        <w:spacing w:line="360" w:lineRule="auto"/>
        <w:jc w:val="both"/>
        <w:rPr>
          <w:rFonts w:ascii="Times New Roman" w:hAnsi="Times New Roman" w:cs="Times New Roman"/>
        </w:rPr>
      </w:pPr>
      <w:r w:rsidRPr="004D21FB">
        <w:rPr>
          <w:rFonts w:ascii="Times New Roman" w:hAnsi="Times New Roman" w:cs="Times New Roman"/>
          <w:u w:val="single"/>
        </w:rPr>
        <w:t>Based on activity</w:t>
      </w:r>
      <w:r>
        <w:rPr>
          <w:rFonts w:ascii="Times New Roman" w:hAnsi="Times New Roman" w:cs="Times New Roman"/>
        </w:rPr>
        <w:t>:</w:t>
      </w:r>
    </w:p>
    <w:p w14:paraId="3B18D2AF" w14:textId="5D56572D" w:rsidR="005D7861" w:rsidRDefault="005D7861" w:rsidP="005D7861">
      <w:pPr>
        <w:pStyle w:val="ListParagraph"/>
        <w:numPr>
          <w:ilvl w:val="0"/>
          <w:numId w:val="6"/>
        </w:numPr>
        <w:spacing w:line="360" w:lineRule="auto"/>
        <w:jc w:val="both"/>
        <w:rPr>
          <w:rFonts w:ascii="Times New Roman" w:hAnsi="Times New Roman" w:cs="Times New Roman"/>
        </w:rPr>
      </w:pPr>
      <w:r>
        <w:rPr>
          <w:rFonts w:ascii="Times New Roman" w:hAnsi="Times New Roman" w:cs="Times New Roman"/>
        </w:rPr>
        <w:t>Investment Companies</w:t>
      </w:r>
    </w:p>
    <w:p w14:paraId="4E1198B5" w14:textId="6D9820E2" w:rsidR="005D7861" w:rsidRDefault="005D7861" w:rsidP="005D7861">
      <w:pPr>
        <w:pStyle w:val="ListParagraph"/>
        <w:numPr>
          <w:ilvl w:val="0"/>
          <w:numId w:val="6"/>
        </w:numPr>
        <w:spacing w:line="360" w:lineRule="auto"/>
        <w:jc w:val="both"/>
        <w:rPr>
          <w:rFonts w:ascii="Times New Roman" w:hAnsi="Times New Roman" w:cs="Times New Roman"/>
        </w:rPr>
      </w:pPr>
      <w:r>
        <w:rPr>
          <w:rFonts w:ascii="Times New Roman" w:hAnsi="Times New Roman" w:cs="Times New Roman"/>
        </w:rPr>
        <w:t>Loan Companies</w:t>
      </w:r>
    </w:p>
    <w:p w14:paraId="2B806F88" w14:textId="0580C4A2" w:rsidR="005D7861" w:rsidRDefault="00976372" w:rsidP="005D7861">
      <w:pPr>
        <w:pStyle w:val="ListParagraph"/>
        <w:numPr>
          <w:ilvl w:val="0"/>
          <w:numId w:val="6"/>
        </w:numPr>
        <w:spacing w:line="360" w:lineRule="auto"/>
        <w:jc w:val="both"/>
        <w:rPr>
          <w:rFonts w:ascii="Times New Roman" w:hAnsi="Times New Roman" w:cs="Times New Roman"/>
        </w:rPr>
      </w:pPr>
      <w:r>
        <w:rPr>
          <w:rFonts w:ascii="Times New Roman" w:hAnsi="Times New Roman" w:cs="Times New Roman"/>
        </w:rPr>
        <w:t xml:space="preserve">Core </w:t>
      </w:r>
      <w:r w:rsidR="005D7861">
        <w:rPr>
          <w:rFonts w:ascii="Times New Roman" w:hAnsi="Times New Roman" w:cs="Times New Roman"/>
        </w:rPr>
        <w:t>Investment Companies</w:t>
      </w:r>
    </w:p>
    <w:p w14:paraId="2CA4E923" w14:textId="2D9C3CCB" w:rsidR="005D7861" w:rsidRDefault="00976372" w:rsidP="005D7861">
      <w:pPr>
        <w:pStyle w:val="ListParagraph"/>
        <w:numPr>
          <w:ilvl w:val="0"/>
          <w:numId w:val="6"/>
        </w:numPr>
        <w:spacing w:line="360" w:lineRule="auto"/>
        <w:jc w:val="both"/>
        <w:rPr>
          <w:rFonts w:ascii="Times New Roman" w:hAnsi="Times New Roman" w:cs="Times New Roman"/>
        </w:rPr>
      </w:pPr>
      <w:r>
        <w:rPr>
          <w:rFonts w:ascii="Times New Roman" w:hAnsi="Times New Roman" w:cs="Times New Roman"/>
        </w:rPr>
        <w:t>Asset Finance Companies</w:t>
      </w:r>
    </w:p>
    <w:p w14:paraId="5013B00E" w14:textId="26F75B09" w:rsidR="00976372" w:rsidRDefault="00976372" w:rsidP="005D7861">
      <w:pPr>
        <w:pStyle w:val="ListParagraph"/>
        <w:numPr>
          <w:ilvl w:val="0"/>
          <w:numId w:val="6"/>
        </w:numPr>
        <w:spacing w:line="360" w:lineRule="auto"/>
        <w:jc w:val="both"/>
        <w:rPr>
          <w:rFonts w:ascii="Times New Roman" w:hAnsi="Times New Roman" w:cs="Times New Roman"/>
        </w:rPr>
      </w:pPr>
      <w:r>
        <w:rPr>
          <w:rFonts w:ascii="Times New Roman" w:hAnsi="Times New Roman" w:cs="Times New Roman"/>
        </w:rPr>
        <w:t>Infrastructure Finance Companies</w:t>
      </w:r>
    </w:p>
    <w:p w14:paraId="25C0E2E4" w14:textId="0EE87DC7" w:rsidR="00976372" w:rsidRDefault="00976372" w:rsidP="005D7861">
      <w:pPr>
        <w:pStyle w:val="ListParagraph"/>
        <w:numPr>
          <w:ilvl w:val="0"/>
          <w:numId w:val="6"/>
        </w:numPr>
        <w:spacing w:line="360" w:lineRule="auto"/>
        <w:jc w:val="both"/>
        <w:rPr>
          <w:rFonts w:ascii="Times New Roman" w:hAnsi="Times New Roman" w:cs="Times New Roman"/>
        </w:rPr>
      </w:pPr>
      <w:r>
        <w:rPr>
          <w:rFonts w:ascii="Times New Roman" w:hAnsi="Times New Roman" w:cs="Times New Roman"/>
        </w:rPr>
        <w:lastRenderedPageBreak/>
        <w:t>NBFC-Micro Finance Institutions</w:t>
      </w:r>
    </w:p>
    <w:p w14:paraId="64A6B351" w14:textId="09ED0422" w:rsidR="00976372" w:rsidRDefault="00976372" w:rsidP="005D7861">
      <w:pPr>
        <w:pStyle w:val="ListParagraph"/>
        <w:numPr>
          <w:ilvl w:val="0"/>
          <w:numId w:val="6"/>
        </w:numPr>
        <w:spacing w:line="360" w:lineRule="auto"/>
        <w:jc w:val="both"/>
        <w:rPr>
          <w:rFonts w:ascii="Times New Roman" w:hAnsi="Times New Roman" w:cs="Times New Roman"/>
        </w:rPr>
      </w:pPr>
      <w:r>
        <w:rPr>
          <w:rFonts w:ascii="Times New Roman" w:hAnsi="Times New Roman" w:cs="Times New Roman"/>
        </w:rPr>
        <w:t>Infrastructure Debt Funds</w:t>
      </w:r>
    </w:p>
    <w:p w14:paraId="19C97405" w14:textId="1B9C3CFC" w:rsidR="007C1FC4" w:rsidRDefault="007C1FC4" w:rsidP="007C1FC4">
      <w:pPr>
        <w:spacing w:line="360" w:lineRule="auto"/>
        <w:jc w:val="both"/>
        <w:rPr>
          <w:rFonts w:ascii="Times New Roman" w:hAnsi="Times New Roman" w:cs="Times New Roman"/>
        </w:rPr>
      </w:pPr>
      <w:r>
        <w:rPr>
          <w:rFonts w:ascii="Times New Roman" w:hAnsi="Times New Roman" w:cs="Times New Roman"/>
        </w:rPr>
        <w:t xml:space="preserve">Each type </w:t>
      </w:r>
      <w:r w:rsidR="00F550B2">
        <w:rPr>
          <w:rFonts w:ascii="Times New Roman" w:hAnsi="Times New Roman" w:cs="Times New Roman"/>
        </w:rPr>
        <w:t>depicts</w:t>
      </w:r>
      <w:r>
        <w:rPr>
          <w:rFonts w:ascii="Times New Roman" w:hAnsi="Times New Roman" w:cs="Times New Roman"/>
        </w:rPr>
        <w:t xml:space="preserve"> different financial needs</w:t>
      </w:r>
      <w:r w:rsidR="00212C3B">
        <w:rPr>
          <w:rFonts w:ascii="Times New Roman" w:hAnsi="Times New Roman" w:cs="Times New Roman"/>
        </w:rPr>
        <w:t xml:space="preserve">. Special regulations are to be adhered </w:t>
      </w:r>
      <w:r w:rsidR="00F550B2">
        <w:rPr>
          <w:rFonts w:ascii="Times New Roman" w:hAnsi="Times New Roman" w:cs="Times New Roman"/>
        </w:rPr>
        <w:t xml:space="preserve">to </w:t>
      </w:r>
      <w:r w:rsidR="00212C3B">
        <w:rPr>
          <w:rFonts w:ascii="Times New Roman" w:hAnsi="Times New Roman" w:cs="Times New Roman"/>
        </w:rPr>
        <w:t xml:space="preserve">by </w:t>
      </w:r>
      <w:r w:rsidR="00F550B2">
        <w:rPr>
          <w:rFonts w:ascii="Times New Roman" w:hAnsi="Times New Roman" w:cs="Times New Roman"/>
        </w:rPr>
        <w:t>NBFC-MFIs to promote financial inclusion, limits on asset composition and loan exposure.</w:t>
      </w:r>
    </w:p>
    <w:p w14:paraId="46543436" w14:textId="77777777" w:rsidR="00F550B2" w:rsidRDefault="00F550B2" w:rsidP="007C1FC4">
      <w:pPr>
        <w:spacing w:line="360" w:lineRule="auto"/>
        <w:jc w:val="both"/>
        <w:rPr>
          <w:rFonts w:ascii="Times New Roman" w:hAnsi="Times New Roman" w:cs="Times New Roman"/>
        </w:rPr>
      </w:pPr>
    </w:p>
    <w:p w14:paraId="64CEEA73" w14:textId="6CE9CE5E" w:rsidR="00575D77" w:rsidRPr="004D21FB" w:rsidRDefault="00575D77" w:rsidP="007C1FC4">
      <w:pPr>
        <w:spacing w:line="360" w:lineRule="auto"/>
        <w:jc w:val="both"/>
        <w:rPr>
          <w:rFonts w:ascii="Times New Roman" w:hAnsi="Times New Roman" w:cs="Times New Roman"/>
          <w:u w:val="single"/>
        </w:rPr>
      </w:pPr>
      <w:r w:rsidRPr="004D21FB">
        <w:rPr>
          <w:rFonts w:ascii="Times New Roman" w:hAnsi="Times New Roman" w:cs="Times New Roman"/>
          <w:u w:val="single"/>
        </w:rPr>
        <w:t>Based on Liability Structure:</w:t>
      </w:r>
    </w:p>
    <w:p w14:paraId="4B17B371" w14:textId="0F49219C" w:rsidR="00575D77" w:rsidRDefault="00CB71E3" w:rsidP="007C1FC4">
      <w:pPr>
        <w:spacing w:line="360" w:lineRule="auto"/>
        <w:jc w:val="both"/>
        <w:rPr>
          <w:rFonts w:ascii="Times New Roman" w:hAnsi="Times New Roman" w:cs="Times New Roman"/>
        </w:rPr>
      </w:pPr>
      <w:r>
        <w:rPr>
          <w:rFonts w:ascii="Times New Roman" w:hAnsi="Times New Roman" w:cs="Times New Roman"/>
        </w:rPr>
        <w:t>Category A (</w:t>
      </w:r>
      <w:r w:rsidRPr="00CB71E3">
        <w:rPr>
          <w:rFonts w:ascii="Times New Roman" w:hAnsi="Times New Roman" w:cs="Times New Roman"/>
        </w:rPr>
        <w:t>(NBFCs-D</w:t>
      </w:r>
      <w:r>
        <w:rPr>
          <w:rFonts w:ascii="Times New Roman" w:hAnsi="Times New Roman" w:cs="Times New Roman"/>
        </w:rPr>
        <w:t>): Public deposits are accepted</w:t>
      </w:r>
    </w:p>
    <w:p w14:paraId="3641D4A3" w14:textId="47CF9A48" w:rsidR="00CB71E3" w:rsidRDefault="00CB71E3" w:rsidP="007C1FC4">
      <w:pPr>
        <w:spacing w:line="360" w:lineRule="auto"/>
        <w:jc w:val="both"/>
        <w:rPr>
          <w:rFonts w:ascii="Times New Roman" w:hAnsi="Times New Roman" w:cs="Times New Roman"/>
        </w:rPr>
      </w:pPr>
      <w:r>
        <w:rPr>
          <w:rFonts w:ascii="Times New Roman" w:hAnsi="Times New Roman" w:cs="Times New Roman"/>
        </w:rPr>
        <w:t xml:space="preserve">Category B </w:t>
      </w:r>
      <w:r w:rsidRPr="00CB71E3">
        <w:rPr>
          <w:rFonts w:ascii="Times New Roman" w:hAnsi="Times New Roman" w:cs="Times New Roman"/>
        </w:rPr>
        <w:t>(NBFCs-</w:t>
      </w:r>
      <w:r>
        <w:rPr>
          <w:rFonts w:ascii="Times New Roman" w:hAnsi="Times New Roman" w:cs="Times New Roman"/>
        </w:rPr>
        <w:t>N</w:t>
      </w:r>
      <w:r w:rsidRPr="00CB71E3">
        <w:rPr>
          <w:rFonts w:ascii="Times New Roman" w:hAnsi="Times New Roman" w:cs="Times New Roman"/>
        </w:rPr>
        <w:t>D</w:t>
      </w:r>
      <w:r>
        <w:rPr>
          <w:rFonts w:ascii="Times New Roman" w:hAnsi="Times New Roman" w:cs="Times New Roman"/>
        </w:rPr>
        <w:t>): Public deposits are not accepted</w:t>
      </w:r>
    </w:p>
    <w:p w14:paraId="5AB4DAE2" w14:textId="2BC8B698" w:rsidR="000529D7" w:rsidRPr="001209C2" w:rsidRDefault="00A61066" w:rsidP="000529D7">
      <w:pPr>
        <w:spacing w:line="360" w:lineRule="auto"/>
        <w:jc w:val="both"/>
        <w:rPr>
          <w:rFonts w:ascii="Times New Roman" w:hAnsi="Times New Roman" w:cs="Times New Roman"/>
        </w:rPr>
      </w:pPr>
      <w:r>
        <w:rPr>
          <w:rFonts w:ascii="Times New Roman" w:hAnsi="Times New Roman" w:cs="Times New Roman"/>
        </w:rPr>
        <w:t xml:space="preserve">NBFCs accepting public deposits have stricter regulatory </w:t>
      </w:r>
      <w:r w:rsidR="004F7327">
        <w:rPr>
          <w:rFonts w:ascii="Times New Roman" w:hAnsi="Times New Roman" w:cs="Times New Roman"/>
        </w:rPr>
        <w:t>norms</w:t>
      </w:r>
      <w:r>
        <w:rPr>
          <w:rFonts w:ascii="Times New Roman" w:hAnsi="Times New Roman" w:cs="Times New Roman"/>
        </w:rPr>
        <w:t xml:space="preserve"> with respect</w:t>
      </w:r>
      <w:r w:rsidR="00936B5F">
        <w:rPr>
          <w:rFonts w:ascii="Times New Roman" w:hAnsi="Times New Roman" w:cs="Times New Roman"/>
        </w:rPr>
        <w:t xml:space="preserve"> to capital adequacy, ALM discipline and exposure limits. </w:t>
      </w:r>
      <w:r w:rsidR="000529D7">
        <w:rPr>
          <w:rFonts w:ascii="Times New Roman" w:hAnsi="Times New Roman" w:cs="Times New Roman"/>
        </w:rPr>
        <w:t>The RBI authorises NBFCs which can accept public deposits, subject to a few conditions. These NBFCs must be holding a valid certificate of registration (</w:t>
      </w:r>
      <w:proofErr w:type="spellStart"/>
      <w:r w:rsidR="000529D7">
        <w:rPr>
          <w:rFonts w:ascii="Times New Roman" w:hAnsi="Times New Roman" w:cs="Times New Roman"/>
        </w:rPr>
        <w:t>CoR</w:t>
      </w:r>
      <w:proofErr w:type="spellEnd"/>
      <w:r w:rsidR="000529D7">
        <w:rPr>
          <w:rFonts w:ascii="Times New Roman" w:hAnsi="Times New Roman" w:cs="Times New Roman"/>
        </w:rPr>
        <w:t xml:space="preserve">) and </w:t>
      </w:r>
      <w:r w:rsidR="000529D7">
        <w:rPr>
          <w:rFonts w:ascii="Times New Roman" w:hAnsi="Times New Roman" w:cs="Times New Roman"/>
        </w:rPr>
        <w:t xml:space="preserve">have </w:t>
      </w:r>
      <w:r w:rsidR="000529D7">
        <w:rPr>
          <w:rFonts w:ascii="Times New Roman" w:hAnsi="Times New Roman" w:cs="Times New Roman"/>
        </w:rPr>
        <w:t xml:space="preserve">a requirement of minimum investment-grade credit rating. </w:t>
      </w:r>
    </w:p>
    <w:p w14:paraId="542B7540" w14:textId="18F43869" w:rsidR="00CB71E3" w:rsidRDefault="004F7327" w:rsidP="007C1FC4">
      <w:pPr>
        <w:spacing w:line="360" w:lineRule="auto"/>
        <w:jc w:val="both"/>
        <w:rPr>
          <w:rFonts w:ascii="Times New Roman" w:hAnsi="Times New Roman" w:cs="Times New Roman"/>
        </w:rPr>
      </w:pPr>
      <w:r>
        <w:rPr>
          <w:rFonts w:ascii="Times New Roman" w:hAnsi="Times New Roman" w:cs="Times New Roman"/>
        </w:rPr>
        <w:t>NBFCS-NDs</w:t>
      </w:r>
      <w:r w:rsidR="00570CCF">
        <w:rPr>
          <w:rFonts w:ascii="Times New Roman" w:hAnsi="Times New Roman" w:cs="Times New Roman"/>
        </w:rPr>
        <w:t xml:space="preserve"> with assets of a hundred crore rupees or more </w:t>
      </w:r>
      <w:r>
        <w:rPr>
          <w:rFonts w:ascii="Times New Roman" w:hAnsi="Times New Roman" w:cs="Times New Roman"/>
        </w:rPr>
        <w:t>have been</w:t>
      </w:r>
      <w:r w:rsidR="00570CCF">
        <w:rPr>
          <w:rFonts w:ascii="Times New Roman" w:hAnsi="Times New Roman" w:cs="Times New Roman"/>
        </w:rPr>
        <w:t xml:space="preserve"> </w:t>
      </w:r>
      <w:r w:rsidR="007116B9">
        <w:rPr>
          <w:rFonts w:ascii="Times New Roman" w:hAnsi="Times New Roman" w:cs="Times New Roman"/>
        </w:rPr>
        <w:t xml:space="preserve">subject to stricter regulations since </w:t>
      </w:r>
      <w:r w:rsidRPr="004F7327">
        <w:rPr>
          <w:rFonts w:ascii="Times New Roman" w:hAnsi="Times New Roman" w:cs="Times New Roman"/>
        </w:rPr>
        <w:t>2007</w:t>
      </w:r>
      <w:r>
        <w:rPr>
          <w:rFonts w:ascii="Times New Roman" w:hAnsi="Times New Roman" w:cs="Times New Roman"/>
        </w:rPr>
        <w:t>, and they’re now being classified as Systemically Important</w:t>
      </w:r>
      <w:r w:rsidR="0085204B">
        <w:rPr>
          <w:rStyle w:val="FootnoteReference"/>
          <w:rFonts w:ascii="Times New Roman" w:hAnsi="Times New Roman" w:cs="Times New Roman"/>
        </w:rPr>
        <w:footnoteReference w:id="15"/>
      </w:r>
      <w:r w:rsidR="00416F42">
        <w:rPr>
          <w:rFonts w:ascii="Times New Roman" w:hAnsi="Times New Roman" w:cs="Times New Roman"/>
        </w:rPr>
        <w:t>.</w:t>
      </w:r>
    </w:p>
    <w:p w14:paraId="46DC6D67" w14:textId="7FAB650E" w:rsidR="00416F42" w:rsidRDefault="0073554B" w:rsidP="007C1FC4">
      <w:pPr>
        <w:spacing w:line="360" w:lineRule="auto"/>
        <w:jc w:val="both"/>
        <w:rPr>
          <w:rFonts w:ascii="Times New Roman" w:hAnsi="Times New Roman" w:cs="Times New Roman"/>
        </w:rPr>
      </w:pPr>
      <w:r>
        <w:rPr>
          <w:rFonts w:ascii="Times New Roman" w:hAnsi="Times New Roman" w:cs="Times New Roman"/>
        </w:rPr>
        <w:t>Systemically important and special types of NBFCs:</w:t>
      </w:r>
    </w:p>
    <w:p w14:paraId="4D006690" w14:textId="3E144762" w:rsidR="0073554B" w:rsidRDefault="000E40A6" w:rsidP="004B5779">
      <w:pPr>
        <w:pStyle w:val="ListParagraph"/>
        <w:numPr>
          <w:ilvl w:val="0"/>
          <w:numId w:val="7"/>
        </w:numPr>
        <w:spacing w:line="360" w:lineRule="auto"/>
        <w:jc w:val="both"/>
        <w:rPr>
          <w:rFonts w:ascii="Times New Roman" w:hAnsi="Times New Roman" w:cs="Times New Roman"/>
        </w:rPr>
      </w:pPr>
      <w:r w:rsidRPr="004B5779">
        <w:rPr>
          <w:rFonts w:ascii="Times New Roman" w:hAnsi="Times New Roman" w:cs="Times New Roman"/>
        </w:rPr>
        <w:t>NBFC</w:t>
      </w:r>
      <w:r w:rsidR="008A476E" w:rsidRPr="004B5779">
        <w:rPr>
          <w:rFonts w:ascii="Times New Roman" w:hAnsi="Times New Roman" w:cs="Times New Roman"/>
        </w:rPr>
        <w:t xml:space="preserve">s-ND with asset capacity over a hundred crores </w:t>
      </w:r>
      <w:r w:rsidR="007B406F" w:rsidRPr="004B5779">
        <w:rPr>
          <w:rFonts w:ascii="Times New Roman" w:hAnsi="Times New Roman" w:cs="Times New Roman"/>
        </w:rPr>
        <w:t xml:space="preserve">are subjected to stricter rules, including a ten </w:t>
      </w:r>
      <w:r w:rsidR="004B5779">
        <w:rPr>
          <w:rFonts w:ascii="Times New Roman" w:hAnsi="Times New Roman" w:cs="Times New Roman"/>
        </w:rPr>
        <w:t>per cent</w:t>
      </w:r>
      <w:r w:rsidR="007B406F" w:rsidRPr="004B5779">
        <w:rPr>
          <w:rFonts w:ascii="Times New Roman" w:hAnsi="Times New Roman" w:cs="Times New Roman"/>
        </w:rPr>
        <w:t xml:space="preserve"> (</w:t>
      </w:r>
      <w:r w:rsidR="004B5779" w:rsidRPr="004B5779">
        <w:rPr>
          <w:rFonts w:ascii="Times New Roman" w:hAnsi="Times New Roman" w:cs="Times New Roman"/>
        </w:rPr>
        <w:t>10%</w:t>
      </w:r>
      <w:r w:rsidR="004B5779" w:rsidRPr="004B5779">
        <w:rPr>
          <w:rFonts w:ascii="Times New Roman" w:hAnsi="Times New Roman" w:cs="Times New Roman"/>
        </w:rPr>
        <w:t xml:space="preserve">) </w:t>
      </w:r>
      <w:r w:rsidR="007B406F" w:rsidRPr="004B5779">
        <w:rPr>
          <w:rFonts w:ascii="Times New Roman" w:hAnsi="Times New Roman" w:cs="Times New Roman"/>
        </w:rPr>
        <w:t>CRAR</w:t>
      </w:r>
      <w:r w:rsidR="004B5779" w:rsidRPr="004B5779">
        <w:rPr>
          <w:rFonts w:ascii="Times New Roman" w:hAnsi="Times New Roman" w:cs="Times New Roman"/>
        </w:rPr>
        <w:t xml:space="preserve"> and exposure </w:t>
      </w:r>
      <w:r w:rsidR="004B5779">
        <w:rPr>
          <w:rFonts w:ascii="Times New Roman" w:hAnsi="Times New Roman" w:cs="Times New Roman"/>
        </w:rPr>
        <w:t>limits</w:t>
      </w:r>
      <w:r w:rsidR="004B5779" w:rsidRPr="004B5779">
        <w:rPr>
          <w:rFonts w:ascii="Times New Roman" w:hAnsi="Times New Roman" w:cs="Times New Roman"/>
        </w:rPr>
        <w:t xml:space="preserve">. </w:t>
      </w:r>
    </w:p>
    <w:p w14:paraId="37D43B5B" w14:textId="000B2487" w:rsidR="004B5779" w:rsidRDefault="00156BED" w:rsidP="004B5779">
      <w:pPr>
        <w:pStyle w:val="ListParagraph"/>
        <w:numPr>
          <w:ilvl w:val="0"/>
          <w:numId w:val="7"/>
        </w:numPr>
        <w:spacing w:line="360" w:lineRule="auto"/>
        <w:jc w:val="both"/>
        <w:rPr>
          <w:rFonts w:ascii="Times New Roman" w:hAnsi="Times New Roman" w:cs="Times New Roman"/>
        </w:rPr>
      </w:pPr>
      <w:r>
        <w:rPr>
          <w:rFonts w:ascii="Times New Roman" w:hAnsi="Times New Roman" w:cs="Times New Roman"/>
        </w:rPr>
        <w:t>Residuary Non-Banking Companies- they mainly accept deposits and must invest in approved liquid assets</w:t>
      </w:r>
    </w:p>
    <w:p w14:paraId="76150D20" w14:textId="53088E1E" w:rsidR="00156BED" w:rsidRDefault="009A5864" w:rsidP="004B5779">
      <w:pPr>
        <w:pStyle w:val="ListParagraph"/>
        <w:numPr>
          <w:ilvl w:val="0"/>
          <w:numId w:val="7"/>
        </w:numPr>
        <w:spacing w:line="360" w:lineRule="auto"/>
        <w:jc w:val="both"/>
        <w:rPr>
          <w:rFonts w:ascii="Times New Roman" w:hAnsi="Times New Roman" w:cs="Times New Roman"/>
        </w:rPr>
      </w:pPr>
      <w:r>
        <w:rPr>
          <w:rFonts w:ascii="Times New Roman" w:hAnsi="Times New Roman" w:cs="Times New Roman"/>
        </w:rPr>
        <w:t xml:space="preserve">Miscellaneous Non-Banking Companies include </w:t>
      </w:r>
      <w:r w:rsidR="00484C6F">
        <w:rPr>
          <w:rFonts w:ascii="Times New Roman" w:hAnsi="Times New Roman" w:cs="Times New Roman"/>
        </w:rPr>
        <w:t>chit funds. These are regulated by the State Government.</w:t>
      </w:r>
    </w:p>
    <w:p w14:paraId="78D71189" w14:textId="14EFE778" w:rsidR="00484C6F" w:rsidRDefault="00484C6F" w:rsidP="004B5779">
      <w:pPr>
        <w:pStyle w:val="ListParagraph"/>
        <w:numPr>
          <w:ilvl w:val="0"/>
          <w:numId w:val="7"/>
        </w:numPr>
        <w:spacing w:line="360" w:lineRule="auto"/>
        <w:jc w:val="both"/>
        <w:rPr>
          <w:rFonts w:ascii="Times New Roman" w:hAnsi="Times New Roman" w:cs="Times New Roman"/>
        </w:rPr>
      </w:pPr>
      <w:proofErr w:type="spellStart"/>
      <w:r>
        <w:rPr>
          <w:rFonts w:ascii="Times New Roman" w:hAnsi="Times New Roman" w:cs="Times New Roman"/>
        </w:rPr>
        <w:t>Nidhis</w:t>
      </w:r>
      <w:proofErr w:type="spellEnd"/>
      <w:r>
        <w:rPr>
          <w:rFonts w:ascii="Times New Roman" w:hAnsi="Times New Roman" w:cs="Times New Roman"/>
        </w:rPr>
        <w:t>, Mutual Benefit Companies come under the M</w:t>
      </w:r>
      <w:r w:rsidR="002B3688">
        <w:rPr>
          <w:rFonts w:ascii="Times New Roman" w:hAnsi="Times New Roman" w:cs="Times New Roman"/>
        </w:rPr>
        <w:t>CA (Ministry of Corporate Affairs)</w:t>
      </w:r>
    </w:p>
    <w:p w14:paraId="6BD6E209" w14:textId="420E3B85" w:rsidR="002B3688" w:rsidRDefault="002B3688" w:rsidP="004B5779">
      <w:pPr>
        <w:pStyle w:val="ListParagraph"/>
        <w:numPr>
          <w:ilvl w:val="0"/>
          <w:numId w:val="7"/>
        </w:numPr>
        <w:spacing w:line="360" w:lineRule="auto"/>
        <w:jc w:val="both"/>
        <w:rPr>
          <w:rFonts w:ascii="Times New Roman" w:hAnsi="Times New Roman" w:cs="Times New Roman"/>
        </w:rPr>
      </w:pPr>
      <w:r>
        <w:rPr>
          <w:rFonts w:ascii="Times New Roman" w:hAnsi="Times New Roman" w:cs="Times New Roman"/>
        </w:rPr>
        <w:t>Other NBFCs such as Stock Brokers, Merchant Brokers, Housi</w:t>
      </w:r>
      <w:r w:rsidR="0021436F">
        <w:rPr>
          <w:rFonts w:ascii="Times New Roman" w:hAnsi="Times New Roman" w:cs="Times New Roman"/>
        </w:rPr>
        <w:t xml:space="preserve">ng Finance Companies, Mortgage guarantee companies and Insurance Companies are governed </w:t>
      </w:r>
      <w:r w:rsidR="0021436F">
        <w:rPr>
          <w:rFonts w:ascii="Times New Roman" w:hAnsi="Times New Roman" w:cs="Times New Roman"/>
        </w:rPr>
        <w:lastRenderedPageBreak/>
        <w:t xml:space="preserve">respectively </w:t>
      </w:r>
      <w:proofErr w:type="gramStart"/>
      <w:r w:rsidR="0021436F">
        <w:rPr>
          <w:rFonts w:ascii="Times New Roman" w:hAnsi="Times New Roman" w:cs="Times New Roman"/>
        </w:rPr>
        <w:t xml:space="preserve">by  </w:t>
      </w:r>
      <w:r w:rsidR="004C62B5">
        <w:rPr>
          <w:rFonts w:ascii="Times New Roman" w:hAnsi="Times New Roman" w:cs="Times New Roman"/>
        </w:rPr>
        <w:t>SEBI</w:t>
      </w:r>
      <w:proofErr w:type="gramEnd"/>
      <w:r w:rsidR="004C62B5">
        <w:rPr>
          <w:rFonts w:ascii="Times New Roman" w:hAnsi="Times New Roman" w:cs="Times New Roman"/>
        </w:rPr>
        <w:t>, RBI, IRDA and NHB, contingent on their activity and functions</w:t>
      </w:r>
      <w:r w:rsidR="003D005B">
        <w:rPr>
          <w:rStyle w:val="FootnoteReference"/>
          <w:rFonts w:ascii="Times New Roman" w:hAnsi="Times New Roman" w:cs="Times New Roman"/>
        </w:rPr>
        <w:footnoteReference w:id="16"/>
      </w:r>
    </w:p>
    <w:p w14:paraId="41C7B401" w14:textId="77777777" w:rsidR="008844B3" w:rsidRDefault="008844B3" w:rsidP="005D7656">
      <w:pPr>
        <w:spacing w:line="360" w:lineRule="auto"/>
        <w:jc w:val="both"/>
        <w:rPr>
          <w:rFonts w:ascii="Times New Roman" w:hAnsi="Times New Roman" w:cs="Times New Roman"/>
          <w:b/>
          <w:bCs/>
          <w:u w:val="single"/>
        </w:rPr>
      </w:pPr>
    </w:p>
    <w:p w14:paraId="1C68D007" w14:textId="3C2A673F" w:rsidR="005D7656" w:rsidRPr="00D9067A" w:rsidRDefault="005D7656" w:rsidP="005D7656">
      <w:pPr>
        <w:spacing w:line="360" w:lineRule="auto"/>
        <w:jc w:val="both"/>
        <w:rPr>
          <w:rFonts w:ascii="Times New Roman" w:hAnsi="Times New Roman" w:cs="Times New Roman"/>
          <w:b/>
          <w:bCs/>
          <w:u w:val="single"/>
        </w:rPr>
      </w:pPr>
      <w:r w:rsidRPr="00D9067A">
        <w:rPr>
          <w:rFonts w:ascii="Times New Roman" w:hAnsi="Times New Roman" w:cs="Times New Roman"/>
          <w:b/>
          <w:bCs/>
          <w:u w:val="single"/>
        </w:rPr>
        <w:t>Regulatory Structure of NBFCs in India</w:t>
      </w:r>
    </w:p>
    <w:p w14:paraId="5DC8AF0D" w14:textId="2980DB3A" w:rsidR="005D7656" w:rsidRPr="005D7656" w:rsidRDefault="005D7656" w:rsidP="005D7656">
      <w:pPr>
        <w:spacing w:line="360" w:lineRule="auto"/>
        <w:jc w:val="both"/>
        <w:rPr>
          <w:rFonts w:ascii="Times New Roman" w:hAnsi="Times New Roman" w:cs="Times New Roman"/>
        </w:rPr>
      </w:pPr>
      <w:r w:rsidRPr="005D7656">
        <w:rPr>
          <w:rFonts w:ascii="Times New Roman" w:hAnsi="Times New Roman" w:cs="Times New Roman"/>
        </w:rPr>
        <w:t>The Reserve Bank of India (RBI) is the direct regulator for the majority of Non-Banking Financial Companies (NBFCs) in India. The regulatory strategy has developed to strike a balance between financial inclusion and systemic stability. The RBI gets its powers of regulation from Chapter III-B of the Reserve Bank of India Act, 1934, i.e., sections 45-IA to 45-IE, which require registration, capital adequacy, asset classification, and supervisory monitoring.</w:t>
      </w:r>
      <w:r w:rsidR="006142E1">
        <w:rPr>
          <w:rStyle w:val="FootnoteReference"/>
          <w:rFonts w:ascii="Times New Roman" w:hAnsi="Times New Roman" w:cs="Times New Roman"/>
        </w:rPr>
        <w:footnoteReference w:id="17"/>
      </w:r>
    </w:p>
    <w:p w14:paraId="7F18E2C6" w14:textId="5D7115EC" w:rsidR="005D7656" w:rsidRPr="005D7656" w:rsidRDefault="005D7656" w:rsidP="005D7656">
      <w:pPr>
        <w:spacing w:line="360" w:lineRule="auto"/>
        <w:jc w:val="both"/>
        <w:rPr>
          <w:rFonts w:ascii="Times New Roman" w:hAnsi="Times New Roman" w:cs="Times New Roman"/>
        </w:rPr>
      </w:pPr>
      <w:r w:rsidRPr="005D7656">
        <w:rPr>
          <w:rFonts w:ascii="Times New Roman" w:hAnsi="Times New Roman" w:cs="Times New Roman"/>
        </w:rPr>
        <w:t xml:space="preserve">NBFCs have to register with the RBI and hold a minimum Net Owned Funds (NOF)—₹10 crore currently for </w:t>
      </w:r>
      <w:r w:rsidR="00D9067A">
        <w:rPr>
          <w:rFonts w:ascii="Times New Roman" w:hAnsi="Times New Roman" w:cs="Times New Roman"/>
        </w:rPr>
        <w:t xml:space="preserve">the </w:t>
      </w:r>
      <w:r w:rsidRPr="005D7656">
        <w:rPr>
          <w:rFonts w:ascii="Times New Roman" w:hAnsi="Times New Roman" w:cs="Times New Roman"/>
        </w:rPr>
        <w:t xml:space="preserve">majority of new applicants. Depending on their size, liability profile, and nature of business, RBI follows a tiered regulation scheme. Deposit-taking NBFCs as well as systemically important non-deposit taking NBFCs (NBFC-ND-SI) have to meet </w:t>
      </w:r>
      <w:r w:rsidR="00D9067A">
        <w:rPr>
          <w:rFonts w:ascii="Times New Roman" w:hAnsi="Times New Roman" w:cs="Times New Roman"/>
        </w:rPr>
        <w:t>stricter</w:t>
      </w:r>
      <w:r w:rsidRPr="005D7656">
        <w:rPr>
          <w:rFonts w:ascii="Times New Roman" w:hAnsi="Times New Roman" w:cs="Times New Roman"/>
        </w:rPr>
        <w:t xml:space="preserve"> prudential requirements</w:t>
      </w:r>
      <w:r w:rsidR="00EB3CE6">
        <w:rPr>
          <w:rFonts w:ascii="Times New Roman" w:hAnsi="Times New Roman" w:cs="Times New Roman"/>
        </w:rPr>
        <w:t xml:space="preserve"> concerning </w:t>
      </w:r>
      <w:r w:rsidRPr="005D7656">
        <w:rPr>
          <w:rFonts w:ascii="Times New Roman" w:hAnsi="Times New Roman" w:cs="Times New Roman"/>
        </w:rPr>
        <w:t>Capital to Risk-Weighted Assets Ratio (CRAR), exposure norms, liquidity buffer, and reporting requirements.</w:t>
      </w:r>
    </w:p>
    <w:p w14:paraId="158C62F7" w14:textId="5662E2FD" w:rsidR="005D7656" w:rsidRPr="005D7656" w:rsidRDefault="005D7656" w:rsidP="005D7656">
      <w:pPr>
        <w:spacing w:line="360" w:lineRule="auto"/>
        <w:jc w:val="both"/>
        <w:rPr>
          <w:rFonts w:ascii="Times New Roman" w:hAnsi="Times New Roman" w:cs="Times New Roman"/>
        </w:rPr>
      </w:pPr>
      <w:r w:rsidRPr="005D7656">
        <w:rPr>
          <w:rFonts w:ascii="Times New Roman" w:hAnsi="Times New Roman" w:cs="Times New Roman"/>
        </w:rPr>
        <w:t>The RBI also issues guidelines on asset-liability management (ALM), corporate governance, and risk</w:t>
      </w:r>
      <w:r w:rsidR="00EE55E3">
        <w:rPr>
          <w:rFonts w:ascii="Times New Roman" w:hAnsi="Times New Roman" w:cs="Times New Roman"/>
        </w:rPr>
        <w:t>-</w:t>
      </w:r>
      <w:r w:rsidRPr="005D7656">
        <w:rPr>
          <w:rFonts w:ascii="Times New Roman" w:hAnsi="Times New Roman" w:cs="Times New Roman"/>
        </w:rPr>
        <w:t>management. Periodic inspections, filing of statutory returns, and external audit reviews further robust supervision.</w:t>
      </w:r>
    </w:p>
    <w:p w14:paraId="783D9E17" w14:textId="4966333A" w:rsidR="00D9067A" w:rsidRDefault="005D7656" w:rsidP="005D7656">
      <w:pPr>
        <w:spacing w:line="360" w:lineRule="auto"/>
        <w:jc w:val="both"/>
        <w:rPr>
          <w:rFonts w:ascii="Times New Roman" w:hAnsi="Times New Roman" w:cs="Times New Roman"/>
        </w:rPr>
      </w:pPr>
      <w:r w:rsidRPr="005D7656">
        <w:rPr>
          <w:rFonts w:ascii="Times New Roman" w:hAnsi="Times New Roman" w:cs="Times New Roman"/>
        </w:rPr>
        <w:t xml:space="preserve">The RBI launched the </w:t>
      </w:r>
      <w:r w:rsidR="007044FE">
        <w:rPr>
          <w:rFonts w:ascii="Times New Roman" w:hAnsi="Times New Roman" w:cs="Times New Roman"/>
        </w:rPr>
        <w:t>s</w:t>
      </w:r>
      <w:r w:rsidRPr="005D7656">
        <w:rPr>
          <w:rFonts w:ascii="Times New Roman" w:hAnsi="Times New Roman" w:cs="Times New Roman"/>
        </w:rPr>
        <w:t>cale-</w:t>
      </w:r>
      <w:r w:rsidR="007044FE">
        <w:rPr>
          <w:rFonts w:ascii="Times New Roman" w:hAnsi="Times New Roman" w:cs="Times New Roman"/>
        </w:rPr>
        <w:t>b</w:t>
      </w:r>
      <w:r w:rsidRPr="005D7656">
        <w:rPr>
          <w:rFonts w:ascii="Times New Roman" w:hAnsi="Times New Roman" w:cs="Times New Roman"/>
        </w:rPr>
        <w:t xml:space="preserve">ased Regulation (SBR) framework in 2021 to make compliance in relation to the risk profile of NBFCs, </w:t>
      </w:r>
      <w:r w:rsidR="007044FE">
        <w:rPr>
          <w:rFonts w:ascii="Times New Roman" w:hAnsi="Times New Roman" w:cs="Times New Roman"/>
        </w:rPr>
        <w:t>categorising</w:t>
      </w:r>
      <w:r w:rsidRPr="005D7656">
        <w:rPr>
          <w:rFonts w:ascii="Times New Roman" w:hAnsi="Times New Roman" w:cs="Times New Roman"/>
        </w:rPr>
        <w:t xml:space="preserve"> them into four layers: Base Layer, Middle Layer, Upper Layer, and an additional Top Laye</w:t>
      </w:r>
      <w:r w:rsidR="00EB3CE6">
        <w:rPr>
          <w:rFonts w:ascii="Times New Roman" w:hAnsi="Times New Roman" w:cs="Times New Roman"/>
        </w:rPr>
        <w:t>r.</w:t>
      </w:r>
      <w:r w:rsidR="00550797">
        <w:rPr>
          <w:rStyle w:val="FootnoteReference"/>
          <w:rFonts w:ascii="Times New Roman" w:hAnsi="Times New Roman" w:cs="Times New Roman"/>
        </w:rPr>
        <w:footnoteReference w:id="18"/>
      </w:r>
    </w:p>
    <w:p w14:paraId="4B3E1346" w14:textId="77777777" w:rsidR="00C04612" w:rsidRDefault="00C04612" w:rsidP="005D7656">
      <w:pPr>
        <w:spacing w:line="360" w:lineRule="auto"/>
        <w:jc w:val="both"/>
        <w:rPr>
          <w:rFonts w:ascii="Times New Roman" w:hAnsi="Times New Roman" w:cs="Times New Roman"/>
        </w:rPr>
      </w:pPr>
    </w:p>
    <w:p w14:paraId="19147F2C" w14:textId="77777777" w:rsidR="009000E8" w:rsidRPr="009000E8" w:rsidRDefault="009000E8" w:rsidP="00C04612">
      <w:pPr>
        <w:spacing w:line="360" w:lineRule="auto"/>
        <w:jc w:val="both"/>
        <w:rPr>
          <w:rFonts w:ascii="Times New Roman" w:hAnsi="Times New Roman" w:cs="Times New Roman"/>
          <w:b/>
          <w:bCs/>
          <w:u w:val="single"/>
        </w:rPr>
      </w:pPr>
      <w:r w:rsidRPr="009000E8">
        <w:rPr>
          <w:rFonts w:ascii="Times New Roman" w:hAnsi="Times New Roman" w:cs="Times New Roman"/>
          <w:b/>
          <w:bCs/>
          <w:u w:val="single"/>
        </w:rPr>
        <w:t>Submission of Returns:</w:t>
      </w:r>
    </w:p>
    <w:p w14:paraId="698C2678" w14:textId="2D4E8632" w:rsidR="00C04612" w:rsidRPr="00C04612" w:rsidRDefault="00C04612" w:rsidP="00C04612">
      <w:pPr>
        <w:spacing w:line="360" w:lineRule="auto"/>
        <w:jc w:val="both"/>
        <w:rPr>
          <w:rFonts w:ascii="Times New Roman" w:hAnsi="Times New Roman" w:cs="Times New Roman"/>
        </w:rPr>
      </w:pPr>
      <w:r w:rsidRPr="00C04612">
        <w:rPr>
          <w:rFonts w:ascii="Times New Roman" w:hAnsi="Times New Roman" w:cs="Times New Roman"/>
        </w:rPr>
        <w:t xml:space="preserve">To effectively supervise and enforce </w:t>
      </w:r>
      <w:r w:rsidR="009000E8">
        <w:rPr>
          <w:rFonts w:ascii="Times New Roman" w:hAnsi="Times New Roman" w:cs="Times New Roman"/>
        </w:rPr>
        <w:t xml:space="preserve">the </w:t>
      </w:r>
      <w:r w:rsidRPr="00C04612">
        <w:rPr>
          <w:rFonts w:ascii="Times New Roman" w:hAnsi="Times New Roman" w:cs="Times New Roman"/>
        </w:rPr>
        <w:t xml:space="preserve">regulation of NBFCs, various mandatory statutory returns are required to be filed with the Reserve Bank of India. Each return plays an important </w:t>
      </w:r>
      <w:r w:rsidRPr="00C04612">
        <w:rPr>
          <w:rFonts w:ascii="Times New Roman" w:hAnsi="Times New Roman" w:cs="Times New Roman"/>
        </w:rPr>
        <w:lastRenderedPageBreak/>
        <w:t>role in NBFC supervision and regulates compliance</w:t>
      </w:r>
      <w:r w:rsidR="009000E8">
        <w:rPr>
          <w:rFonts w:ascii="Times New Roman" w:hAnsi="Times New Roman" w:cs="Times New Roman"/>
        </w:rPr>
        <w:t>,</w:t>
      </w:r>
      <w:r w:rsidRPr="00C04612">
        <w:rPr>
          <w:rFonts w:ascii="Times New Roman" w:hAnsi="Times New Roman" w:cs="Times New Roman"/>
        </w:rPr>
        <w:t xml:space="preserve"> and the timely submission of returns provides indications of the financial health of NBFCs, the liabilities to depositors and investors, compliance with avoidance norms, and operational conduct. The Master Circular, with respect to NBFCs</w:t>
      </w:r>
      <w:r w:rsidR="009000E8">
        <w:rPr>
          <w:rFonts w:ascii="Times New Roman" w:hAnsi="Times New Roman" w:cs="Times New Roman"/>
        </w:rPr>
        <w:t>,</w:t>
      </w:r>
      <w:r w:rsidRPr="00C04612">
        <w:rPr>
          <w:rFonts w:ascii="Times New Roman" w:hAnsi="Times New Roman" w:cs="Times New Roman"/>
        </w:rPr>
        <w:t xml:space="preserve"> is filed as follows: </w:t>
      </w:r>
    </w:p>
    <w:p w14:paraId="4EBE6B0B" w14:textId="77777777" w:rsidR="009000E8" w:rsidRDefault="00C04612" w:rsidP="00C04612">
      <w:pPr>
        <w:pStyle w:val="ListParagraph"/>
        <w:numPr>
          <w:ilvl w:val="0"/>
          <w:numId w:val="8"/>
        </w:numPr>
        <w:spacing w:line="360" w:lineRule="auto"/>
        <w:jc w:val="both"/>
        <w:rPr>
          <w:rFonts w:ascii="Times New Roman" w:hAnsi="Times New Roman" w:cs="Times New Roman"/>
        </w:rPr>
      </w:pPr>
      <w:r w:rsidRPr="009000E8">
        <w:rPr>
          <w:rFonts w:ascii="Times New Roman" w:hAnsi="Times New Roman" w:cs="Times New Roman"/>
        </w:rPr>
        <w:t xml:space="preserve">NBS-1: For NBFCs-D, with respect to assets and liabilities. </w:t>
      </w:r>
    </w:p>
    <w:p w14:paraId="54F6D183" w14:textId="77777777" w:rsidR="009000E8" w:rsidRDefault="00C04612" w:rsidP="00C04612">
      <w:pPr>
        <w:pStyle w:val="ListParagraph"/>
        <w:numPr>
          <w:ilvl w:val="0"/>
          <w:numId w:val="8"/>
        </w:numPr>
        <w:spacing w:line="360" w:lineRule="auto"/>
        <w:jc w:val="both"/>
        <w:rPr>
          <w:rFonts w:ascii="Times New Roman" w:hAnsi="Times New Roman" w:cs="Times New Roman"/>
        </w:rPr>
      </w:pPr>
      <w:r w:rsidRPr="009000E8">
        <w:rPr>
          <w:rFonts w:ascii="Times New Roman" w:hAnsi="Times New Roman" w:cs="Times New Roman"/>
        </w:rPr>
        <w:t xml:space="preserve">NBS-2: With respect to prudential norms. </w:t>
      </w:r>
    </w:p>
    <w:p w14:paraId="17643953" w14:textId="77777777" w:rsidR="009000E8" w:rsidRDefault="00C04612" w:rsidP="00C04612">
      <w:pPr>
        <w:pStyle w:val="ListParagraph"/>
        <w:numPr>
          <w:ilvl w:val="0"/>
          <w:numId w:val="8"/>
        </w:numPr>
        <w:spacing w:line="360" w:lineRule="auto"/>
        <w:jc w:val="both"/>
        <w:rPr>
          <w:rFonts w:ascii="Times New Roman" w:hAnsi="Times New Roman" w:cs="Times New Roman"/>
        </w:rPr>
      </w:pPr>
      <w:r w:rsidRPr="009000E8">
        <w:rPr>
          <w:rFonts w:ascii="Times New Roman" w:hAnsi="Times New Roman" w:cs="Times New Roman"/>
        </w:rPr>
        <w:t xml:space="preserve">NBS-9: For NBFCs-ND-SI, with respect to prudential norms on financial indicators and so on. </w:t>
      </w:r>
    </w:p>
    <w:p w14:paraId="2A62BFB5" w14:textId="77777777" w:rsidR="009000E8" w:rsidRDefault="00C04612" w:rsidP="00C04612">
      <w:pPr>
        <w:pStyle w:val="ListParagraph"/>
        <w:numPr>
          <w:ilvl w:val="0"/>
          <w:numId w:val="8"/>
        </w:numPr>
        <w:spacing w:line="360" w:lineRule="auto"/>
        <w:jc w:val="both"/>
        <w:rPr>
          <w:rFonts w:ascii="Times New Roman" w:hAnsi="Times New Roman" w:cs="Times New Roman"/>
        </w:rPr>
      </w:pPr>
      <w:r w:rsidRPr="009000E8">
        <w:rPr>
          <w:rFonts w:ascii="Times New Roman" w:hAnsi="Times New Roman" w:cs="Times New Roman"/>
        </w:rPr>
        <w:t xml:space="preserve">DNBS-10: For branch information. </w:t>
      </w:r>
    </w:p>
    <w:p w14:paraId="0753D96A" w14:textId="0C663A49" w:rsidR="00C04612" w:rsidRPr="009000E8" w:rsidRDefault="00C04612" w:rsidP="00C04612">
      <w:pPr>
        <w:pStyle w:val="ListParagraph"/>
        <w:numPr>
          <w:ilvl w:val="0"/>
          <w:numId w:val="8"/>
        </w:numPr>
        <w:spacing w:line="360" w:lineRule="auto"/>
        <w:jc w:val="both"/>
        <w:rPr>
          <w:rFonts w:ascii="Times New Roman" w:hAnsi="Times New Roman" w:cs="Times New Roman"/>
        </w:rPr>
      </w:pPr>
      <w:r w:rsidRPr="009000E8">
        <w:rPr>
          <w:rFonts w:ascii="Times New Roman" w:hAnsi="Times New Roman" w:cs="Times New Roman"/>
        </w:rPr>
        <w:t xml:space="preserve">AUDT-1: For auditor's certificate confirming compliance. </w:t>
      </w:r>
    </w:p>
    <w:p w14:paraId="22224237" w14:textId="31E0514E" w:rsidR="009B1E0A" w:rsidRDefault="00C04612" w:rsidP="009B1E0A">
      <w:pPr>
        <w:spacing w:line="360" w:lineRule="auto"/>
        <w:jc w:val="both"/>
        <w:rPr>
          <w:rFonts w:ascii="Times New Roman" w:hAnsi="Times New Roman" w:cs="Times New Roman"/>
        </w:rPr>
      </w:pPr>
      <w:r w:rsidRPr="00C04612">
        <w:rPr>
          <w:rFonts w:ascii="Times New Roman" w:hAnsi="Times New Roman" w:cs="Times New Roman"/>
        </w:rPr>
        <w:t>Mandatory compliance with timely returns and information means that if returns are not submitted, are not submitted in time, or if inconsistencies are evident on the returns filed, NBFCs will be penalized, and subject to heavy regulatory oversight.</w:t>
      </w:r>
    </w:p>
    <w:p w14:paraId="480511F2" w14:textId="77777777" w:rsidR="00C30C1F" w:rsidRDefault="00C30C1F" w:rsidP="009B1E0A">
      <w:pPr>
        <w:spacing w:line="360" w:lineRule="auto"/>
        <w:jc w:val="both"/>
        <w:rPr>
          <w:rFonts w:ascii="Times New Roman" w:hAnsi="Times New Roman" w:cs="Times New Roman"/>
        </w:rPr>
      </w:pPr>
    </w:p>
    <w:p w14:paraId="0ACF35D4" w14:textId="61234BDD" w:rsidR="009B1E0A" w:rsidRPr="009B1E0A" w:rsidRDefault="009B1E0A" w:rsidP="009B1E0A">
      <w:pPr>
        <w:spacing w:line="360" w:lineRule="auto"/>
        <w:jc w:val="both"/>
        <w:rPr>
          <w:rFonts w:ascii="Times New Roman" w:hAnsi="Times New Roman" w:cs="Times New Roman"/>
          <w:b/>
          <w:bCs/>
          <w:u w:val="single"/>
        </w:rPr>
      </w:pPr>
      <w:r w:rsidRPr="009B1E0A">
        <w:rPr>
          <w:rFonts w:ascii="Times New Roman" w:hAnsi="Times New Roman" w:cs="Times New Roman"/>
          <w:b/>
          <w:bCs/>
          <w:u w:val="single"/>
        </w:rPr>
        <w:t>Standards on Preventing Money Laundering (AML)</w:t>
      </w:r>
    </w:p>
    <w:p w14:paraId="4A50C375" w14:textId="6234BE80" w:rsidR="009B1E0A" w:rsidRPr="009B1E0A" w:rsidRDefault="009B1E0A" w:rsidP="009B1E0A">
      <w:pPr>
        <w:spacing w:line="360" w:lineRule="auto"/>
        <w:jc w:val="both"/>
        <w:rPr>
          <w:rFonts w:ascii="Times New Roman" w:hAnsi="Times New Roman" w:cs="Times New Roman"/>
        </w:rPr>
      </w:pPr>
      <w:r w:rsidRPr="009B1E0A">
        <w:rPr>
          <w:rFonts w:ascii="Times New Roman" w:hAnsi="Times New Roman" w:cs="Times New Roman"/>
        </w:rPr>
        <w:t>Non-banking financial companies (</w:t>
      </w:r>
      <w:r>
        <w:rPr>
          <w:rFonts w:ascii="Times New Roman" w:hAnsi="Times New Roman" w:cs="Times New Roman"/>
        </w:rPr>
        <w:t>NBFCs</w:t>
      </w:r>
      <w:r w:rsidRPr="009B1E0A">
        <w:rPr>
          <w:rFonts w:ascii="Times New Roman" w:hAnsi="Times New Roman" w:cs="Times New Roman"/>
        </w:rPr>
        <w:t>) are required to follow</w:t>
      </w:r>
      <w:r>
        <w:rPr>
          <w:rFonts w:ascii="Times New Roman" w:hAnsi="Times New Roman" w:cs="Times New Roman"/>
        </w:rPr>
        <w:t xml:space="preserve"> </w:t>
      </w:r>
      <w:r w:rsidRPr="009B1E0A">
        <w:rPr>
          <w:rFonts w:ascii="Times New Roman" w:hAnsi="Times New Roman" w:cs="Times New Roman"/>
        </w:rPr>
        <w:t>the</w:t>
      </w:r>
      <w:r>
        <w:rPr>
          <w:rFonts w:ascii="Times New Roman" w:hAnsi="Times New Roman" w:cs="Times New Roman"/>
        </w:rPr>
        <w:t xml:space="preserve"> regulations under </w:t>
      </w:r>
      <w:proofErr w:type="gramStart"/>
      <w:r>
        <w:rPr>
          <w:rFonts w:ascii="Times New Roman" w:hAnsi="Times New Roman" w:cs="Times New Roman"/>
        </w:rPr>
        <w:t xml:space="preserve">the </w:t>
      </w:r>
      <w:r w:rsidRPr="009B1E0A">
        <w:rPr>
          <w:rFonts w:ascii="Times New Roman" w:hAnsi="Times New Roman" w:cs="Times New Roman"/>
        </w:rPr>
        <w:t xml:space="preserve"> Prevention</w:t>
      </w:r>
      <w:proofErr w:type="gramEnd"/>
      <w:r w:rsidRPr="009B1E0A">
        <w:rPr>
          <w:rFonts w:ascii="Times New Roman" w:hAnsi="Times New Roman" w:cs="Times New Roman"/>
        </w:rPr>
        <w:t xml:space="preserve"> of Money Laundering Act (PMLA), 2002, along with other regulations issued by Reserve Bank of India (RBI) to mitigate risks associated with misuse of the financial system. They </w:t>
      </w:r>
      <w:r w:rsidR="003C0985">
        <w:rPr>
          <w:rFonts w:ascii="Times New Roman" w:hAnsi="Times New Roman" w:cs="Times New Roman"/>
        </w:rPr>
        <w:t>are required</w:t>
      </w:r>
      <w:r w:rsidRPr="009B1E0A">
        <w:rPr>
          <w:rFonts w:ascii="Times New Roman" w:hAnsi="Times New Roman" w:cs="Times New Roman"/>
        </w:rPr>
        <w:t xml:space="preserve"> to have </w:t>
      </w:r>
      <w:proofErr w:type="spellStart"/>
      <w:r w:rsidRPr="009B1E0A">
        <w:rPr>
          <w:rFonts w:ascii="Times New Roman" w:hAnsi="Times New Roman" w:cs="Times New Roman"/>
        </w:rPr>
        <w:t>Know</w:t>
      </w:r>
      <w:proofErr w:type="spellEnd"/>
      <w:r w:rsidRPr="009B1E0A">
        <w:rPr>
          <w:rFonts w:ascii="Times New Roman" w:hAnsi="Times New Roman" w:cs="Times New Roman"/>
        </w:rPr>
        <w:t xml:space="preserve"> Your Customer (KYC) policies and Customer Due Diligence (CDD) processes, a</w:t>
      </w:r>
      <w:r w:rsidR="003C0985">
        <w:rPr>
          <w:rFonts w:ascii="Times New Roman" w:hAnsi="Times New Roman" w:cs="Times New Roman"/>
        </w:rPr>
        <w:t xml:space="preserve">long with </w:t>
      </w:r>
      <w:r w:rsidRPr="009B1E0A">
        <w:rPr>
          <w:rFonts w:ascii="Times New Roman" w:hAnsi="Times New Roman" w:cs="Times New Roman"/>
        </w:rPr>
        <w:t xml:space="preserve">internal systems for </w:t>
      </w:r>
      <w:r w:rsidR="003C0985">
        <w:rPr>
          <w:rFonts w:ascii="Times New Roman" w:hAnsi="Times New Roman" w:cs="Times New Roman"/>
        </w:rPr>
        <w:t>recognising</w:t>
      </w:r>
      <w:r w:rsidRPr="009B1E0A">
        <w:rPr>
          <w:rFonts w:ascii="Times New Roman" w:hAnsi="Times New Roman" w:cs="Times New Roman"/>
        </w:rPr>
        <w:t xml:space="preserve"> and reporting suspicious activities to FIU-IND. There is also a requirement on NBFCs to designate a Principal Officer, actively manage their records retention policy for over five years, conduct employee training programs, and comply with all statutory requirements. Compliance strengthens the safety and soundness of the financial system</w:t>
      </w:r>
      <w:r w:rsidR="003C0985">
        <w:rPr>
          <w:rFonts w:ascii="Times New Roman" w:hAnsi="Times New Roman" w:cs="Times New Roman"/>
        </w:rPr>
        <w:t>,</w:t>
      </w:r>
      <w:r w:rsidRPr="009B1E0A">
        <w:rPr>
          <w:rFonts w:ascii="Times New Roman" w:hAnsi="Times New Roman" w:cs="Times New Roman"/>
        </w:rPr>
        <w:t xml:space="preserve"> which protects against illicit money laundering.</w:t>
      </w:r>
      <w:r w:rsidR="00C307CE">
        <w:rPr>
          <w:rStyle w:val="FootnoteReference"/>
          <w:rFonts w:ascii="Times New Roman" w:hAnsi="Times New Roman" w:cs="Times New Roman"/>
        </w:rPr>
        <w:footnoteReference w:id="19"/>
      </w:r>
    </w:p>
    <w:p w14:paraId="085EE5F5" w14:textId="77777777" w:rsidR="00C30C1F" w:rsidRDefault="00C30C1F" w:rsidP="0084484D">
      <w:pPr>
        <w:spacing w:line="360" w:lineRule="auto"/>
        <w:jc w:val="both"/>
        <w:rPr>
          <w:rFonts w:ascii="Times New Roman" w:hAnsi="Times New Roman" w:cs="Times New Roman"/>
          <w:b/>
          <w:bCs/>
          <w:u w:val="single"/>
        </w:rPr>
      </w:pPr>
    </w:p>
    <w:p w14:paraId="4E646F3A" w14:textId="77777777" w:rsidR="00C30C1F" w:rsidRDefault="00C30C1F" w:rsidP="0084484D">
      <w:pPr>
        <w:spacing w:line="360" w:lineRule="auto"/>
        <w:jc w:val="both"/>
        <w:rPr>
          <w:rFonts w:ascii="Times New Roman" w:hAnsi="Times New Roman" w:cs="Times New Roman"/>
          <w:b/>
          <w:bCs/>
          <w:u w:val="single"/>
        </w:rPr>
      </w:pPr>
    </w:p>
    <w:p w14:paraId="279DAD35" w14:textId="77777777" w:rsidR="00C30C1F" w:rsidRDefault="00C30C1F" w:rsidP="0084484D">
      <w:pPr>
        <w:spacing w:line="360" w:lineRule="auto"/>
        <w:jc w:val="both"/>
        <w:rPr>
          <w:rFonts w:ascii="Times New Roman" w:hAnsi="Times New Roman" w:cs="Times New Roman"/>
          <w:b/>
          <w:bCs/>
          <w:u w:val="single"/>
        </w:rPr>
      </w:pPr>
    </w:p>
    <w:p w14:paraId="2AD490E3" w14:textId="7E0BD956" w:rsidR="0084484D" w:rsidRPr="0084484D" w:rsidRDefault="0084484D" w:rsidP="0084484D">
      <w:pPr>
        <w:spacing w:line="360" w:lineRule="auto"/>
        <w:jc w:val="both"/>
        <w:rPr>
          <w:rFonts w:ascii="Times New Roman" w:hAnsi="Times New Roman" w:cs="Times New Roman"/>
          <w:b/>
          <w:bCs/>
          <w:u w:val="single"/>
        </w:rPr>
      </w:pPr>
      <w:r w:rsidRPr="0084484D">
        <w:rPr>
          <w:rFonts w:ascii="Times New Roman" w:hAnsi="Times New Roman" w:cs="Times New Roman"/>
          <w:b/>
          <w:bCs/>
          <w:u w:val="single"/>
        </w:rPr>
        <w:lastRenderedPageBreak/>
        <w:t>Fair Practices Code</w:t>
      </w:r>
    </w:p>
    <w:p w14:paraId="37C72B15" w14:textId="1EE095F7" w:rsidR="0084484D" w:rsidRPr="0084484D" w:rsidRDefault="0084484D" w:rsidP="0084484D">
      <w:pPr>
        <w:spacing w:line="360" w:lineRule="auto"/>
        <w:jc w:val="both"/>
        <w:rPr>
          <w:rFonts w:ascii="Times New Roman" w:hAnsi="Times New Roman" w:cs="Times New Roman"/>
        </w:rPr>
      </w:pPr>
      <w:r w:rsidRPr="0084484D">
        <w:rPr>
          <w:rFonts w:ascii="Times New Roman" w:hAnsi="Times New Roman" w:cs="Times New Roman"/>
        </w:rPr>
        <w:t>The Fair Practices Code (FPC) by RBI ensures transparency and ethical behaviour of NBFCs towards customers. NBFCs must disclose all loan terms and conditions clearly—especially interest rates, fees and repayment schedules. They must not use coercive recovery methods and have a grievance redressal mechanism with a designated officer for customer complaints. Notice must be given before recovery is initiated. FPC also mentions non-discrimination, confidentiality and respect in customer interactions. Adhering to this Code builds trust, promotes responsible lending and protects customer rights.</w:t>
      </w:r>
    </w:p>
    <w:p w14:paraId="183C118B" w14:textId="77777777" w:rsidR="00146881" w:rsidRDefault="00146881" w:rsidP="0084484D">
      <w:pPr>
        <w:spacing w:line="360" w:lineRule="auto"/>
        <w:jc w:val="both"/>
        <w:rPr>
          <w:rFonts w:ascii="Times New Roman" w:hAnsi="Times New Roman" w:cs="Times New Roman"/>
          <w:b/>
          <w:bCs/>
          <w:u w:val="single"/>
        </w:rPr>
      </w:pPr>
    </w:p>
    <w:p w14:paraId="4E333F23" w14:textId="28E5F02F" w:rsidR="0084484D" w:rsidRPr="0084484D" w:rsidRDefault="0084484D" w:rsidP="0084484D">
      <w:pPr>
        <w:spacing w:line="360" w:lineRule="auto"/>
        <w:jc w:val="both"/>
        <w:rPr>
          <w:rFonts w:ascii="Times New Roman" w:hAnsi="Times New Roman" w:cs="Times New Roman"/>
          <w:b/>
          <w:bCs/>
          <w:u w:val="single"/>
        </w:rPr>
      </w:pPr>
      <w:r w:rsidRPr="0084484D">
        <w:rPr>
          <w:rFonts w:ascii="Times New Roman" w:hAnsi="Times New Roman" w:cs="Times New Roman"/>
          <w:b/>
          <w:bCs/>
          <w:u w:val="single"/>
        </w:rPr>
        <w:t>Monitoring funds</w:t>
      </w:r>
    </w:p>
    <w:p w14:paraId="6ECC9D91" w14:textId="63A19E44" w:rsidR="0084484D" w:rsidRDefault="0084484D" w:rsidP="0084484D">
      <w:pPr>
        <w:spacing w:line="360" w:lineRule="auto"/>
        <w:jc w:val="both"/>
        <w:rPr>
          <w:rFonts w:ascii="Times New Roman" w:hAnsi="Times New Roman" w:cs="Times New Roman"/>
        </w:rPr>
      </w:pPr>
      <w:r w:rsidRPr="0084484D">
        <w:rPr>
          <w:rFonts w:ascii="Times New Roman" w:hAnsi="Times New Roman" w:cs="Times New Roman"/>
        </w:rPr>
        <w:t xml:space="preserve">NBFCs </w:t>
      </w:r>
      <w:r w:rsidR="00D21FD7">
        <w:rPr>
          <w:rFonts w:ascii="Times New Roman" w:hAnsi="Times New Roman" w:cs="Times New Roman"/>
        </w:rPr>
        <w:t xml:space="preserve">are required </w:t>
      </w:r>
      <w:r w:rsidRPr="0084484D">
        <w:rPr>
          <w:rFonts w:ascii="Times New Roman" w:hAnsi="Times New Roman" w:cs="Times New Roman"/>
        </w:rPr>
        <w:t xml:space="preserve">to have a robust fraud monitoring mechanism </w:t>
      </w:r>
      <w:r w:rsidR="00D21FD7">
        <w:rPr>
          <w:rFonts w:ascii="Times New Roman" w:hAnsi="Times New Roman" w:cs="Times New Roman"/>
        </w:rPr>
        <w:t xml:space="preserve">or system </w:t>
      </w:r>
      <w:r w:rsidRPr="0084484D">
        <w:rPr>
          <w:rFonts w:ascii="Times New Roman" w:hAnsi="Times New Roman" w:cs="Times New Roman"/>
        </w:rPr>
        <w:t xml:space="preserve">to detect, report and prevent </w:t>
      </w:r>
      <w:r w:rsidR="00D21FD7">
        <w:rPr>
          <w:rFonts w:ascii="Times New Roman" w:hAnsi="Times New Roman" w:cs="Times New Roman"/>
        </w:rPr>
        <w:t>fraud</w:t>
      </w:r>
      <w:r w:rsidRPr="0084484D">
        <w:rPr>
          <w:rFonts w:ascii="Times New Roman" w:hAnsi="Times New Roman" w:cs="Times New Roman"/>
        </w:rPr>
        <w:t>. A</w:t>
      </w:r>
      <w:r w:rsidR="00D21FD7">
        <w:rPr>
          <w:rFonts w:ascii="Times New Roman" w:hAnsi="Times New Roman" w:cs="Times New Roman"/>
        </w:rPr>
        <w:t xml:space="preserve">ccording to </w:t>
      </w:r>
      <w:r w:rsidRPr="0084484D">
        <w:rPr>
          <w:rFonts w:ascii="Times New Roman" w:hAnsi="Times New Roman" w:cs="Times New Roman"/>
        </w:rPr>
        <w:t>RBI guidelines</w:t>
      </w:r>
      <w:r w:rsidR="00D21FD7">
        <w:rPr>
          <w:rFonts w:ascii="Times New Roman" w:hAnsi="Times New Roman" w:cs="Times New Roman"/>
        </w:rPr>
        <w:t>,</w:t>
      </w:r>
      <w:r w:rsidRPr="0084484D">
        <w:rPr>
          <w:rFonts w:ascii="Times New Roman" w:hAnsi="Times New Roman" w:cs="Times New Roman"/>
        </w:rPr>
        <w:t xml:space="preserve"> all NBFCs have to report frauds of ₹1 lakh and above to the Central Fraud Monitoring Cell of RBI through FMR (Fraud Monitoring Return). Timely reporting, classification (intentional, </w:t>
      </w:r>
      <w:r>
        <w:rPr>
          <w:rFonts w:ascii="Times New Roman" w:hAnsi="Times New Roman" w:cs="Times New Roman"/>
        </w:rPr>
        <w:t>system-related</w:t>
      </w:r>
      <w:r w:rsidRPr="0084484D">
        <w:rPr>
          <w:rFonts w:ascii="Times New Roman" w:hAnsi="Times New Roman" w:cs="Times New Roman"/>
        </w:rPr>
        <w:t xml:space="preserve"> etc.), internal investigation is must. A Fraud Risk Management (FRM) framework must be in place supported by internal audits and whistleblower policy. Root cause analysis and corrective actions helps in strengthening internal controls, transparency and protecting stakeholder interest.</w:t>
      </w:r>
    </w:p>
    <w:p w14:paraId="29E22B8D" w14:textId="77777777" w:rsidR="00146881" w:rsidRPr="0084484D" w:rsidRDefault="00146881" w:rsidP="0084484D">
      <w:pPr>
        <w:spacing w:line="360" w:lineRule="auto"/>
        <w:jc w:val="both"/>
        <w:rPr>
          <w:rFonts w:ascii="Times New Roman" w:hAnsi="Times New Roman" w:cs="Times New Roman"/>
        </w:rPr>
      </w:pPr>
    </w:p>
    <w:p w14:paraId="287ABA74" w14:textId="5353B2E3" w:rsidR="009B1E0A" w:rsidRDefault="00A13601" w:rsidP="00C04612">
      <w:pPr>
        <w:spacing w:line="360" w:lineRule="auto"/>
        <w:jc w:val="both"/>
        <w:rPr>
          <w:rFonts w:ascii="Times New Roman" w:hAnsi="Times New Roman" w:cs="Times New Roman"/>
          <w:b/>
          <w:bCs/>
          <w:u w:val="single"/>
        </w:rPr>
      </w:pPr>
      <w:r w:rsidRPr="00A13601">
        <w:rPr>
          <w:rFonts w:ascii="Times New Roman" w:hAnsi="Times New Roman" w:cs="Times New Roman"/>
          <w:b/>
          <w:bCs/>
          <w:u w:val="single"/>
        </w:rPr>
        <w:t>Corporate Governance</w:t>
      </w:r>
    </w:p>
    <w:p w14:paraId="6DF93316" w14:textId="5E613DF8" w:rsidR="00DE0055" w:rsidRDefault="00DE0055" w:rsidP="00DE0055">
      <w:pPr>
        <w:spacing w:line="360" w:lineRule="auto"/>
        <w:jc w:val="both"/>
        <w:rPr>
          <w:rFonts w:ascii="Times New Roman" w:hAnsi="Times New Roman" w:cs="Times New Roman"/>
        </w:rPr>
      </w:pPr>
      <w:r w:rsidRPr="00DE0055">
        <w:rPr>
          <w:rFonts w:ascii="Times New Roman" w:hAnsi="Times New Roman" w:cs="Times New Roman"/>
        </w:rPr>
        <w:t xml:space="preserve">Corporate governance standards for NBFCs aim at ensuring accountability, transparency and good governance. Smaller NBFCs particularly those in the Lower Layer under Scale-Based Regulation should have an appropriately structured Board of Directors, Audit Committee, Nomination &amp; Remuneration Committee. Independent directors, board evaluation on a regular basis and fit-and-proper criteria for directors are </w:t>
      </w:r>
      <w:r w:rsidR="00F65170">
        <w:rPr>
          <w:rFonts w:ascii="Times New Roman" w:hAnsi="Times New Roman" w:cs="Times New Roman"/>
        </w:rPr>
        <w:t>needed</w:t>
      </w:r>
      <w:r w:rsidRPr="00DE0055">
        <w:rPr>
          <w:rFonts w:ascii="Times New Roman" w:hAnsi="Times New Roman" w:cs="Times New Roman"/>
        </w:rPr>
        <w:t xml:space="preserve">. NBFCs are also required to </w:t>
      </w:r>
      <w:r w:rsidR="00F65170">
        <w:rPr>
          <w:rFonts w:ascii="Times New Roman" w:hAnsi="Times New Roman" w:cs="Times New Roman"/>
        </w:rPr>
        <w:t>comply with</w:t>
      </w:r>
      <w:r w:rsidRPr="00DE0055">
        <w:rPr>
          <w:rFonts w:ascii="Times New Roman" w:hAnsi="Times New Roman" w:cs="Times New Roman"/>
        </w:rPr>
        <w:t xml:space="preserve"> disclosure standards</w:t>
      </w:r>
      <w:r w:rsidR="00F65170">
        <w:rPr>
          <w:rFonts w:ascii="Times New Roman" w:hAnsi="Times New Roman" w:cs="Times New Roman"/>
        </w:rPr>
        <w:t xml:space="preserve"> of</w:t>
      </w:r>
      <w:r w:rsidRPr="00DE0055">
        <w:rPr>
          <w:rFonts w:ascii="Times New Roman" w:hAnsi="Times New Roman" w:cs="Times New Roman"/>
        </w:rPr>
        <w:t xml:space="preserve"> risk management, related party transactions and financial performance. A good governance system </w:t>
      </w:r>
      <w:r w:rsidR="00F65170" w:rsidRPr="00DE0055">
        <w:rPr>
          <w:rFonts w:ascii="Times New Roman" w:hAnsi="Times New Roman" w:cs="Times New Roman"/>
        </w:rPr>
        <w:t>suggests</w:t>
      </w:r>
      <w:r w:rsidRPr="00DE0055">
        <w:rPr>
          <w:rFonts w:ascii="Times New Roman" w:hAnsi="Times New Roman" w:cs="Times New Roman"/>
        </w:rPr>
        <w:t xml:space="preserve"> stakeholder trust, promotes regulatory adherence and aligns the institution's </w:t>
      </w:r>
      <w:r w:rsidR="00F65170">
        <w:rPr>
          <w:rFonts w:ascii="Times New Roman" w:hAnsi="Times New Roman" w:cs="Times New Roman"/>
        </w:rPr>
        <w:t>behaviour</w:t>
      </w:r>
      <w:r w:rsidRPr="00DE0055">
        <w:rPr>
          <w:rFonts w:ascii="Times New Roman" w:hAnsi="Times New Roman" w:cs="Times New Roman"/>
        </w:rPr>
        <w:t xml:space="preserve"> with ethical business conduct.</w:t>
      </w:r>
    </w:p>
    <w:p w14:paraId="3A5EA515" w14:textId="77777777" w:rsidR="00DE0055" w:rsidRDefault="00DE0055" w:rsidP="00DE0055">
      <w:pPr>
        <w:spacing w:line="360" w:lineRule="auto"/>
        <w:jc w:val="both"/>
        <w:rPr>
          <w:rFonts w:ascii="Times New Roman" w:hAnsi="Times New Roman" w:cs="Times New Roman"/>
        </w:rPr>
      </w:pPr>
    </w:p>
    <w:p w14:paraId="40B0EA72" w14:textId="77777777" w:rsidR="00C30C1F" w:rsidRDefault="00C30C1F" w:rsidP="00DE0055">
      <w:pPr>
        <w:spacing w:line="360" w:lineRule="auto"/>
        <w:jc w:val="both"/>
        <w:rPr>
          <w:rFonts w:ascii="Times New Roman" w:hAnsi="Times New Roman" w:cs="Times New Roman"/>
        </w:rPr>
      </w:pPr>
    </w:p>
    <w:p w14:paraId="659E2AD3" w14:textId="77777777" w:rsidR="00C30C1F" w:rsidRPr="00DE0055" w:rsidRDefault="00C30C1F" w:rsidP="00DE0055">
      <w:pPr>
        <w:spacing w:line="360" w:lineRule="auto"/>
        <w:jc w:val="both"/>
        <w:rPr>
          <w:rFonts w:ascii="Times New Roman" w:hAnsi="Times New Roman" w:cs="Times New Roman"/>
        </w:rPr>
      </w:pPr>
    </w:p>
    <w:p w14:paraId="04CE9C4F" w14:textId="2F95628E" w:rsidR="00DE0055" w:rsidRPr="00DE0055" w:rsidRDefault="00DE0055" w:rsidP="00DE0055">
      <w:pPr>
        <w:spacing w:line="360" w:lineRule="auto"/>
        <w:jc w:val="both"/>
        <w:rPr>
          <w:rFonts w:ascii="Times New Roman" w:hAnsi="Times New Roman" w:cs="Times New Roman"/>
          <w:b/>
          <w:bCs/>
          <w:u w:val="single"/>
        </w:rPr>
      </w:pPr>
      <w:r w:rsidRPr="00DE0055">
        <w:rPr>
          <w:rFonts w:ascii="Times New Roman" w:hAnsi="Times New Roman" w:cs="Times New Roman"/>
          <w:b/>
          <w:bCs/>
          <w:u w:val="single"/>
        </w:rPr>
        <w:lastRenderedPageBreak/>
        <w:t xml:space="preserve">Foreign </w:t>
      </w:r>
      <w:r w:rsidR="00603658">
        <w:rPr>
          <w:rFonts w:ascii="Times New Roman" w:hAnsi="Times New Roman" w:cs="Times New Roman"/>
          <w:b/>
          <w:bCs/>
          <w:u w:val="single"/>
        </w:rPr>
        <w:t xml:space="preserve">Exchange </w:t>
      </w:r>
      <w:r w:rsidRPr="00DE0055">
        <w:rPr>
          <w:rFonts w:ascii="Times New Roman" w:hAnsi="Times New Roman" w:cs="Times New Roman"/>
          <w:b/>
          <w:bCs/>
          <w:u w:val="single"/>
        </w:rPr>
        <w:t>Investment in NBFCs</w:t>
      </w:r>
    </w:p>
    <w:p w14:paraId="60F58341" w14:textId="7271C90E" w:rsidR="008844B3" w:rsidRDefault="00DE0055" w:rsidP="00DE0055">
      <w:pPr>
        <w:spacing w:line="360" w:lineRule="auto"/>
        <w:jc w:val="both"/>
        <w:rPr>
          <w:rFonts w:ascii="Times New Roman" w:hAnsi="Times New Roman" w:cs="Times New Roman"/>
        </w:rPr>
      </w:pPr>
      <w:r w:rsidRPr="00DE0055">
        <w:rPr>
          <w:rFonts w:ascii="Times New Roman" w:hAnsi="Times New Roman" w:cs="Times New Roman"/>
        </w:rPr>
        <w:t xml:space="preserve">Foreign Direct Investment (FDI) in NBFCs is permissible under the automatic route with </w:t>
      </w:r>
      <w:r w:rsidR="00C954D7">
        <w:rPr>
          <w:rFonts w:ascii="Times New Roman" w:hAnsi="Times New Roman" w:cs="Times New Roman"/>
        </w:rPr>
        <w:t>sector-specific</w:t>
      </w:r>
      <w:r w:rsidRPr="00DE0055">
        <w:rPr>
          <w:rFonts w:ascii="Times New Roman" w:hAnsi="Times New Roman" w:cs="Times New Roman"/>
        </w:rPr>
        <w:t xml:space="preserve"> conditions and minimum </w:t>
      </w:r>
      <w:r w:rsidR="00C954D7">
        <w:rPr>
          <w:rFonts w:ascii="Times New Roman" w:hAnsi="Times New Roman" w:cs="Times New Roman"/>
        </w:rPr>
        <w:t>capitalisation</w:t>
      </w:r>
      <w:r w:rsidRPr="00DE0055">
        <w:rPr>
          <w:rFonts w:ascii="Times New Roman" w:hAnsi="Times New Roman" w:cs="Times New Roman"/>
        </w:rPr>
        <w:t xml:space="preserve"> requirements. According to existing FDI policy 100% FDI is permitted for all NBFC activities such as leasing, asset finance and microfinance subject to RBI guidelines. Foreign investment NBFCs are required to have a minimum net owned funds (NOF) and adhere to KYC/AML compliance. The activities not covered in the automatic route are subject to </w:t>
      </w:r>
      <w:r w:rsidR="0000065A">
        <w:rPr>
          <w:rFonts w:ascii="Times New Roman" w:hAnsi="Times New Roman" w:cs="Times New Roman"/>
        </w:rPr>
        <w:t>pre-authorisation</w:t>
      </w:r>
      <w:r w:rsidRPr="00DE0055">
        <w:rPr>
          <w:rFonts w:ascii="Times New Roman" w:hAnsi="Times New Roman" w:cs="Times New Roman"/>
        </w:rPr>
        <w:t xml:space="preserve"> by the government. These norms ensure foreign investment contributes to financial inclusion and growth and helps maintain national financial security.</w:t>
      </w:r>
      <w:r w:rsidR="001C107D">
        <w:rPr>
          <w:rStyle w:val="FootnoteReference"/>
          <w:rFonts w:ascii="Times New Roman" w:hAnsi="Times New Roman" w:cs="Times New Roman"/>
        </w:rPr>
        <w:footnoteReference w:id="20"/>
      </w:r>
    </w:p>
    <w:p w14:paraId="601EE8AB" w14:textId="77777777" w:rsidR="00A97876" w:rsidRPr="00A97876" w:rsidRDefault="00603658" w:rsidP="00A97876">
      <w:pPr>
        <w:spacing w:line="360" w:lineRule="auto"/>
        <w:rPr>
          <w:rFonts w:ascii="Times New Roman" w:hAnsi="Times New Roman" w:cs="Times New Roman"/>
          <w:b/>
          <w:bCs/>
          <w:u w:val="single"/>
        </w:rPr>
      </w:pPr>
      <w:r w:rsidRPr="00A97876">
        <w:rPr>
          <w:rFonts w:ascii="Times New Roman" w:hAnsi="Times New Roman" w:cs="Times New Roman"/>
          <w:b/>
          <w:bCs/>
          <w:u w:val="single"/>
        </w:rPr>
        <w:t>Overseas</w:t>
      </w:r>
      <w:r w:rsidR="00A97876" w:rsidRPr="00A97876">
        <w:rPr>
          <w:rFonts w:ascii="Times New Roman" w:hAnsi="Times New Roman" w:cs="Times New Roman"/>
          <w:b/>
          <w:bCs/>
          <w:u w:val="single"/>
        </w:rPr>
        <w:t xml:space="preserve"> </w:t>
      </w:r>
      <w:r w:rsidR="008D185C" w:rsidRPr="008D185C">
        <w:rPr>
          <w:rFonts w:ascii="Times New Roman" w:hAnsi="Times New Roman" w:cs="Times New Roman"/>
          <w:b/>
          <w:bCs/>
          <w:u w:val="single"/>
        </w:rPr>
        <w:t xml:space="preserve">Investments </w:t>
      </w:r>
    </w:p>
    <w:p w14:paraId="445B0BA1" w14:textId="4A19FEA7" w:rsidR="00091168" w:rsidRDefault="008D185C" w:rsidP="00A97876">
      <w:pPr>
        <w:spacing w:line="360" w:lineRule="auto"/>
        <w:jc w:val="both"/>
        <w:rPr>
          <w:rFonts w:ascii="Times New Roman" w:hAnsi="Times New Roman" w:cs="Times New Roman"/>
        </w:rPr>
      </w:pPr>
      <w:r w:rsidRPr="008D185C">
        <w:rPr>
          <w:rFonts w:ascii="Times New Roman" w:hAnsi="Times New Roman" w:cs="Times New Roman"/>
        </w:rPr>
        <w:t xml:space="preserve">Under the Overseas Direct Investment (ODI) framework, which is regulated by FEMA, 1999, and RBI guidelines, NBFCs are allowed to make foreign investments. Unless they are covered by the automatic route, such investments need prior RBI approval. A good track record, a minimum amount of Net Owned Funds (NOF), and adherence to prudential standards are among the requirements that NBFCs must fulfil. Foreign financial services industries typically </w:t>
      </w:r>
      <w:r w:rsidR="00091168">
        <w:rPr>
          <w:rFonts w:ascii="Times New Roman" w:hAnsi="Times New Roman" w:cs="Times New Roman"/>
        </w:rPr>
        <w:t>allow</w:t>
      </w:r>
      <w:r w:rsidRPr="008D185C">
        <w:rPr>
          <w:rFonts w:ascii="Times New Roman" w:hAnsi="Times New Roman" w:cs="Times New Roman"/>
        </w:rPr>
        <w:t xml:space="preserve"> investments, but they must be made</w:t>
      </w:r>
      <w:r w:rsidR="00091168">
        <w:rPr>
          <w:rFonts w:ascii="Times New Roman" w:hAnsi="Times New Roman" w:cs="Times New Roman"/>
        </w:rPr>
        <w:t xml:space="preserve"> only</w:t>
      </w:r>
      <w:r w:rsidRPr="008D185C">
        <w:rPr>
          <w:rFonts w:ascii="Times New Roman" w:hAnsi="Times New Roman" w:cs="Times New Roman"/>
        </w:rPr>
        <w:t xml:space="preserve"> in joint ventures or wholly-owned subsidiaries. These standards</w:t>
      </w:r>
      <w:r w:rsidR="00091168">
        <w:rPr>
          <w:rFonts w:ascii="Times New Roman" w:hAnsi="Times New Roman" w:cs="Times New Roman"/>
        </w:rPr>
        <w:t xml:space="preserve"> or guidelines</w:t>
      </w:r>
      <w:r w:rsidRPr="008D185C">
        <w:rPr>
          <w:rFonts w:ascii="Times New Roman" w:hAnsi="Times New Roman" w:cs="Times New Roman"/>
        </w:rPr>
        <w:t xml:space="preserve"> seek to guarantee that foreign operations are </w:t>
      </w:r>
      <w:r w:rsidR="00091168" w:rsidRPr="008D185C">
        <w:rPr>
          <w:rFonts w:ascii="Times New Roman" w:hAnsi="Times New Roman" w:cs="Times New Roman"/>
        </w:rPr>
        <w:t>practical</w:t>
      </w:r>
      <w:r w:rsidRPr="008D185C">
        <w:rPr>
          <w:rFonts w:ascii="Times New Roman" w:hAnsi="Times New Roman" w:cs="Times New Roman"/>
        </w:rPr>
        <w:t>, strategically sound, and do not jeopardise the stability of the economy</w:t>
      </w:r>
      <w:r w:rsidR="00091168">
        <w:rPr>
          <w:rFonts w:ascii="Times New Roman" w:hAnsi="Times New Roman" w:cs="Times New Roman"/>
        </w:rPr>
        <w:t xml:space="preserve"> in the country</w:t>
      </w:r>
      <w:r w:rsidRPr="008D185C">
        <w:rPr>
          <w:rFonts w:ascii="Times New Roman" w:hAnsi="Times New Roman" w:cs="Times New Roman"/>
        </w:rPr>
        <w:t>.</w:t>
      </w:r>
      <w:r w:rsidRPr="008D185C">
        <w:rPr>
          <w:rFonts w:ascii="Times New Roman" w:hAnsi="Times New Roman" w:cs="Times New Roman"/>
        </w:rPr>
        <w:br/>
      </w:r>
    </w:p>
    <w:p w14:paraId="7854FD81" w14:textId="40ACE85D" w:rsidR="008D185C" w:rsidRPr="008D185C" w:rsidRDefault="008D185C" w:rsidP="00A97876">
      <w:pPr>
        <w:spacing w:line="360" w:lineRule="auto"/>
        <w:jc w:val="both"/>
        <w:rPr>
          <w:rFonts w:ascii="Times New Roman" w:hAnsi="Times New Roman" w:cs="Times New Roman"/>
          <w:b/>
          <w:bCs/>
          <w:u w:val="single"/>
        </w:rPr>
      </w:pPr>
      <w:r w:rsidRPr="008D185C">
        <w:rPr>
          <w:rFonts w:ascii="Times New Roman" w:hAnsi="Times New Roman" w:cs="Times New Roman"/>
          <w:b/>
          <w:bCs/>
          <w:u w:val="single"/>
        </w:rPr>
        <w:t>Working Group on NBFC Sector Issues and Concerns</w:t>
      </w:r>
    </w:p>
    <w:p w14:paraId="3F39BCCB" w14:textId="624B327E" w:rsidR="008D185C" w:rsidRDefault="0037130F" w:rsidP="00DE0055">
      <w:pPr>
        <w:spacing w:line="360" w:lineRule="auto"/>
        <w:jc w:val="both"/>
        <w:rPr>
          <w:rFonts w:ascii="Times New Roman" w:hAnsi="Times New Roman" w:cs="Times New Roman"/>
        </w:rPr>
      </w:pPr>
      <w:r w:rsidRPr="0037130F">
        <w:rPr>
          <w:rFonts w:ascii="Times New Roman" w:hAnsi="Times New Roman" w:cs="Times New Roman"/>
        </w:rPr>
        <w:t xml:space="preserve">The RBI set up a Working Group on the NBFC Sector in 2010 led by Usha Thorat. This group looked into important issues such as regulatory arbitrage systemic risks, and poor governance in NBFCs. They suggested several changes. These included making NBFC rules more like bank rules asking for more capital, improving what NBFCs tell the public, and making Asset-Liability Management (ALM) systems better. The group stressed the need to watch large NBFCs </w:t>
      </w:r>
      <w:proofErr w:type="gramStart"/>
      <w:r w:rsidRPr="0037130F">
        <w:rPr>
          <w:rFonts w:ascii="Times New Roman" w:hAnsi="Times New Roman" w:cs="Times New Roman"/>
        </w:rPr>
        <w:t>more ,</w:t>
      </w:r>
      <w:proofErr w:type="gramEnd"/>
      <w:r w:rsidRPr="0037130F">
        <w:rPr>
          <w:rFonts w:ascii="Times New Roman" w:hAnsi="Times New Roman" w:cs="Times New Roman"/>
        </w:rPr>
        <w:t xml:space="preserve"> make rules more standard, and stop the misuse of public money. Many of these ideas helped create the Scale-Based Regulation (SBR) framework in 2021. This framework </w:t>
      </w:r>
      <w:r w:rsidRPr="0037130F">
        <w:rPr>
          <w:rFonts w:ascii="Times New Roman" w:hAnsi="Times New Roman" w:cs="Times New Roman"/>
        </w:rPr>
        <w:lastRenderedPageBreak/>
        <w:t>makes sure rules match the size, activities, and risks of each NBFC. As a result, the NBFC sector has become much stronger.</w:t>
      </w:r>
      <w:r w:rsidR="000812A3">
        <w:rPr>
          <w:rStyle w:val="FootnoteReference"/>
          <w:rFonts w:ascii="Times New Roman" w:hAnsi="Times New Roman" w:cs="Times New Roman"/>
        </w:rPr>
        <w:footnoteReference w:id="21"/>
      </w:r>
    </w:p>
    <w:p w14:paraId="3AE92296" w14:textId="77777777" w:rsidR="0037130F" w:rsidRDefault="0037130F" w:rsidP="00DE0055">
      <w:pPr>
        <w:spacing w:line="360" w:lineRule="auto"/>
        <w:jc w:val="both"/>
        <w:rPr>
          <w:rFonts w:ascii="Times New Roman" w:hAnsi="Times New Roman" w:cs="Times New Roman"/>
        </w:rPr>
      </w:pPr>
    </w:p>
    <w:p w14:paraId="73EE54A4" w14:textId="78CE4E31" w:rsidR="0037130F" w:rsidRPr="007B69D9" w:rsidRDefault="00E540AA" w:rsidP="00DE0055">
      <w:pPr>
        <w:spacing w:line="360" w:lineRule="auto"/>
        <w:jc w:val="both"/>
        <w:rPr>
          <w:rFonts w:ascii="Times New Roman" w:hAnsi="Times New Roman" w:cs="Times New Roman"/>
          <w:b/>
          <w:bCs/>
          <w:u w:val="single"/>
        </w:rPr>
      </w:pPr>
      <w:r w:rsidRPr="007B69D9">
        <w:rPr>
          <w:rFonts w:ascii="Times New Roman" w:hAnsi="Times New Roman" w:cs="Times New Roman"/>
          <w:b/>
          <w:bCs/>
          <w:u w:val="single"/>
        </w:rPr>
        <w:t>Conclusion:</w:t>
      </w:r>
    </w:p>
    <w:p w14:paraId="530ECCC4" w14:textId="5AFC4F6E" w:rsidR="00083FA7" w:rsidRPr="00083FA7" w:rsidRDefault="00083FA7" w:rsidP="00083FA7">
      <w:pPr>
        <w:spacing w:line="360" w:lineRule="auto"/>
        <w:jc w:val="both"/>
        <w:rPr>
          <w:rFonts w:ascii="Times New Roman" w:hAnsi="Times New Roman" w:cs="Times New Roman"/>
        </w:rPr>
      </w:pPr>
      <w:r w:rsidRPr="00083FA7">
        <w:rPr>
          <w:rFonts w:ascii="Times New Roman" w:hAnsi="Times New Roman" w:cs="Times New Roman"/>
        </w:rPr>
        <w:t>Non-Banking Financial Companies (NBFCs) play a crucial role in India's financial scene. They help fill credit gaps and make financial services more accessible. But their quick growth brings big challenges. These include regulatory loopholes</w:t>
      </w:r>
      <w:r w:rsidR="007B69D9">
        <w:rPr>
          <w:rFonts w:ascii="Times New Roman" w:hAnsi="Times New Roman" w:cs="Times New Roman"/>
        </w:rPr>
        <w:t>,</w:t>
      </w:r>
      <w:r w:rsidRPr="00083FA7">
        <w:rPr>
          <w:rFonts w:ascii="Times New Roman" w:hAnsi="Times New Roman" w:cs="Times New Roman"/>
        </w:rPr>
        <w:t xml:space="preserve"> mismatched liquidity</w:t>
      </w:r>
      <w:r w:rsidR="007B69D9">
        <w:rPr>
          <w:rFonts w:ascii="Times New Roman" w:hAnsi="Times New Roman" w:cs="Times New Roman"/>
        </w:rPr>
        <w:t>,</w:t>
      </w:r>
      <w:r w:rsidRPr="00083FA7">
        <w:rPr>
          <w:rFonts w:ascii="Times New Roman" w:hAnsi="Times New Roman" w:cs="Times New Roman"/>
        </w:rPr>
        <w:t xml:space="preserve"> higher credit risks, reliance on short-term loans, and issues with corporate governance.</w:t>
      </w:r>
    </w:p>
    <w:p w14:paraId="17823CBD" w14:textId="79EC4EF7" w:rsidR="00083FA7" w:rsidRPr="00083FA7" w:rsidRDefault="00083FA7" w:rsidP="00083FA7">
      <w:pPr>
        <w:spacing w:line="360" w:lineRule="auto"/>
        <w:jc w:val="both"/>
        <w:rPr>
          <w:rFonts w:ascii="Times New Roman" w:hAnsi="Times New Roman" w:cs="Times New Roman"/>
        </w:rPr>
      </w:pPr>
      <w:r w:rsidRPr="00083FA7">
        <w:rPr>
          <w:rFonts w:ascii="Times New Roman" w:hAnsi="Times New Roman" w:cs="Times New Roman"/>
        </w:rPr>
        <w:t>Some large NBFCs have failed. This shows we need better risk management</w:t>
      </w:r>
      <w:r w:rsidR="007B69D9">
        <w:rPr>
          <w:rFonts w:ascii="Times New Roman" w:hAnsi="Times New Roman" w:cs="Times New Roman"/>
        </w:rPr>
        <w:t>,</w:t>
      </w:r>
      <w:r w:rsidRPr="00083FA7">
        <w:rPr>
          <w:rFonts w:ascii="Times New Roman" w:hAnsi="Times New Roman" w:cs="Times New Roman"/>
        </w:rPr>
        <w:t xml:space="preserve"> closer oversight, and more openness. NBFCs now do many things banks do. So, the rules for them need to change to match how important they've become to the system.</w:t>
      </w:r>
    </w:p>
    <w:p w14:paraId="7A60CA0A" w14:textId="77777777" w:rsidR="00083FA7" w:rsidRPr="00083FA7" w:rsidRDefault="00083FA7" w:rsidP="00083FA7">
      <w:pPr>
        <w:spacing w:line="360" w:lineRule="auto"/>
        <w:jc w:val="both"/>
        <w:rPr>
          <w:rFonts w:ascii="Times New Roman" w:hAnsi="Times New Roman" w:cs="Times New Roman"/>
        </w:rPr>
      </w:pPr>
      <w:r w:rsidRPr="00083FA7">
        <w:rPr>
          <w:rFonts w:ascii="Times New Roman" w:hAnsi="Times New Roman" w:cs="Times New Roman"/>
        </w:rPr>
        <w:t>The RBI's move to Scale-Based Regulation (SBR) is a good start. It allows for oversight that fits the size, complexity, and connections of each company. The challenge now is to make NBFC rules more like bank rules. But this needs to happen without stopping new ideas or making operations too rigid.</w:t>
      </w:r>
    </w:p>
    <w:p w14:paraId="5865B550" w14:textId="699ED154" w:rsidR="00083FA7" w:rsidRPr="00083FA7" w:rsidRDefault="00083FA7" w:rsidP="00083FA7">
      <w:pPr>
        <w:spacing w:line="360" w:lineRule="auto"/>
        <w:jc w:val="both"/>
        <w:rPr>
          <w:rFonts w:ascii="Times New Roman" w:hAnsi="Times New Roman" w:cs="Times New Roman"/>
        </w:rPr>
      </w:pPr>
      <w:r w:rsidRPr="00083FA7">
        <w:rPr>
          <w:rFonts w:ascii="Times New Roman" w:hAnsi="Times New Roman" w:cs="Times New Roman"/>
        </w:rPr>
        <w:t>Looking ahead, NBFCs need to put money into digital systems, boost their governance rules, make sure they manage assets and debts, and create lending models that can last. At the same time, those in charge must improve their tools to spot problems, create fair rules for everyone, and help these institutions become stronger.</w:t>
      </w:r>
    </w:p>
    <w:p w14:paraId="520C6E5E" w14:textId="50E99833" w:rsidR="00E540AA" w:rsidRPr="00DE0055" w:rsidRDefault="00083FA7" w:rsidP="00083FA7">
      <w:pPr>
        <w:spacing w:line="360" w:lineRule="auto"/>
        <w:jc w:val="both"/>
        <w:rPr>
          <w:rFonts w:ascii="Times New Roman" w:hAnsi="Times New Roman" w:cs="Times New Roman"/>
        </w:rPr>
      </w:pPr>
      <w:r w:rsidRPr="00083FA7">
        <w:rPr>
          <w:rFonts w:ascii="Times New Roman" w:hAnsi="Times New Roman" w:cs="Times New Roman"/>
        </w:rPr>
        <w:t>In a fast-changing world of finance, we need a balanced plan. This plan should protect financial stability while also helping growth and new ideas. This balance will be key for NBFCs in India to grow in a way that lasts over time.</w:t>
      </w:r>
    </w:p>
    <w:sectPr w:rsidR="00E540AA" w:rsidRPr="00DE0055" w:rsidSect="004E01F0">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E1FD36" w14:textId="77777777" w:rsidR="004B094C" w:rsidRDefault="004B094C" w:rsidP="00040879">
      <w:pPr>
        <w:spacing w:after="0" w:line="240" w:lineRule="auto"/>
      </w:pPr>
      <w:r>
        <w:separator/>
      </w:r>
    </w:p>
  </w:endnote>
  <w:endnote w:type="continuationSeparator" w:id="0">
    <w:p w14:paraId="3E0E45C4" w14:textId="77777777" w:rsidR="004B094C" w:rsidRDefault="004B094C" w:rsidP="000408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02B3DB" w14:textId="77777777" w:rsidR="004B094C" w:rsidRDefault="004B094C" w:rsidP="00040879">
      <w:pPr>
        <w:spacing w:after="0" w:line="240" w:lineRule="auto"/>
      </w:pPr>
      <w:r>
        <w:separator/>
      </w:r>
    </w:p>
  </w:footnote>
  <w:footnote w:type="continuationSeparator" w:id="0">
    <w:p w14:paraId="206B2569" w14:textId="77777777" w:rsidR="004B094C" w:rsidRDefault="004B094C" w:rsidP="00040879">
      <w:pPr>
        <w:spacing w:after="0" w:line="240" w:lineRule="auto"/>
      </w:pPr>
      <w:r>
        <w:continuationSeparator/>
      </w:r>
    </w:p>
  </w:footnote>
  <w:footnote w:id="1">
    <w:p w14:paraId="259F64E5" w14:textId="7B856606" w:rsidR="00040879" w:rsidRPr="002F253D" w:rsidRDefault="00040879" w:rsidP="002F253D">
      <w:pPr>
        <w:pStyle w:val="FootnoteText"/>
        <w:rPr>
          <w:rFonts w:ascii="Times New Roman" w:hAnsi="Times New Roman" w:cs="Times New Roman"/>
        </w:rPr>
      </w:pPr>
      <w:r w:rsidRPr="002F253D">
        <w:rPr>
          <w:rStyle w:val="FootnoteReference"/>
          <w:rFonts w:ascii="Times New Roman" w:hAnsi="Times New Roman" w:cs="Times New Roman"/>
        </w:rPr>
        <w:footnoteRef/>
      </w:r>
      <w:r w:rsidRPr="002F253D">
        <w:rPr>
          <w:rFonts w:ascii="Times New Roman" w:hAnsi="Times New Roman" w:cs="Times New Roman"/>
        </w:rPr>
        <w:t xml:space="preserve"> </w:t>
      </w:r>
      <w:r w:rsidR="00DC6DE3" w:rsidRPr="002F253D">
        <w:rPr>
          <w:rFonts w:ascii="Times New Roman" w:hAnsi="Times New Roman" w:cs="Times New Roman"/>
        </w:rPr>
        <w:t xml:space="preserve">Financial Services Authority Wikipedia, https://en.wikipedia.org/wiki/Financial_Services_Authority (last visited Jun 22, 2025) </w:t>
      </w:r>
    </w:p>
    <w:p w14:paraId="608B9929" w14:textId="6EEE68D9" w:rsidR="00040879" w:rsidRPr="002F253D" w:rsidRDefault="00040879" w:rsidP="002F253D">
      <w:pPr>
        <w:pStyle w:val="FootnoteText"/>
        <w:rPr>
          <w:rFonts w:ascii="Times New Roman" w:hAnsi="Times New Roman" w:cs="Times New Roman"/>
        </w:rPr>
      </w:pPr>
    </w:p>
  </w:footnote>
  <w:footnote w:id="2">
    <w:p w14:paraId="77AA469C" w14:textId="77777777" w:rsidR="00B5575E" w:rsidRPr="002F253D" w:rsidRDefault="00B5575E" w:rsidP="002F253D">
      <w:pPr>
        <w:pStyle w:val="FootnoteText"/>
        <w:rPr>
          <w:rFonts w:ascii="Times New Roman" w:hAnsi="Times New Roman" w:cs="Times New Roman"/>
        </w:rPr>
      </w:pPr>
      <w:r w:rsidRPr="002F253D">
        <w:rPr>
          <w:rStyle w:val="FootnoteReference"/>
          <w:rFonts w:ascii="Times New Roman" w:hAnsi="Times New Roman" w:cs="Times New Roman"/>
        </w:rPr>
        <w:footnoteRef/>
      </w:r>
      <w:r w:rsidRPr="002F253D">
        <w:rPr>
          <w:rFonts w:ascii="Times New Roman" w:hAnsi="Times New Roman" w:cs="Times New Roman"/>
        </w:rPr>
        <w:t xml:space="preserve"> </w:t>
      </w:r>
      <w:r w:rsidRPr="002F253D">
        <w:rPr>
          <w:rFonts w:ascii="Times New Roman" w:hAnsi="Times New Roman" w:cs="Times New Roman"/>
        </w:rPr>
        <w:t xml:space="preserve">Financial institutions Council of Financial Regulators, https://www.cfr.gov.au/financial-institutions.html (last visited Jun 22, 2025) </w:t>
      </w:r>
    </w:p>
    <w:p w14:paraId="3285BBF0" w14:textId="5A63B70C" w:rsidR="00B5575E" w:rsidRPr="002F253D" w:rsidRDefault="00B5575E" w:rsidP="002F253D">
      <w:pPr>
        <w:pStyle w:val="FootnoteText"/>
        <w:rPr>
          <w:rFonts w:ascii="Times New Roman" w:hAnsi="Times New Roman" w:cs="Times New Roman"/>
        </w:rPr>
      </w:pPr>
    </w:p>
  </w:footnote>
  <w:footnote w:id="3">
    <w:p w14:paraId="26269911" w14:textId="77777777" w:rsidR="00D70D49" w:rsidRPr="002F253D" w:rsidRDefault="00D70D49" w:rsidP="002F253D">
      <w:pPr>
        <w:pStyle w:val="FootnoteText"/>
        <w:rPr>
          <w:rFonts w:ascii="Times New Roman" w:hAnsi="Times New Roman" w:cs="Times New Roman"/>
        </w:rPr>
      </w:pPr>
      <w:r w:rsidRPr="002F253D">
        <w:rPr>
          <w:rStyle w:val="FootnoteReference"/>
          <w:rFonts w:ascii="Times New Roman" w:hAnsi="Times New Roman" w:cs="Times New Roman"/>
        </w:rPr>
        <w:footnoteRef/>
      </w:r>
      <w:r w:rsidRPr="002F253D">
        <w:rPr>
          <w:rFonts w:ascii="Times New Roman" w:hAnsi="Times New Roman" w:cs="Times New Roman"/>
        </w:rPr>
        <w:t xml:space="preserve"> </w:t>
      </w:r>
      <w:r w:rsidRPr="002F253D">
        <w:rPr>
          <w:rFonts w:ascii="Times New Roman" w:hAnsi="Times New Roman" w:cs="Times New Roman"/>
        </w:rPr>
        <w:t xml:space="preserve">Maintenance, https://www.mas.gov.sg/statistics/monthly-statistical-bulletin/non-bank-financial-institutions (last visited Jun 22, 2025) </w:t>
      </w:r>
    </w:p>
    <w:p w14:paraId="0B268A69" w14:textId="31CAE942" w:rsidR="00D70D49" w:rsidRPr="002F253D" w:rsidRDefault="00D70D49" w:rsidP="002F253D">
      <w:pPr>
        <w:pStyle w:val="FootnoteText"/>
        <w:rPr>
          <w:rFonts w:ascii="Times New Roman" w:hAnsi="Times New Roman" w:cs="Times New Roman"/>
        </w:rPr>
      </w:pPr>
    </w:p>
  </w:footnote>
  <w:footnote w:id="4">
    <w:p w14:paraId="30C3AA55" w14:textId="77777777" w:rsidR="004A201F" w:rsidRPr="002F253D" w:rsidRDefault="004A201F" w:rsidP="002F253D">
      <w:pPr>
        <w:pStyle w:val="FootnoteText"/>
        <w:rPr>
          <w:rFonts w:ascii="Times New Roman" w:hAnsi="Times New Roman" w:cs="Times New Roman"/>
        </w:rPr>
      </w:pPr>
      <w:r w:rsidRPr="002F253D">
        <w:rPr>
          <w:rStyle w:val="FootnoteReference"/>
          <w:rFonts w:ascii="Times New Roman" w:hAnsi="Times New Roman" w:cs="Times New Roman"/>
        </w:rPr>
        <w:footnoteRef/>
      </w:r>
      <w:r w:rsidRPr="002F253D">
        <w:rPr>
          <w:rFonts w:ascii="Times New Roman" w:hAnsi="Times New Roman" w:cs="Times New Roman"/>
        </w:rPr>
        <w:t xml:space="preserve"> </w:t>
      </w:r>
      <w:r w:rsidRPr="002F253D">
        <w:rPr>
          <w:rFonts w:ascii="Times New Roman" w:hAnsi="Times New Roman" w:cs="Times New Roman"/>
        </w:rPr>
        <w:t xml:space="preserve">Reserve Bank of India, https://www.rbi.org.in/commonman/English/scripts/NBFCs.aspx (last visited Jun 22, 2025) </w:t>
      </w:r>
    </w:p>
    <w:p w14:paraId="4ED0C872" w14:textId="5D6A3D4B" w:rsidR="004A201F" w:rsidRDefault="004A201F">
      <w:pPr>
        <w:pStyle w:val="FootnoteText"/>
      </w:pPr>
    </w:p>
  </w:footnote>
  <w:footnote w:id="5">
    <w:p w14:paraId="672B3078" w14:textId="4176F433" w:rsidR="001F31A8" w:rsidRDefault="001F31A8">
      <w:pPr>
        <w:pStyle w:val="FootnoteText"/>
      </w:pPr>
      <w:r>
        <w:rPr>
          <w:rStyle w:val="FootnoteReference"/>
        </w:rPr>
        <w:footnoteRef/>
      </w:r>
      <w:r>
        <w:t xml:space="preserve"> </w:t>
      </w:r>
      <w:r w:rsidR="007D728C" w:rsidRPr="00961FEC">
        <w:rPr>
          <w:rFonts w:ascii="Times New Roman" w:hAnsi="Times New Roman" w:cs="Times New Roman"/>
        </w:rPr>
        <w:t>The Companies Act, No. 1 of 1956, INDIA CODE (1976), § 58A.</w:t>
      </w:r>
      <w:r w:rsidR="00961FEC">
        <w:rPr>
          <w:rFonts w:ascii="Times New Roman" w:hAnsi="Times New Roman" w:cs="Times New Roman"/>
        </w:rPr>
        <w:t xml:space="preserve"> </w:t>
      </w:r>
      <w:r w:rsidR="007D728C" w:rsidRPr="00961FEC">
        <w:rPr>
          <w:rFonts w:ascii="Times New Roman" w:hAnsi="Times New Roman" w:cs="Times New Roman"/>
        </w:rPr>
        <w:t>Companies (Acceptance of Deposits) Rules, 1975, Gazette of India</w:t>
      </w:r>
      <w:r w:rsidR="00961FEC" w:rsidRPr="00961FEC">
        <w:rPr>
          <w:rFonts w:ascii="Times New Roman" w:hAnsi="Times New Roman" w:cs="Times New Roman"/>
        </w:rPr>
        <w:t>.</w:t>
      </w:r>
    </w:p>
  </w:footnote>
  <w:footnote w:id="6">
    <w:p w14:paraId="7E1F8DA3" w14:textId="75E5E18C" w:rsidR="00E84F11" w:rsidRPr="00E84F11" w:rsidRDefault="00E84F11" w:rsidP="00E84F11">
      <w:pPr>
        <w:pStyle w:val="FootnoteText"/>
      </w:pPr>
      <w:r>
        <w:rPr>
          <w:rStyle w:val="FootnoteReference"/>
        </w:rPr>
        <w:footnoteRef/>
      </w:r>
      <w:r w:rsidRPr="00E84F11">
        <w:rPr>
          <w:rFonts w:ascii="Times New Roman" w:hAnsi="Times New Roman" w:cs="Times New Roman"/>
        </w:rPr>
        <w:t xml:space="preserve"> </w:t>
      </w:r>
      <w:r w:rsidRPr="00E84F11">
        <w:rPr>
          <w:rFonts w:ascii="Times New Roman" w:hAnsi="Times New Roman" w:cs="Times New Roman"/>
        </w:rPr>
        <w:t>Reserve Bank of India (Amendment) Act, 1997, No. 23 of 1997</w:t>
      </w:r>
      <w:r>
        <w:rPr>
          <w:rFonts w:ascii="Times New Roman" w:hAnsi="Times New Roman" w:cs="Times New Roman"/>
        </w:rPr>
        <w:t>.</w:t>
      </w:r>
    </w:p>
    <w:p w14:paraId="711DE9EA" w14:textId="1B89A871" w:rsidR="00E84F11" w:rsidRDefault="00E84F11">
      <w:pPr>
        <w:pStyle w:val="FootnoteText"/>
      </w:pPr>
    </w:p>
  </w:footnote>
  <w:footnote w:id="7">
    <w:p w14:paraId="16B2AA03" w14:textId="77777777" w:rsidR="00931D6F" w:rsidRPr="00931D6F" w:rsidRDefault="00931D6F" w:rsidP="00931D6F">
      <w:pPr>
        <w:pStyle w:val="FootnoteText"/>
      </w:pPr>
      <w:r>
        <w:rPr>
          <w:rStyle w:val="FootnoteReference"/>
        </w:rPr>
        <w:footnoteRef/>
      </w:r>
      <w:r>
        <w:t xml:space="preserve"> </w:t>
      </w:r>
      <w:r w:rsidRPr="00931D6F">
        <w:rPr>
          <w:rFonts w:ascii="Times New Roman" w:hAnsi="Times New Roman" w:cs="Times New Roman"/>
        </w:rPr>
        <w:t>James Raj Committee Report on Prize Chits and Money Circulation Schemes, Government of India (1974).</w:t>
      </w:r>
    </w:p>
    <w:p w14:paraId="2C6F6D58" w14:textId="5F30FAB2" w:rsidR="00931D6F" w:rsidRDefault="00931D6F">
      <w:pPr>
        <w:pStyle w:val="FootnoteText"/>
      </w:pPr>
    </w:p>
  </w:footnote>
  <w:footnote w:id="8">
    <w:p w14:paraId="79D3BFDF" w14:textId="77777777" w:rsidR="00BF2C99" w:rsidRPr="00BF2C99" w:rsidRDefault="00BF2C99" w:rsidP="00BF2C99">
      <w:pPr>
        <w:pStyle w:val="FootnoteText"/>
      </w:pPr>
      <w:r>
        <w:rPr>
          <w:rStyle w:val="FootnoteReference"/>
        </w:rPr>
        <w:footnoteRef/>
      </w:r>
      <w:r>
        <w:t xml:space="preserve"> </w:t>
      </w:r>
      <w:r w:rsidRPr="00BF2C99">
        <w:rPr>
          <w:rFonts w:ascii="Times New Roman" w:hAnsi="Times New Roman" w:cs="Times New Roman"/>
        </w:rPr>
        <w:t xml:space="preserve">Report of the Committee to Review the Working of the Monetary System (Chairman: </w:t>
      </w:r>
      <w:proofErr w:type="spellStart"/>
      <w:r w:rsidRPr="00BF2C99">
        <w:rPr>
          <w:rFonts w:ascii="Times New Roman" w:hAnsi="Times New Roman" w:cs="Times New Roman"/>
        </w:rPr>
        <w:t>Sukhamoy</w:t>
      </w:r>
      <w:proofErr w:type="spellEnd"/>
      <w:r w:rsidRPr="00BF2C99">
        <w:rPr>
          <w:rFonts w:ascii="Times New Roman" w:hAnsi="Times New Roman" w:cs="Times New Roman"/>
        </w:rPr>
        <w:t xml:space="preserve"> Chakravarty), Reserve Bank of India (1985).</w:t>
      </w:r>
    </w:p>
    <w:p w14:paraId="6E9954B1" w14:textId="4B74B5DD" w:rsidR="00BF2C99" w:rsidRDefault="00BF2C99">
      <w:pPr>
        <w:pStyle w:val="FootnoteText"/>
      </w:pPr>
    </w:p>
  </w:footnote>
  <w:footnote w:id="9">
    <w:p w14:paraId="073B0881" w14:textId="77777777" w:rsidR="001D284F" w:rsidRPr="001D284F" w:rsidRDefault="001D284F" w:rsidP="001D284F">
      <w:pPr>
        <w:pStyle w:val="FootnoteText"/>
        <w:rPr>
          <w:rFonts w:ascii="Times New Roman" w:hAnsi="Times New Roman" w:cs="Times New Roman"/>
        </w:rPr>
      </w:pPr>
      <w:r>
        <w:rPr>
          <w:rStyle w:val="FootnoteReference"/>
        </w:rPr>
        <w:footnoteRef/>
      </w:r>
      <w:r>
        <w:t xml:space="preserve"> </w:t>
      </w:r>
      <w:r w:rsidRPr="001D284F">
        <w:rPr>
          <w:rFonts w:ascii="Times New Roman" w:hAnsi="Times New Roman" w:cs="Times New Roman"/>
        </w:rPr>
        <w:t xml:space="preserve">Report of the Working Group on Money Market (Chairman: N. </w:t>
      </w:r>
      <w:proofErr w:type="spellStart"/>
      <w:r w:rsidRPr="001D284F">
        <w:rPr>
          <w:rFonts w:ascii="Times New Roman" w:hAnsi="Times New Roman" w:cs="Times New Roman"/>
        </w:rPr>
        <w:t>Vaghul</w:t>
      </w:r>
      <w:proofErr w:type="spellEnd"/>
      <w:r w:rsidRPr="001D284F">
        <w:rPr>
          <w:rFonts w:ascii="Times New Roman" w:hAnsi="Times New Roman" w:cs="Times New Roman"/>
        </w:rPr>
        <w:t>), Reserve Bank of India (1987).</w:t>
      </w:r>
    </w:p>
    <w:p w14:paraId="3454CF4B" w14:textId="7EC1EC11" w:rsidR="001D284F" w:rsidRDefault="001D284F">
      <w:pPr>
        <w:pStyle w:val="FootnoteText"/>
      </w:pPr>
    </w:p>
  </w:footnote>
  <w:footnote w:id="10">
    <w:p w14:paraId="24BF2B9D" w14:textId="77777777" w:rsidR="00AD7302" w:rsidRPr="00967C39" w:rsidRDefault="00AD7302" w:rsidP="00AD7302">
      <w:pPr>
        <w:pStyle w:val="FootnoteText"/>
        <w:rPr>
          <w:rFonts w:ascii="Times New Roman" w:hAnsi="Times New Roman" w:cs="Times New Roman"/>
        </w:rPr>
      </w:pPr>
      <w:r w:rsidRPr="00967C39">
        <w:rPr>
          <w:rStyle w:val="FootnoteReference"/>
          <w:rFonts w:ascii="Times New Roman" w:hAnsi="Times New Roman" w:cs="Times New Roman"/>
        </w:rPr>
        <w:footnoteRef/>
      </w:r>
      <w:r w:rsidRPr="00967C39">
        <w:rPr>
          <w:rFonts w:ascii="Times New Roman" w:hAnsi="Times New Roman" w:cs="Times New Roman"/>
        </w:rPr>
        <w:t xml:space="preserve"> </w:t>
      </w:r>
      <w:r w:rsidRPr="00967C39">
        <w:rPr>
          <w:rFonts w:ascii="Times New Roman" w:hAnsi="Times New Roman" w:cs="Times New Roman"/>
        </w:rPr>
        <w:t xml:space="preserve">Report of the Committee on the Financial System (Chairman: M. </w:t>
      </w:r>
      <w:proofErr w:type="spellStart"/>
      <w:r w:rsidRPr="00967C39">
        <w:rPr>
          <w:rFonts w:ascii="Times New Roman" w:hAnsi="Times New Roman" w:cs="Times New Roman"/>
        </w:rPr>
        <w:t>Narasimham</w:t>
      </w:r>
      <w:proofErr w:type="spellEnd"/>
      <w:r w:rsidRPr="00967C39">
        <w:rPr>
          <w:rFonts w:ascii="Times New Roman" w:hAnsi="Times New Roman" w:cs="Times New Roman"/>
        </w:rPr>
        <w:t>), Ministry of Finance, Government of India (1991).</w:t>
      </w:r>
    </w:p>
    <w:p w14:paraId="79B0F809" w14:textId="54F8F65B" w:rsidR="00AD7302" w:rsidRPr="00967C39" w:rsidRDefault="00AD7302">
      <w:pPr>
        <w:pStyle w:val="FootnoteText"/>
        <w:rPr>
          <w:rFonts w:ascii="Times New Roman" w:hAnsi="Times New Roman" w:cs="Times New Roman"/>
        </w:rPr>
      </w:pPr>
    </w:p>
  </w:footnote>
  <w:footnote w:id="11">
    <w:p w14:paraId="46DB0EF7" w14:textId="2CEA107D" w:rsidR="00967C39" w:rsidRDefault="00967C39">
      <w:pPr>
        <w:pStyle w:val="FootnoteText"/>
      </w:pPr>
      <w:r w:rsidRPr="00967C39">
        <w:rPr>
          <w:rStyle w:val="FootnoteReference"/>
          <w:rFonts w:ascii="Times New Roman" w:hAnsi="Times New Roman" w:cs="Times New Roman"/>
        </w:rPr>
        <w:footnoteRef/>
      </w:r>
      <w:r w:rsidRPr="00967C39">
        <w:rPr>
          <w:rFonts w:ascii="Times New Roman" w:hAnsi="Times New Roman" w:cs="Times New Roman"/>
        </w:rPr>
        <w:t xml:space="preserve"> </w:t>
      </w:r>
      <w:r w:rsidRPr="00967C39">
        <w:rPr>
          <w:rFonts w:ascii="Times New Roman" w:hAnsi="Times New Roman" w:cs="Times New Roman"/>
        </w:rPr>
        <w:t>Report of the Expert Group on Non-Banking Financial Companies (Chairman: A. C. Shah), Reserve Bank of India (1992)</w:t>
      </w:r>
      <w:r w:rsidRPr="00967C39">
        <w:rPr>
          <w:rFonts w:ascii="Times New Roman" w:hAnsi="Times New Roman" w:cs="Times New Roman"/>
        </w:rPr>
        <w:t>.</w:t>
      </w:r>
    </w:p>
  </w:footnote>
  <w:footnote w:id="12">
    <w:p w14:paraId="070D01A4" w14:textId="5FEDDA19" w:rsidR="00EA41E6" w:rsidRPr="00BB6B02" w:rsidRDefault="00EA41E6">
      <w:pPr>
        <w:pStyle w:val="FootnoteText"/>
        <w:rPr>
          <w:rFonts w:ascii="Times New Roman" w:hAnsi="Times New Roman" w:cs="Times New Roman"/>
        </w:rPr>
      </w:pPr>
      <w:r w:rsidRPr="00BB6B02">
        <w:rPr>
          <w:rStyle w:val="FootnoteReference"/>
          <w:rFonts w:ascii="Times New Roman" w:hAnsi="Times New Roman" w:cs="Times New Roman"/>
        </w:rPr>
        <w:footnoteRef/>
      </w:r>
      <w:r w:rsidRPr="00BB6B02">
        <w:rPr>
          <w:rFonts w:ascii="Times New Roman" w:hAnsi="Times New Roman" w:cs="Times New Roman"/>
        </w:rPr>
        <w:t xml:space="preserve"> </w:t>
      </w:r>
      <w:r w:rsidRPr="00BB6B02">
        <w:rPr>
          <w:rFonts w:ascii="Times New Roman" w:hAnsi="Times New Roman" w:cs="Times New Roman"/>
        </w:rPr>
        <w:t>The Reserve Bank of India Act, No. 2 of 1934, INDIA CODE (1993), § 45-I(a), (c), (e), (f), amended by Act No. 55 of 1963</w:t>
      </w:r>
    </w:p>
  </w:footnote>
  <w:footnote w:id="13">
    <w:p w14:paraId="0C55A668" w14:textId="6EE27822" w:rsidR="007064C1" w:rsidRPr="00BB6B02" w:rsidRDefault="007064C1">
      <w:pPr>
        <w:pStyle w:val="FootnoteText"/>
        <w:rPr>
          <w:rFonts w:ascii="Times New Roman" w:hAnsi="Times New Roman" w:cs="Times New Roman"/>
        </w:rPr>
      </w:pPr>
      <w:r w:rsidRPr="00BB6B02">
        <w:rPr>
          <w:rStyle w:val="FootnoteReference"/>
          <w:rFonts w:ascii="Times New Roman" w:hAnsi="Times New Roman" w:cs="Times New Roman"/>
        </w:rPr>
        <w:footnoteRef/>
      </w:r>
      <w:r w:rsidRPr="00BB6B02">
        <w:rPr>
          <w:rFonts w:ascii="Times New Roman" w:hAnsi="Times New Roman" w:cs="Times New Roman"/>
        </w:rPr>
        <w:t xml:space="preserve"> </w:t>
      </w:r>
      <w:r w:rsidR="00C9158B" w:rsidRPr="00BB6B02">
        <w:rPr>
          <w:rFonts w:ascii="Times New Roman" w:hAnsi="Times New Roman" w:cs="Times New Roman"/>
        </w:rPr>
        <w:t>Non-Banking Financial Companies Acceptance of Public Deposits (Reserve Bank) Directions, 1988, Notification No. DFC.55/DG(O)-87, Reserve Bank of India (India).</w:t>
      </w:r>
    </w:p>
  </w:footnote>
  <w:footnote w:id="14">
    <w:p w14:paraId="1962698C" w14:textId="1387A981" w:rsidR="00BB6B02" w:rsidRDefault="00BB6B02">
      <w:pPr>
        <w:pStyle w:val="FootnoteText"/>
      </w:pPr>
      <w:r w:rsidRPr="00BB6B02">
        <w:rPr>
          <w:rStyle w:val="FootnoteReference"/>
          <w:rFonts w:ascii="Times New Roman" w:hAnsi="Times New Roman" w:cs="Times New Roman"/>
        </w:rPr>
        <w:footnoteRef/>
      </w:r>
      <w:r w:rsidRPr="00BB6B02">
        <w:rPr>
          <w:rFonts w:ascii="Times New Roman" w:hAnsi="Times New Roman" w:cs="Times New Roman"/>
        </w:rPr>
        <w:t xml:space="preserve"> </w:t>
      </w:r>
      <w:r w:rsidRPr="00BB6B02">
        <w:rPr>
          <w:rFonts w:ascii="Times New Roman" w:hAnsi="Times New Roman" w:cs="Times New Roman"/>
        </w:rPr>
        <w:t>The Reserve Bank of India Act, No. 2 of 1934, § 45-I(c)</w:t>
      </w:r>
      <w:r w:rsidRPr="00BB6B02">
        <w:rPr>
          <w:rFonts w:ascii="Times New Roman" w:hAnsi="Times New Roman" w:cs="Times New Roman"/>
        </w:rPr>
        <w:t>.</w:t>
      </w:r>
    </w:p>
  </w:footnote>
  <w:footnote w:id="15">
    <w:p w14:paraId="544FE847" w14:textId="77777777" w:rsidR="0085204B" w:rsidRPr="0085204B" w:rsidRDefault="0085204B" w:rsidP="0085204B">
      <w:pPr>
        <w:pStyle w:val="FootnoteText"/>
        <w:rPr>
          <w:rFonts w:ascii="Times New Roman" w:hAnsi="Times New Roman" w:cs="Times New Roman"/>
        </w:rPr>
      </w:pPr>
      <w:r w:rsidRPr="0085204B">
        <w:rPr>
          <w:rStyle w:val="FootnoteReference"/>
          <w:rFonts w:ascii="Times New Roman" w:hAnsi="Times New Roman" w:cs="Times New Roman"/>
        </w:rPr>
        <w:footnoteRef/>
      </w:r>
      <w:r w:rsidRPr="0085204B">
        <w:rPr>
          <w:rFonts w:ascii="Times New Roman" w:hAnsi="Times New Roman" w:cs="Times New Roman"/>
        </w:rPr>
        <w:t xml:space="preserve"> </w:t>
      </w:r>
      <w:r w:rsidRPr="0085204B">
        <w:rPr>
          <w:rFonts w:ascii="Times New Roman" w:hAnsi="Times New Roman" w:cs="Times New Roman"/>
        </w:rPr>
        <w:t>Reserve Bank of India, Guidelines on NBFCs – Systemically Important Non-Deposit Taking NBFCs, Notification No. DNBS.PD/</w:t>
      </w:r>
      <w:proofErr w:type="spellStart"/>
      <w:r w:rsidRPr="0085204B">
        <w:rPr>
          <w:rFonts w:ascii="Times New Roman" w:hAnsi="Times New Roman" w:cs="Times New Roman"/>
        </w:rPr>
        <w:t>CC.No</w:t>
      </w:r>
      <w:proofErr w:type="spellEnd"/>
      <w:r w:rsidRPr="0085204B">
        <w:rPr>
          <w:rFonts w:ascii="Times New Roman" w:hAnsi="Times New Roman" w:cs="Times New Roman"/>
        </w:rPr>
        <w:t>. 85/03.02.089/2006-07, dated Dec. 12, 2006.</w:t>
      </w:r>
    </w:p>
    <w:p w14:paraId="6C24C96B" w14:textId="188EC808" w:rsidR="0085204B" w:rsidRDefault="0085204B">
      <w:pPr>
        <w:pStyle w:val="FootnoteText"/>
      </w:pPr>
    </w:p>
  </w:footnote>
  <w:footnote w:id="16">
    <w:p w14:paraId="4CB0D9B7" w14:textId="77777777" w:rsidR="003D005B" w:rsidRPr="003D005B" w:rsidRDefault="003D005B" w:rsidP="003D005B">
      <w:pPr>
        <w:pStyle w:val="FootnoteText"/>
        <w:rPr>
          <w:rFonts w:ascii="Times New Roman" w:hAnsi="Times New Roman" w:cs="Times New Roman"/>
        </w:rPr>
      </w:pPr>
      <w:r w:rsidRPr="003D005B">
        <w:rPr>
          <w:rStyle w:val="FootnoteReference"/>
          <w:rFonts w:ascii="Times New Roman" w:hAnsi="Times New Roman" w:cs="Times New Roman"/>
        </w:rPr>
        <w:footnoteRef/>
      </w:r>
      <w:r w:rsidRPr="003D005B">
        <w:rPr>
          <w:rFonts w:ascii="Times New Roman" w:hAnsi="Times New Roman" w:cs="Times New Roman"/>
        </w:rPr>
        <w:t xml:space="preserve"> </w:t>
      </w:r>
      <w:r w:rsidRPr="003D005B">
        <w:rPr>
          <w:rFonts w:ascii="Times New Roman" w:hAnsi="Times New Roman" w:cs="Times New Roman"/>
        </w:rPr>
        <w:t>The Securities and Exchange Board of India Act, No. 15 of 1992; The National Housing Bank Act, No. 53 of 1987; The Insurance Regulatory and Development Authority Act, No. 41 of 1999.</w:t>
      </w:r>
    </w:p>
    <w:p w14:paraId="370E34D6" w14:textId="379D13C1" w:rsidR="003D005B" w:rsidRDefault="003D005B">
      <w:pPr>
        <w:pStyle w:val="FootnoteText"/>
      </w:pPr>
    </w:p>
  </w:footnote>
  <w:footnote w:id="17">
    <w:p w14:paraId="4F670AC6" w14:textId="3B0BFA5A" w:rsidR="006142E1" w:rsidRPr="006142E1" w:rsidRDefault="006142E1">
      <w:pPr>
        <w:pStyle w:val="FootnoteText"/>
        <w:rPr>
          <w:rFonts w:ascii="Times New Roman" w:hAnsi="Times New Roman" w:cs="Times New Roman"/>
        </w:rPr>
      </w:pPr>
      <w:r w:rsidRPr="006142E1">
        <w:rPr>
          <w:rStyle w:val="FootnoteReference"/>
          <w:rFonts w:ascii="Times New Roman" w:hAnsi="Times New Roman" w:cs="Times New Roman"/>
        </w:rPr>
        <w:footnoteRef/>
      </w:r>
      <w:r w:rsidRPr="006142E1">
        <w:rPr>
          <w:rFonts w:ascii="Times New Roman" w:hAnsi="Times New Roman" w:cs="Times New Roman"/>
        </w:rPr>
        <w:t xml:space="preserve"> </w:t>
      </w:r>
      <w:r w:rsidRPr="006142E1">
        <w:rPr>
          <w:rFonts w:ascii="Times New Roman" w:hAnsi="Times New Roman" w:cs="Times New Roman"/>
        </w:rPr>
        <w:t>Reserve Bank of India Act, No. 2 of 1934, §§ 45-IA to 45-IE (India)</w:t>
      </w:r>
      <w:r w:rsidRPr="006142E1">
        <w:rPr>
          <w:rFonts w:ascii="Times New Roman" w:hAnsi="Times New Roman" w:cs="Times New Roman"/>
        </w:rPr>
        <w:t>.</w:t>
      </w:r>
    </w:p>
  </w:footnote>
  <w:footnote w:id="18">
    <w:p w14:paraId="70C81521" w14:textId="3420120F" w:rsidR="00550797" w:rsidRDefault="00550797">
      <w:pPr>
        <w:pStyle w:val="FootnoteText"/>
      </w:pPr>
      <w:r>
        <w:rPr>
          <w:rStyle w:val="FootnoteReference"/>
        </w:rPr>
        <w:footnoteRef/>
      </w:r>
      <w:r>
        <w:t xml:space="preserve"> </w:t>
      </w:r>
      <w:r w:rsidRPr="00CC1050">
        <w:rPr>
          <w:rFonts w:ascii="Times New Roman" w:hAnsi="Times New Roman" w:cs="Times New Roman"/>
        </w:rPr>
        <w:t xml:space="preserve">Reserve Bank of India, Scale Based Regulation (SBR): A Revised Regulatory Framework for NBFCs, RBI/2021-22/112, </w:t>
      </w:r>
      <w:proofErr w:type="gramStart"/>
      <w:r w:rsidRPr="00CC1050">
        <w:rPr>
          <w:rFonts w:ascii="Times New Roman" w:hAnsi="Times New Roman" w:cs="Times New Roman"/>
        </w:rPr>
        <w:t>DOR.CRE.REC.No.</w:t>
      </w:r>
      <w:proofErr w:type="gramEnd"/>
      <w:r w:rsidRPr="00CC1050">
        <w:rPr>
          <w:rFonts w:ascii="Times New Roman" w:hAnsi="Times New Roman" w:cs="Times New Roman"/>
        </w:rPr>
        <w:t>60/03.10.001/2021-22 (Oct. 22, 2021).</w:t>
      </w:r>
    </w:p>
  </w:footnote>
  <w:footnote w:id="19">
    <w:p w14:paraId="4A2D0B52" w14:textId="07A39912" w:rsidR="00C307CE" w:rsidRDefault="00C307CE">
      <w:pPr>
        <w:pStyle w:val="FootnoteText"/>
      </w:pPr>
      <w:r>
        <w:rPr>
          <w:rStyle w:val="FootnoteReference"/>
        </w:rPr>
        <w:footnoteRef/>
      </w:r>
      <w:r>
        <w:t xml:space="preserve"> </w:t>
      </w:r>
      <w:r w:rsidRPr="00C307CE">
        <w:rPr>
          <w:rFonts w:ascii="Times New Roman" w:hAnsi="Times New Roman" w:cs="Times New Roman"/>
        </w:rPr>
        <w:t xml:space="preserve">Prevention of Money Laundering Act, No. 15 of 2003, § 12 (India); Reserve Bank of India, Master Direction – Know Your Customer (KYC) Direction, 2016, RBI/DBR/2015-16/18 Master Direction </w:t>
      </w:r>
      <w:proofErr w:type="gramStart"/>
      <w:r w:rsidRPr="00C307CE">
        <w:rPr>
          <w:rFonts w:ascii="Times New Roman" w:hAnsi="Times New Roman" w:cs="Times New Roman"/>
        </w:rPr>
        <w:t>DBR.AML.BC.No.</w:t>
      </w:r>
      <w:proofErr w:type="gramEnd"/>
      <w:r w:rsidRPr="00C307CE">
        <w:rPr>
          <w:rFonts w:ascii="Times New Roman" w:hAnsi="Times New Roman" w:cs="Times New Roman"/>
        </w:rPr>
        <w:t>81/14.01.001/2015-16 (Feb. 25, 2016).</w:t>
      </w:r>
    </w:p>
  </w:footnote>
  <w:footnote w:id="20">
    <w:p w14:paraId="21EC60EC" w14:textId="4ACCCEB2" w:rsidR="001C107D" w:rsidRDefault="001C107D">
      <w:pPr>
        <w:pStyle w:val="FootnoteText"/>
      </w:pPr>
      <w:r>
        <w:rPr>
          <w:rStyle w:val="FootnoteReference"/>
        </w:rPr>
        <w:footnoteRef/>
      </w:r>
      <w:r>
        <w:t xml:space="preserve"> </w:t>
      </w:r>
      <w:r w:rsidRPr="001C107D">
        <w:rPr>
          <w:rFonts w:ascii="Times New Roman" w:hAnsi="Times New Roman" w:cs="Times New Roman"/>
        </w:rPr>
        <w:t>Consolidated FDI Policy, Department for Promotion of Industry and Internal Trade (DPIIT), Ministry of Commerce and Industry, Government of India (2020).</w:t>
      </w:r>
    </w:p>
  </w:footnote>
  <w:footnote w:id="21">
    <w:p w14:paraId="7600F820" w14:textId="7087E996" w:rsidR="000812A3" w:rsidRDefault="000812A3">
      <w:pPr>
        <w:pStyle w:val="FootnoteText"/>
      </w:pPr>
      <w:r>
        <w:rPr>
          <w:rStyle w:val="FootnoteReference"/>
        </w:rPr>
        <w:footnoteRef/>
      </w:r>
      <w:r>
        <w:t xml:space="preserve"> </w:t>
      </w:r>
      <w:r w:rsidRPr="000812A3">
        <w:rPr>
          <w:rFonts w:ascii="Times New Roman" w:hAnsi="Times New Roman" w:cs="Times New Roman"/>
        </w:rPr>
        <w:t>Reserve Bank of India, Report of the Working Group on the Issues and Concerns in the NBFC Sector (Chairperson: Usha Thorat) (Aug. 2011).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D50D3"/>
    <w:multiLevelType w:val="hybridMultilevel"/>
    <w:tmpl w:val="F2E859E6"/>
    <w:lvl w:ilvl="0" w:tplc="40090001">
      <w:start w:val="1"/>
      <w:numFmt w:val="bullet"/>
      <w:lvlText w:val=""/>
      <w:lvlJc w:val="left"/>
      <w:pPr>
        <w:ind w:left="778" w:hanging="360"/>
      </w:pPr>
      <w:rPr>
        <w:rFonts w:ascii="Symbol" w:hAnsi="Symbol" w:hint="default"/>
      </w:rPr>
    </w:lvl>
    <w:lvl w:ilvl="1" w:tplc="40090003" w:tentative="1">
      <w:start w:val="1"/>
      <w:numFmt w:val="bullet"/>
      <w:lvlText w:val="o"/>
      <w:lvlJc w:val="left"/>
      <w:pPr>
        <w:ind w:left="1498" w:hanging="360"/>
      </w:pPr>
      <w:rPr>
        <w:rFonts w:ascii="Courier New" w:hAnsi="Courier New" w:cs="Courier New" w:hint="default"/>
      </w:rPr>
    </w:lvl>
    <w:lvl w:ilvl="2" w:tplc="40090005" w:tentative="1">
      <w:start w:val="1"/>
      <w:numFmt w:val="bullet"/>
      <w:lvlText w:val=""/>
      <w:lvlJc w:val="left"/>
      <w:pPr>
        <w:ind w:left="2218" w:hanging="360"/>
      </w:pPr>
      <w:rPr>
        <w:rFonts w:ascii="Wingdings" w:hAnsi="Wingdings" w:hint="default"/>
      </w:rPr>
    </w:lvl>
    <w:lvl w:ilvl="3" w:tplc="40090001" w:tentative="1">
      <w:start w:val="1"/>
      <w:numFmt w:val="bullet"/>
      <w:lvlText w:val=""/>
      <w:lvlJc w:val="left"/>
      <w:pPr>
        <w:ind w:left="2938" w:hanging="360"/>
      </w:pPr>
      <w:rPr>
        <w:rFonts w:ascii="Symbol" w:hAnsi="Symbol" w:hint="default"/>
      </w:rPr>
    </w:lvl>
    <w:lvl w:ilvl="4" w:tplc="40090003" w:tentative="1">
      <w:start w:val="1"/>
      <w:numFmt w:val="bullet"/>
      <w:lvlText w:val="o"/>
      <w:lvlJc w:val="left"/>
      <w:pPr>
        <w:ind w:left="3658" w:hanging="360"/>
      </w:pPr>
      <w:rPr>
        <w:rFonts w:ascii="Courier New" w:hAnsi="Courier New" w:cs="Courier New" w:hint="default"/>
      </w:rPr>
    </w:lvl>
    <w:lvl w:ilvl="5" w:tplc="40090005" w:tentative="1">
      <w:start w:val="1"/>
      <w:numFmt w:val="bullet"/>
      <w:lvlText w:val=""/>
      <w:lvlJc w:val="left"/>
      <w:pPr>
        <w:ind w:left="4378" w:hanging="360"/>
      </w:pPr>
      <w:rPr>
        <w:rFonts w:ascii="Wingdings" w:hAnsi="Wingdings" w:hint="default"/>
      </w:rPr>
    </w:lvl>
    <w:lvl w:ilvl="6" w:tplc="40090001" w:tentative="1">
      <w:start w:val="1"/>
      <w:numFmt w:val="bullet"/>
      <w:lvlText w:val=""/>
      <w:lvlJc w:val="left"/>
      <w:pPr>
        <w:ind w:left="5098" w:hanging="360"/>
      </w:pPr>
      <w:rPr>
        <w:rFonts w:ascii="Symbol" w:hAnsi="Symbol" w:hint="default"/>
      </w:rPr>
    </w:lvl>
    <w:lvl w:ilvl="7" w:tplc="40090003" w:tentative="1">
      <w:start w:val="1"/>
      <w:numFmt w:val="bullet"/>
      <w:lvlText w:val="o"/>
      <w:lvlJc w:val="left"/>
      <w:pPr>
        <w:ind w:left="5818" w:hanging="360"/>
      </w:pPr>
      <w:rPr>
        <w:rFonts w:ascii="Courier New" w:hAnsi="Courier New" w:cs="Courier New" w:hint="default"/>
      </w:rPr>
    </w:lvl>
    <w:lvl w:ilvl="8" w:tplc="40090005" w:tentative="1">
      <w:start w:val="1"/>
      <w:numFmt w:val="bullet"/>
      <w:lvlText w:val=""/>
      <w:lvlJc w:val="left"/>
      <w:pPr>
        <w:ind w:left="6538" w:hanging="360"/>
      </w:pPr>
      <w:rPr>
        <w:rFonts w:ascii="Wingdings" w:hAnsi="Wingdings" w:hint="default"/>
      </w:rPr>
    </w:lvl>
  </w:abstractNum>
  <w:abstractNum w:abstractNumId="1" w15:restartNumberingAfterBreak="0">
    <w:nsid w:val="15ED6755"/>
    <w:multiLevelType w:val="hybridMultilevel"/>
    <w:tmpl w:val="0D6C31D4"/>
    <w:lvl w:ilvl="0" w:tplc="93C8091E">
      <w:start w:val="1"/>
      <w:numFmt w:val="low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15:restartNumberingAfterBreak="0">
    <w:nsid w:val="210452F2"/>
    <w:multiLevelType w:val="hybridMultilevel"/>
    <w:tmpl w:val="80747B86"/>
    <w:lvl w:ilvl="0" w:tplc="A4EC9234">
      <w:start w:val="1"/>
      <w:numFmt w:val="low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 w15:restartNumberingAfterBreak="0">
    <w:nsid w:val="21451E6B"/>
    <w:multiLevelType w:val="hybridMultilevel"/>
    <w:tmpl w:val="25F229FE"/>
    <w:lvl w:ilvl="0" w:tplc="5CB058BE">
      <w:start w:val="1"/>
      <w:numFmt w:val="lowerRoman"/>
      <w:lvlText w:val="%1."/>
      <w:lvlJc w:val="left"/>
      <w:pPr>
        <w:ind w:left="1211" w:hanging="360"/>
      </w:pPr>
      <w:rPr>
        <w:rFonts w:ascii="Times New Roman" w:eastAsiaTheme="minorHAnsi" w:hAnsi="Times New Roman" w:cs="Times New Roman"/>
      </w:rPr>
    </w:lvl>
    <w:lvl w:ilvl="1" w:tplc="40090003" w:tentative="1">
      <w:start w:val="1"/>
      <w:numFmt w:val="bullet"/>
      <w:lvlText w:val="o"/>
      <w:lvlJc w:val="left"/>
      <w:pPr>
        <w:ind w:left="1931" w:hanging="360"/>
      </w:pPr>
      <w:rPr>
        <w:rFonts w:ascii="Courier New" w:hAnsi="Courier New" w:cs="Courier New" w:hint="default"/>
      </w:rPr>
    </w:lvl>
    <w:lvl w:ilvl="2" w:tplc="40090005" w:tentative="1">
      <w:start w:val="1"/>
      <w:numFmt w:val="bullet"/>
      <w:lvlText w:val=""/>
      <w:lvlJc w:val="left"/>
      <w:pPr>
        <w:ind w:left="2651" w:hanging="360"/>
      </w:pPr>
      <w:rPr>
        <w:rFonts w:ascii="Wingdings" w:hAnsi="Wingdings" w:hint="default"/>
      </w:rPr>
    </w:lvl>
    <w:lvl w:ilvl="3" w:tplc="40090001" w:tentative="1">
      <w:start w:val="1"/>
      <w:numFmt w:val="bullet"/>
      <w:lvlText w:val=""/>
      <w:lvlJc w:val="left"/>
      <w:pPr>
        <w:ind w:left="3371" w:hanging="360"/>
      </w:pPr>
      <w:rPr>
        <w:rFonts w:ascii="Symbol" w:hAnsi="Symbol" w:hint="default"/>
      </w:rPr>
    </w:lvl>
    <w:lvl w:ilvl="4" w:tplc="40090003" w:tentative="1">
      <w:start w:val="1"/>
      <w:numFmt w:val="bullet"/>
      <w:lvlText w:val="o"/>
      <w:lvlJc w:val="left"/>
      <w:pPr>
        <w:ind w:left="4091" w:hanging="360"/>
      </w:pPr>
      <w:rPr>
        <w:rFonts w:ascii="Courier New" w:hAnsi="Courier New" w:cs="Courier New" w:hint="default"/>
      </w:rPr>
    </w:lvl>
    <w:lvl w:ilvl="5" w:tplc="40090005" w:tentative="1">
      <w:start w:val="1"/>
      <w:numFmt w:val="bullet"/>
      <w:lvlText w:val=""/>
      <w:lvlJc w:val="left"/>
      <w:pPr>
        <w:ind w:left="4811" w:hanging="360"/>
      </w:pPr>
      <w:rPr>
        <w:rFonts w:ascii="Wingdings" w:hAnsi="Wingdings" w:hint="default"/>
      </w:rPr>
    </w:lvl>
    <w:lvl w:ilvl="6" w:tplc="40090001" w:tentative="1">
      <w:start w:val="1"/>
      <w:numFmt w:val="bullet"/>
      <w:lvlText w:val=""/>
      <w:lvlJc w:val="left"/>
      <w:pPr>
        <w:ind w:left="5531" w:hanging="360"/>
      </w:pPr>
      <w:rPr>
        <w:rFonts w:ascii="Symbol" w:hAnsi="Symbol" w:hint="default"/>
      </w:rPr>
    </w:lvl>
    <w:lvl w:ilvl="7" w:tplc="40090003" w:tentative="1">
      <w:start w:val="1"/>
      <w:numFmt w:val="bullet"/>
      <w:lvlText w:val="o"/>
      <w:lvlJc w:val="left"/>
      <w:pPr>
        <w:ind w:left="6251" w:hanging="360"/>
      </w:pPr>
      <w:rPr>
        <w:rFonts w:ascii="Courier New" w:hAnsi="Courier New" w:cs="Courier New" w:hint="default"/>
      </w:rPr>
    </w:lvl>
    <w:lvl w:ilvl="8" w:tplc="40090005" w:tentative="1">
      <w:start w:val="1"/>
      <w:numFmt w:val="bullet"/>
      <w:lvlText w:val=""/>
      <w:lvlJc w:val="left"/>
      <w:pPr>
        <w:ind w:left="6971" w:hanging="360"/>
      </w:pPr>
      <w:rPr>
        <w:rFonts w:ascii="Wingdings" w:hAnsi="Wingdings" w:hint="default"/>
      </w:rPr>
    </w:lvl>
  </w:abstractNum>
  <w:abstractNum w:abstractNumId="4" w15:restartNumberingAfterBreak="0">
    <w:nsid w:val="2C894DD1"/>
    <w:multiLevelType w:val="hybridMultilevel"/>
    <w:tmpl w:val="FC66970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32A17B49"/>
    <w:multiLevelType w:val="hybridMultilevel"/>
    <w:tmpl w:val="59C8BAC6"/>
    <w:lvl w:ilvl="0" w:tplc="5A96C894">
      <w:start w:val="1"/>
      <w:numFmt w:val="low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6" w15:restartNumberingAfterBreak="0">
    <w:nsid w:val="3CCC2EB6"/>
    <w:multiLevelType w:val="multilevel"/>
    <w:tmpl w:val="86E817A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F3815A1"/>
    <w:multiLevelType w:val="hybridMultilevel"/>
    <w:tmpl w:val="999C8E66"/>
    <w:lvl w:ilvl="0" w:tplc="B80E5F6E">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699C518D"/>
    <w:multiLevelType w:val="hybridMultilevel"/>
    <w:tmpl w:val="B07049A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131287869">
    <w:abstractNumId w:val="0"/>
  </w:num>
  <w:num w:numId="2" w16cid:durableId="1597471589">
    <w:abstractNumId w:val="3"/>
  </w:num>
  <w:num w:numId="3" w16cid:durableId="1443186082">
    <w:abstractNumId w:val="5"/>
  </w:num>
  <w:num w:numId="4" w16cid:durableId="636253750">
    <w:abstractNumId w:val="2"/>
  </w:num>
  <w:num w:numId="5" w16cid:durableId="300693155">
    <w:abstractNumId w:val="1"/>
  </w:num>
  <w:num w:numId="6" w16cid:durableId="1600916466">
    <w:abstractNumId w:val="8"/>
  </w:num>
  <w:num w:numId="7" w16cid:durableId="1889606746">
    <w:abstractNumId w:val="7"/>
  </w:num>
  <w:num w:numId="8" w16cid:durableId="1591115031">
    <w:abstractNumId w:val="4"/>
  </w:num>
  <w:num w:numId="9" w16cid:durableId="49368799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6EB6"/>
    <w:rsid w:val="0000065A"/>
    <w:rsid w:val="00000ED0"/>
    <w:rsid w:val="00010DA4"/>
    <w:rsid w:val="00021F72"/>
    <w:rsid w:val="00040879"/>
    <w:rsid w:val="00047BBC"/>
    <w:rsid w:val="000529D7"/>
    <w:rsid w:val="0007481D"/>
    <w:rsid w:val="00075F90"/>
    <w:rsid w:val="000812A3"/>
    <w:rsid w:val="00083FA7"/>
    <w:rsid w:val="00091168"/>
    <w:rsid w:val="00095B0D"/>
    <w:rsid w:val="00097C2F"/>
    <w:rsid w:val="000A3F6C"/>
    <w:rsid w:val="000E40A6"/>
    <w:rsid w:val="00101126"/>
    <w:rsid w:val="0011442C"/>
    <w:rsid w:val="001209C2"/>
    <w:rsid w:val="00130788"/>
    <w:rsid w:val="00137298"/>
    <w:rsid w:val="001409F7"/>
    <w:rsid w:val="00146881"/>
    <w:rsid w:val="00156BED"/>
    <w:rsid w:val="001C107D"/>
    <w:rsid w:val="001C6614"/>
    <w:rsid w:val="001D284F"/>
    <w:rsid w:val="001D3DF1"/>
    <w:rsid w:val="001F31A8"/>
    <w:rsid w:val="00200C3E"/>
    <w:rsid w:val="002056CC"/>
    <w:rsid w:val="00207525"/>
    <w:rsid w:val="00212C3B"/>
    <w:rsid w:val="0021436F"/>
    <w:rsid w:val="00230FAA"/>
    <w:rsid w:val="0025237E"/>
    <w:rsid w:val="00270570"/>
    <w:rsid w:val="002A64DA"/>
    <w:rsid w:val="002B3688"/>
    <w:rsid w:val="002C1508"/>
    <w:rsid w:val="002D48AE"/>
    <w:rsid w:val="002F253D"/>
    <w:rsid w:val="002F6622"/>
    <w:rsid w:val="002F7D1E"/>
    <w:rsid w:val="00310576"/>
    <w:rsid w:val="003417A5"/>
    <w:rsid w:val="00346B3A"/>
    <w:rsid w:val="00363D36"/>
    <w:rsid w:val="0037130F"/>
    <w:rsid w:val="003A6DBC"/>
    <w:rsid w:val="003B3CFF"/>
    <w:rsid w:val="003B7C2F"/>
    <w:rsid w:val="003C0985"/>
    <w:rsid w:val="003D005B"/>
    <w:rsid w:val="003E27FD"/>
    <w:rsid w:val="004057B4"/>
    <w:rsid w:val="00416F42"/>
    <w:rsid w:val="0041740E"/>
    <w:rsid w:val="004405CC"/>
    <w:rsid w:val="0046418C"/>
    <w:rsid w:val="0048405A"/>
    <w:rsid w:val="00484C6F"/>
    <w:rsid w:val="004A0AF2"/>
    <w:rsid w:val="004A0E42"/>
    <w:rsid w:val="004A201F"/>
    <w:rsid w:val="004B06FF"/>
    <w:rsid w:val="004B094C"/>
    <w:rsid w:val="004B5779"/>
    <w:rsid w:val="004C62B5"/>
    <w:rsid w:val="004D21FB"/>
    <w:rsid w:val="004E01F0"/>
    <w:rsid w:val="004F7327"/>
    <w:rsid w:val="00514133"/>
    <w:rsid w:val="00515115"/>
    <w:rsid w:val="00517114"/>
    <w:rsid w:val="00524467"/>
    <w:rsid w:val="00550797"/>
    <w:rsid w:val="00570CCF"/>
    <w:rsid w:val="00572B71"/>
    <w:rsid w:val="00575D77"/>
    <w:rsid w:val="005A766F"/>
    <w:rsid w:val="005D7656"/>
    <w:rsid w:val="005D7861"/>
    <w:rsid w:val="005E75DC"/>
    <w:rsid w:val="005F67D6"/>
    <w:rsid w:val="00603658"/>
    <w:rsid w:val="00603D75"/>
    <w:rsid w:val="006142E1"/>
    <w:rsid w:val="00640A91"/>
    <w:rsid w:val="0066466A"/>
    <w:rsid w:val="00687243"/>
    <w:rsid w:val="00694EE5"/>
    <w:rsid w:val="00694F40"/>
    <w:rsid w:val="006A7501"/>
    <w:rsid w:val="006B3A9F"/>
    <w:rsid w:val="006B6278"/>
    <w:rsid w:val="006E5173"/>
    <w:rsid w:val="006E565C"/>
    <w:rsid w:val="007044FE"/>
    <w:rsid w:val="00705E68"/>
    <w:rsid w:val="007064C1"/>
    <w:rsid w:val="007116B9"/>
    <w:rsid w:val="00723177"/>
    <w:rsid w:val="00725961"/>
    <w:rsid w:val="00734100"/>
    <w:rsid w:val="0073554B"/>
    <w:rsid w:val="00765455"/>
    <w:rsid w:val="0077121F"/>
    <w:rsid w:val="007735A2"/>
    <w:rsid w:val="00777425"/>
    <w:rsid w:val="00783D23"/>
    <w:rsid w:val="007877C9"/>
    <w:rsid w:val="007956D9"/>
    <w:rsid w:val="007B406F"/>
    <w:rsid w:val="007B69D9"/>
    <w:rsid w:val="007C1FC4"/>
    <w:rsid w:val="007D728C"/>
    <w:rsid w:val="00813D05"/>
    <w:rsid w:val="00825442"/>
    <w:rsid w:val="00832B65"/>
    <w:rsid w:val="00842BBC"/>
    <w:rsid w:val="00842E18"/>
    <w:rsid w:val="0084484D"/>
    <w:rsid w:val="0085204B"/>
    <w:rsid w:val="008600A0"/>
    <w:rsid w:val="008623CC"/>
    <w:rsid w:val="008844B3"/>
    <w:rsid w:val="0089740F"/>
    <w:rsid w:val="008A476E"/>
    <w:rsid w:val="008A689F"/>
    <w:rsid w:val="008D185C"/>
    <w:rsid w:val="008D4667"/>
    <w:rsid w:val="008F0CFF"/>
    <w:rsid w:val="009000E8"/>
    <w:rsid w:val="00903C3F"/>
    <w:rsid w:val="00914DA6"/>
    <w:rsid w:val="009156D3"/>
    <w:rsid w:val="00916C42"/>
    <w:rsid w:val="00921B2C"/>
    <w:rsid w:val="00931D6F"/>
    <w:rsid w:val="00935125"/>
    <w:rsid w:val="00936B5F"/>
    <w:rsid w:val="00940A89"/>
    <w:rsid w:val="009554A6"/>
    <w:rsid w:val="00961FEC"/>
    <w:rsid w:val="00963577"/>
    <w:rsid w:val="00967C39"/>
    <w:rsid w:val="00971964"/>
    <w:rsid w:val="00976372"/>
    <w:rsid w:val="00980324"/>
    <w:rsid w:val="009A5864"/>
    <w:rsid w:val="009B1E0A"/>
    <w:rsid w:val="009B4DD2"/>
    <w:rsid w:val="009C096B"/>
    <w:rsid w:val="009D4E85"/>
    <w:rsid w:val="009E5172"/>
    <w:rsid w:val="00A04313"/>
    <w:rsid w:val="00A13601"/>
    <w:rsid w:val="00A61066"/>
    <w:rsid w:val="00A63D75"/>
    <w:rsid w:val="00A76EB6"/>
    <w:rsid w:val="00A97876"/>
    <w:rsid w:val="00AC05C0"/>
    <w:rsid w:val="00AD7302"/>
    <w:rsid w:val="00AF1302"/>
    <w:rsid w:val="00B04076"/>
    <w:rsid w:val="00B13909"/>
    <w:rsid w:val="00B1455B"/>
    <w:rsid w:val="00B25119"/>
    <w:rsid w:val="00B31C1A"/>
    <w:rsid w:val="00B44C27"/>
    <w:rsid w:val="00B5575E"/>
    <w:rsid w:val="00B652EA"/>
    <w:rsid w:val="00B73ED4"/>
    <w:rsid w:val="00B771A4"/>
    <w:rsid w:val="00B92660"/>
    <w:rsid w:val="00BB468E"/>
    <w:rsid w:val="00BB6B02"/>
    <w:rsid w:val="00BD1B9A"/>
    <w:rsid w:val="00BF2C99"/>
    <w:rsid w:val="00BF70C1"/>
    <w:rsid w:val="00C04612"/>
    <w:rsid w:val="00C15E41"/>
    <w:rsid w:val="00C2029E"/>
    <w:rsid w:val="00C307CE"/>
    <w:rsid w:val="00C30C1F"/>
    <w:rsid w:val="00C3319F"/>
    <w:rsid w:val="00C33678"/>
    <w:rsid w:val="00C64758"/>
    <w:rsid w:val="00C91209"/>
    <w:rsid w:val="00C9158B"/>
    <w:rsid w:val="00C954D7"/>
    <w:rsid w:val="00CA0DED"/>
    <w:rsid w:val="00CB71E3"/>
    <w:rsid w:val="00CC1050"/>
    <w:rsid w:val="00CD6E0E"/>
    <w:rsid w:val="00CE0830"/>
    <w:rsid w:val="00CE5A33"/>
    <w:rsid w:val="00CE5FA1"/>
    <w:rsid w:val="00CF4B64"/>
    <w:rsid w:val="00D140CF"/>
    <w:rsid w:val="00D21FD7"/>
    <w:rsid w:val="00D25EE6"/>
    <w:rsid w:val="00D517A7"/>
    <w:rsid w:val="00D548EF"/>
    <w:rsid w:val="00D62075"/>
    <w:rsid w:val="00D70D49"/>
    <w:rsid w:val="00D9067A"/>
    <w:rsid w:val="00DA75A3"/>
    <w:rsid w:val="00DB211B"/>
    <w:rsid w:val="00DC1FE4"/>
    <w:rsid w:val="00DC4B1C"/>
    <w:rsid w:val="00DC6DE3"/>
    <w:rsid w:val="00DD1D35"/>
    <w:rsid w:val="00DE0055"/>
    <w:rsid w:val="00DF033A"/>
    <w:rsid w:val="00DF2EF0"/>
    <w:rsid w:val="00DF7EA0"/>
    <w:rsid w:val="00E2534A"/>
    <w:rsid w:val="00E25727"/>
    <w:rsid w:val="00E3541A"/>
    <w:rsid w:val="00E540AA"/>
    <w:rsid w:val="00E55732"/>
    <w:rsid w:val="00E7037A"/>
    <w:rsid w:val="00E704B4"/>
    <w:rsid w:val="00E719BF"/>
    <w:rsid w:val="00E84F11"/>
    <w:rsid w:val="00E87A60"/>
    <w:rsid w:val="00E96F12"/>
    <w:rsid w:val="00EA41E6"/>
    <w:rsid w:val="00EB1592"/>
    <w:rsid w:val="00EB3CE6"/>
    <w:rsid w:val="00EC0A4B"/>
    <w:rsid w:val="00EC16A5"/>
    <w:rsid w:val="00EC3452"/>
    <w:rsid w:val="00EE55E3"/>
    <w:rsid w:val="00EF65F3"/>
    <w:rsid w:val="00F4261C"/>
    <w:rsid w:val="00F55032"/>
    <w:rsid w:val="00F550B2"/>
    <w:rsid w:val="00F65170"/>
    <w:rsid w:val="00F73DB8"/>
    <w:rsid w:val="00F864B8"/>
    <w:rsid w:val="00FB4028"/>
    <w:rsid w:val="00FE0B37"/>
    <w:rsid w:val="00FE0BA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AFBD39"/>
  <w15:chartTrackingRefBased/>
  <w15:docId w15:val="{03DD601E-AE7A-4D7E-A7FB-D476B5D8BF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4667"/>
  </w:style>
  <w:style w:type="paragraph" w:styleId="Heading1">
    <w:name w:val="heading 1"/>
    <w:basedOn w:val="Normal"/>
    <w:next w:val="Normal"/>
    <w:link w:val="Heading1Char"/>
    <w:uiPriority w:val="9"/>
    <w:qFormat/>
    <w:rsid w:val="00A76EB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76EB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76EB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76EB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76EB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76EB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76EB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76EB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76EB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6EB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76EB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76EB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76EB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76EB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76EB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76EB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76EB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76EB6"/>
    <w:rPr>
      <w:rFonts w:eastAsiaTheme="majorEastAsia" w:cstheme="majorBidi"/>
      <w:color w:val="272727" w:themeColor="text1" w:themeTint="D8"/>
    </w:rPr>
  </w:style>
  <w:style w:type="paragraph" w:styleId="Title">
    <w:name w:val="Title"/>
    <w:basedOn w:val="Normal"/>
    <w:next w:val="Normal"/>
    <w:link w:val="TitleChar"/>
    <w:uiPriority w:val="10"/>
    <w:qFormat/>
    <w:rsid w:val="00A76EB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76EB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76EB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76EB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76EB6"/>
    <w:pPr>
      <w:spacing w:before="160"/>
      <w:jc w:val="center"/>
    </w:pPr>
    <w:rPr>
      <w:i/>
      <w:iCs/>
      <w:color w:val="404040" w:themeColor="text1" w:themeTint="BF"/>
    </w:rPr>
  </w:style>
  <w:style w:type="character" w:customStyle="1" w:styleId="QuoteChar">
    <w:name w:val="Quote Char"/>
    <w:basedOn w:val="DefaultParagraphFont"/>
    <w:link w:val="Quote"/>
    <w:uiPriority w:val="29"/>
    <w:rsid w:val="00A76EB6"/>
    <w:rPr>
      <w:i/>
      <w:iCs/>
      <w:color w:val="404040" w:themeColor="text1" w:themeTint="BF"/>
    </w:rPr>
  </w:style>
  <w:style w:type="paragraph" w:styleId="ListParagraph">
    <w:name w:val="List Paragraph"/>
    <w:basedOn w:val="Normal"/>
    <w:uiPriority w:val="34"/>
    <w:qFormat/>
    <w:rsid w:val="00A76EB6"/>
    <w:pPr>
      <w:ind w:left="720"/>
      <w:contextualSpacing/>
    </w:pPr>
  </w:style>
  <w:style w:type="character" w:styleId="IntenseEmphasis">
    <w:name w:val="Intense Emphasis"/>
    <w:basedOn w:val="DefaultParagraphFont"/>
    <w:uiPriority w:val="21"/>
    <w:qFormat/>
    <w:rsid w:val="00A76EB6"/>
    <w:rPr>
      <w:i/>
      <w:iCs/>
      <w:color w:val="2F5496" w:themeColor="accent1" w:themeShade="BF"/>
    </w:rPr>
  </w:style>
  <w:style w:type="paragraph" w:styleId="IntenseQuote">
    <w:name w:val="Intense Quote"/>
    <w:basedOn w:val="Normal"/>
    <w:next w:val="Normal"/>
    <w:link w:val="IntenseQuoteChar"/>
    <w:uiPriority w:val="30"/>
    <w:qFormat/>
    <w:rsid w:val="00A76EB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76EB6"/>
    <w:rPr>
      <w:i/>
      <w:iCs/>
      <w:color w:val="2F5496" w:themeColor="accent1" w:themeShade="BF"/>
    </w:rPr>
  </w:style>
  <w:style w:type="character" w:styleId="IntenseReference">
    <w:name w:val="Intense Reference"/>
    <w:basedOn w:val="DefaultParagraphFont"/>
    <w:uiPriority w:val="32"/>
    <w:qFormat/>
    <w:rsid w:val="00A76EB6"/>
    <w:rPr>
      <w:b/>
      <w:bCs/>
      <w:smallCaps/>
      <w:color w:val="2F5496" w:themeColor="accent1" w:themeShade="BF"/>
      <w:spacing w:val="5"/>
    </w:rPr>
  </w:style>
  <w:style w:type="paragraph" w:styleId="FootnoteText">
    <w:name w:val="footnote text"/>
    <w:basedOn w:val="Normal"/>
    <w:link w:val="FootnoteTextChar"/>
    <w:uiPriority w:val="99"/>
    <w:semiHidden/>
    <w:unhideWhenUsed/>
    <w:rsid w:val="0004087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40879"/>
    <w:rPr>
      <w:sz w:val="20"/>
      <w:szCs w:val="20"/>
    </w:rPr>
  </w:style>
  <w:style w:type="character" w:styleId="FootnoteReference">
    <w:name w:val="footnote reference"/>
    <w:basedOn w:val="DefaultParagraphFont"/>
    <w:uiPriority w:val="99"/>
    <w:semiHidden/>
    <w:unhideWhenUsed/>
    <w:rsid w:val="00040879"/>
    <w:rPr>
      <w:vertAlign w:val="superscript"/>
    </w:rPr>
  </w:style>
  <w:style w:type="paragraph" w:styleId="NormalWeb">
    <w:name w:val="Normal (Web)"/>
    <w:basedOn w:val="Normal"/>
    <w:uiPriority w:val="99"/>
    <w:semiHidden/>
    <w:unhideWhenUsed/>
    <w:rsid w:val="00040879"/>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365019">
      <w:bodyDiv w:val="1"/>
      <w:marLeft w:val="0"/>
      <w:marRight w:val="0"/>
      <w:marTop w:val="0"/>
      <w:marBottom w:val="0"/>
      <w:divBdr>
        <w:top w:val="none" w:sz="0" w:space="0" w:color="auto"/>
        <w:left w:val="none" w:sz="0" w:space="0" w:color="auto"/>
        <w:bottom w:val="none" w:sz="0" w:space="0" w:color="auto"/>
        <w:right w:val="none" w:sz="0" w:space="0" w:color="auto"/>
      </w:divBdr>
    </w:div>
    <w:div w:id="163403980">
      <w:bodyDiv w:val="1"/>
      <w:marLeft w:val="0"/>
      <w:marRight w:val="0"/>
      <w:marTop w:val="0"/>
      <w:marBottom w:val="0"/>
      <w:divBdr>
        <w:top w:val="none" w:sz="0" w:space="0" w:color="auto"/>
        <w:left w:val="none" w:sz="0" w:space="0" w:color="auto"/>
        <w:bottom w:val="none" w:sz="0" w:space="0" w:color="auto"/>
        <w:right w:val="none" w:sz="0" w:space="0" w:color="auto"/>
      </w:divBdr>
    </w:div>
    <w:div w:id="342823026">
      <w:bodyDiv w:val="1"/>
      <w:marLeft w:val="0"/>
      <w:marRight w:val="0"/>
      <w:marTop w:val="0"/>
      <w:marBottom w:val="0"/>
      <w:divBdr>
        <w:top w:val="none" w:sz="0" w:space="0" w:color="auto"/>
        <w:left w:val="none" w:sz="0" w:space="0" w:color="auto"/>
        <w:bottom w:val="none" w:sz="0" w:space="0" w:color="auto"/>
        <w:right w:val="none" w:sz="0" w:space="0" w:color="auto"/>
      </w:divBdr>
    </w:div>
    <w:div w:id="352075094">
      <w:bodyDiv w:val="1"/>
      <w:marLeft w:val="0"/>
      <w:marRight w:val="0"/>
      <w:marTop w:val="0"/>
      <w:marBottom w:val="0"/>
      <w:divBdr>
        <w:top w:val="none" w:sz="0" w:space="0" w:color="auto"/>
        <w:left w:val="none" w:sz="0" w:space="0" w:color="auto"/>
        <w:bottom w:val="none" w:sz="0" w:space="0" w:color="auto"/>
        <w:right w:val="none" w:sz="0" w:space="0" w:color="auto"/>
      </w:divBdr>
    </w:div>
    <w:div w:id="430319745">
      <w:bodyDiv w:val="1"/>
      <w:marLeft w:val="0"/>
      <w:marRight w:val="0"/>
      <w:marTop w:val="0"/>
      <w:marBottom w:val="0"/>
      <w:divBdr>
        <w:top w:val="none" w:sz="0" w:space="0" w:color="auto"/>
        <w:left w:val="none" w:sz="0" w:space="0" w:color="auto"/>
        <w:bottom w:val="none" w:sz="0" w:space="0" w:color="auto"/>
        <w:right w:val="none" w:sz="0" w:space="0" w:color="auto"/>
      </w:divBdr>
    </w:div>
    <w:div w:id="455221394">
      <w:bodyDiv w:val="1"/>
      <w:marLeft w:val="0"/>
      <w:marRight w:val="0"/>
      <w:marTop w:val="0"/>
      <w:marBottom w:val="0"/>
      <w:divBdr>
        <w:top w:val="none" w:sz="0" w:space="0" w:color="auto"/>
        <w:left w:val="none" w:sz="0" w:space="0" w:color="auto"/>
        <w:bottom w:val="none" w:sz="0" w:space="0" w:color="auto"/>
        <w:right w:val="none" w:sz="0" w:space="0" w:color="auto"/>
      </w:divBdr>
    </w:div>
    <w:div w:id="527762942">
      <w:bodyDiv w:val="1"/>
      <w:marLeft w:val="0"/>
      <w:marRight w:val="0"/>
      <w:marTop w:val="0"/>
      <w:marBottom w:val="0"/>
      <w:divBdr>
        <w:top w:val="none" w:sz="0" w:space="0" w:color="auto"/>
        <w:left w:val="none" w:sz="0" w:space="0" w:color="auto"/>
        <w:bottom w:val="none" w:sz="0" w:space="0" w:color="auto"/>
        <w:right w:val="none" w:sz="0" w:space="0" w:color="auto"/>
      </w:divBdr>
    </w:div>
    <w:div w:id="638655320">
      <w:bodyDiv w:val="1"/>
      <w:marLeft w:val="0"/>
      <w:marRight w:val="0"/>
      <w:marTop w:val="0"/>
      <w:marBottom w:val="0"/>
      <w:divBdr>
        <w:top w:val="none" w:sz="0" w:space="0" w:color="auto"/>
        <w:left w:val="none" w:sz="0" w:space="0" w:color="auto"/>
        <w:bottom w:val="none" w:sz="0" w:space="0" w:color="auto"/>
        <w:right w:val="none" w:sz="0" w:space="0" w:color="auto"/>
      </w:divBdr>
    </w:div>
    <w:div w:id="708844694">
      <w:bodyDiv w:val="1"/>
      <w:marLeft w:val="0"/>
      <w:marRight w:val="0"/>
      <w:marTop w:val="0"/>
      <w:marBottom w:val="0"/>
      <w:divBdr>
        <w:top w:val="none" w:sz="0" w:space="0" w:color="auto"/>
        <w:left w:val="none" w:sz="0" w:space="0" w:color="auto"/>
        <w:bottom w:val="none" w:sz="0" w:space="0" w:color="auto"/>
        <w:right w:val="none" w:sz="0" w:space="0" w:color="auto"/>
      </w:divBdr>
    </w:div>
    <w:div w:id="757025873">
      <w:bodyDiv w:val="1"/>
      <w:marLeft w:val="0"/>
      <w:marRight w:val="0"/>
      <w:marTop w:val="0"/>
      <w:marBottom w:val="0"/>
      <w:divBdr>
        <w:top w:val="none" w:sz="0" w:space="0" w:color="auto"/>
        <w:left w:val="none" w:sz="0" w:space="0" w:color="auto"/>
        <w:bottom w:val="none" w:sz="0" w:space="0" w:color="auto"/>
        <w:right w:val="none" w:sz="0" w:space="0" w:color="auto"/>
      </w:divBdr>
    </w:div>
    <w:div w:id="819927278">
      <w:bodyDiv w:val="1"/>
      <w:marLeft w:val="0"/>
      <w:marRight w:val="0"/>
      <w:marTop w:val="0"/>
      <w:marBottom w:val="0"/>
      <w:divBdr>
        <w:top w:val="none" w:sz="0" w:space="0" w:color="auto"/>
        <w:left w:val="none" w:sz="0" w:space="0" w:color="auto"/>
        <w:bottom w:val="none" w:sz="0" w:space="0" w:color="auto"/>
        <w:right w:val="none" w:sz="0" w:space="0" w:color="auto"/>
      </w:divBdr>
    </w:div>
    <w:div w:id="862090966">
      <w:bodyDiv w:val="1"/>
      <w:marLeft w:val="0"/>
      <w:marRight w:val="0"/>
      <w:marTop w:val="0"/>
      <w:marBottom w:val="0"/>
      <w:divBdr>
        <w:top w:val="none" w:sz="0" w:space="0" w:color="auto"/>
        <w:left w:val="none" w:sz="0" w:space="0" w:color="auto"/>
        <w:bottom w:val="none" w:sz="0" w:space="0" w:color="auto"/>
        <w:right w:val="none" w:sz="0" w:space="0" w:color="auto"/>
      </w:divBdr>
    </w:div>
    <w:div w:id="975723330">
      <w:bodyDiv w:val="1"/>
      <w:marLeft w:val="0"/>
      <w:marRight w:val="0"/>
      <w:marTop w:val="0"/>
      <w:marBottom w:val="0"/>
      <w:divBdr>
        <w:top w:val="none" w:sz="0" w:space="0" w:color="auto"/>
        <w:left w:val="none" w:sz="0" w:space="0" w:color="auto"/>
        <w:bottom w:val="none" w:sz="0" w:space="0" w:color="auto"/>
        <w:right w:val="none" w:sz="0" w:space="0" w:color="auto"/>
      </w:divBdr>
    </w:div>
    <w:div w:id="1250503360">
      <w:bodyDiv w:val="1"/>
      <w:marLeft w:val="0"/>
      <w:marRight w:val="0"/>
      <w:marTop w:val="0"/>
      <w:marBottom w:val="0"/>
      <w:divBdr>
        <w:top w:val="none" w:sz="0" w:space="0" w:color="auto"/>
        <w:left w:val="none" w:sz="0" w:space="0" w:color="auto"/>
        <w:bottom w:val="none" w:sz="0" w:space="0" w:color="auto"/>
        <w:right w:val="none" w:sz="0" w:space="0" w:color="auto"/>
      </w:divBdr>
    </w:div>
    <w:div w:id="1326545876">
      <w:bodyDiv w:val="1"/>
      <w:marLeft w:val="0"/>
      <w:marRight w:val="0"/>
      <w:marTop w:val="0"/>
      <w:marBottom w:val="0"/>
      <w:divBdr>
        <w:top w:val="none" w:sz="0" w:space="0" w:color="auto"/>
        <w:left w:val="none" w:sz="0" w:space="0" w:color="auto"/>
        <w:bottom w:val="none" w:sz="0" w:space="0" w:color="auto"/>
        <w:right w:val="none" w:sz="0" w:space="0" w:color="auto"/>
      </w:divBdr>
    </w:div>
    <w:div w:id="1337851996">
      <w:bodyDiv w:val="1"/>
      <w:marLeft w:val="0"/>
      <w:marRight w:val="0"/>
      <w:marTop w:val="0"/>
      <w:marBottom w:val="0"/>
      <w:divBdr>
        <w:top w:val="none" w:sz="0" w:space="0" w:color="auto"/>
        <w:left w:val="none" w:sz="0" w:space="0" w:color="auto"/>
        <w:bottom w:val="none" w:sz="0" w:space="0" w:color="auto"/>
        <w:right w:val="none" w:sz="0" w:space="0" w:color="auto"/>
      </w:divBdr>
    </w:div>
    <w:div w:id="1359698811">
      <w:bodyDiv w:val="1"/>
      <w:marLeft w:val="0"/>
      <w:marRight w:val="0"/>
      <w:marTop w:val="0"/>
      <w:marBottom w:val="0"/>
      <w:divBdr>
        <w:top w:val="none" w:sz="0" w:space="0" w:color="auto"/>
        <w:left w:val="none" w:sz="0" w:space="0" w:color="auto"/>
        <w:bottom w:val="none" w:sz="0" w:space="0" w:color="auto"/>
        <w:right w:val="none" w:sz="0" w:space="0" w:color="auto"/>
      </w:divBdr>
    </w:div>
    <w:div w:id="1410612898">
      <w:bodyDiv w:val="1"/>
      <w:marLeft w:val="0"/>
      <w:marRight w:val="0"/>
      <w:marTop w:val="0"/>
      <w:marBottom w:val="0"/>
      <w:divBdr>
        <w:top w:val="none" w:sz="0" w:space="0" w:color="auto"/>
        <w:left w:val="none" w:sz="0" w:space="0" w:color="auto"/>
        <w:bottom w:val="none" w:sz="0" w:space="0" w:color="auto"/>
        <w:right w:val="none" w:sz="0" w:space="0" w:color="auto"/>
      </w:divBdr>
    </w:div>
    <w:div w:id="1482305042">
      <w:bodyDiv w:val="1"/>
      <w:marLeft w:val="0"/>
      <w:marRight w:val="0"/>
      <w:marTop w:val="0"/>
      <w:marBottom w:val="0"/>
      <w:divBdr>
        <w:top w:val="none" w:sz="0" w:space="0" w:color="auto"/>
        <w:left w:val="none" w:sz="0" w:space="0" w:color="auto"/>
        <w:bottom w:val="none" w:sz="0" w:space="0" w:color="auto"/>
        <w:right w:val="none" w:sz="0" w:space="0" w:color="auto"/>
      </w:divBdr>
    </w:div>
    <w:div w:id="1489052861">
      <w:bodyDiv w:val="1"/>
      <w:marLeft w:val="0"/>
      <w:marRight w:val="0"/>
      <w:marTop w:val="0"/>
      <w:marBottom w:val="0"/>
      <w:divBdr>
        <w:top w:val="none" w:sz="0" w:space="0" w:color="auto"/>
        <w:left w:val="none" w:sz="0" w:space="0" w:color="auto"/>
        <w:bottom w:val="none" w:sz="0" w:space="0" w:color="auto"/>
        <w:right w:val="none" w:sz="0" w:space="0" w:color="auto"/>
      </w:divBdr>
    </w:div>
    <w:div w:id="1505782250">
      <w:bodyDiv w:val="1"/>
      <w:marLeft w:val="0"/>
      <w:marRight w:val="0"/>
      <w:marTop w:val="0"/>
      <w:marBottom w:val="0"/>
      <w:divBdr>
        <w:top w:val="none" w:sz="0" w:space="0" w:color="auto"/>
        <w:left w:val="none" w:sz="0" w:space="0" w:color="auto"/>
        <w:bottom w:val="none" w:sz="0" w:space="0" w:color="auto"/>
        <w:right w:val="none" w:sz="0" w:space="0" w:color="auto"/>
      </w:divBdr>
    </w:div>
    <w:div w:id="1530994286">
      <w:bodyDiv w:val="1"/>
      <w:marLeft w:val="0"/>
      <w:marRight w:val="0"/>
      <w:marTop w:val="0"/>
      <w:marBottom w:val="0"/>
      <w:divBdr>
        <w:top w:val="none" w:sz="0" w:space="0" w:color="auto"/>
        <w:left w:val="none" w:sz="0" w:space="0" w:color="auto"/>
        <w:bottom w:val="none" w:sz="0" w:space="0" w:color="auto"/>
        <w:right w:val="none" w:sz="0" w:space="0" w:color="auto"/>
      </w:divBdr>
    </w:div>
    <w:div w:id="1534150752">
      <w:bodyDiv w:val="1"/>
      <w:marLeft w:val="0"/>
      <w:marRight w:val="0"/>
      <w:marTop w:val="0"/>
      <w:marBottom w:val="0"/>
      <w:divBdr>
        <w:top w:val="none" w:sz="0" w:space="0" w:color="auto"/>
        <w:left w:val="none" w:sz="0" w:space="0" w:color="auto"/>
        <w:bottom w:val="none" w:sz="0" w:space="0" w:color="auto"/>
        <w:right w:val="none" w:sz="0" w:space="0" w:color="auto"/>
      </w:divBdr>
    </w:div>
    <w:div w:id="1586694939">
      <w:bodyDiv w:val="1"/>
      <w:marLeft w:val="0"/>
      <w:marRight w:val="0"/>
      <w:marTop w:val="0"/>
      <w:marBottom w:val="0"/>
      <w:divBdr>
        <w:top w:val="none" w:sz="0" w:space="0" w:color="auto"/>
        <w:left w:val="none" w:sz="0" w:space="0" w:color="auto"/>
        <w:bottom w:val="none" w:sz="0" w:space="0" w:color="auto"/>
        <w:right w:val="none" w:sz="0" w:space="0" w:color="auto"/>
      </w:divBdr>
    </w:div>
    <w:div w:id="1660109447">
      <w:bodyDiv w:val="1"/>
      <w:marLeft w:val="0"/>
      <w:marRight w:val="0"/>
      <w:marTop w:val="0"/>
      <w:marBottom w:val="0"/>
      <w:divBdr>
        <w:top w:val="none" w:sz="0" w:space="0" w:color="auto"/>
        <w:left w:val="none" w:sz="0" w:space="0" w:color="auto"/>
        <w:bottom w:val="none" w:sz="0" w:space="0" w:color="auto"/>
        <w:right w:val="none" w:sz="0" w:space="0" w:color="auto"/>
      </w:divBdr>
    </w:div>
    <w:div w:id="1681807996">
      <w:bodyDiv w:val="1"/>
      <w:marLeft w:val="0"/>
      <w:marRight w:val="0"/>
      <w:marTop w:val="0"/>
      <w:marBottom w:val="0"/>
      <w:divBdr>
        <w:top w:val="none" w:sz="0" w:space="0" w:color="auto"/>
        <w:left w:val="none" w:sz="0" w:space="0" w:color="auto"/>
        <w:bottom w:val="none" w:sz="0" w:space="0" w:color="auto"/>
        <w:right w:val="none" w:sz="0" w:space="0" w:color="auto"/>
      </w:divBdr>
    </w:div>
    <w:div w:id="1721243588">
      <w:bodyDiv w:val="1"/>
      <w:marLeft w:val="0"/>
      <w:marRight w:val="0"/>
      <w:marTop w:val="0"/>
      <w:marBottom w:val="0"/>
      <w:divBdr>
        <w:top w:val="none" w:sz="0" w:space="0" w:color="auto"/>
        <w:left w:val="none" w:sz="0" w:space="0" w:color="auto"/>
        <w:bottom w:val="none" w:sz="0" w:space="0" w:color="auto"/>
        <w:right w:val="none" w:sz="0" w:space="0" w:color="auto"/>
      </w:divBdr>
    </w:div>
    <w:div w:id="1852452794">
      <w:bodyDiv w:val="1"/>
      <w:marLeft w:val="0"/>
      <w:marRight w:val="0"/>
      <w:marTop w:val="0"/>
      <w:marBottom w:val="0"/>
      <w:divBdr>
        <w:top w:val="none" w:sz="0" w:space="0" w:color="auto"/>
        <w:left w:val="none" w:sz="0" w:space="0" w:color="auto"/>
        <w:bottom w:val="none" w:sz="0" w:space="0" w:color="auto"/>
        <w:right w:val="none" w:sz="0" w:space="0" w:color="auto"/>
      </w:divBdr>
    </w:div>
    <w:div w:id="1970427384">
      <w:bodyDiv w:val="1"/>
      <w:marLeft w:val="0"/>
      <w:marRight w:val="0"/>
      <w:marTop w:val="0"/>
      <w:marBottom w:val="0"/>
      <w:divBdr>
        <w:top w:val="none" w:sz="0" w:space="0" w:color="auto"/>
        <w:left w:val="none" w:sz="0" w:space="0" w:color="auto"/>
        <w:bottom w:val="none" w:sz="0" w:space="0" w:color="auto"/>
        <w:right w:val="none" w:sz="0" w:space="0" w:color="auto"/>
      </w:divBdr>
    </w:div>
    <w:div w:id="2009744358">
      <w:bodyDiv w:val="1"/>
      <w:marLeft w:val="0"/>
      <w:marRight w:val="0"/>
      <w:marTop w:val="0"/>
      <w:marBottom w:val="0"/>
      <w:divBdr>
        <w:top w:val="none" w:sz="0" w:space="0" w:color="auto"/>
        <w:left w:val="none" w:sz="0" w:space="0" w:color="auto"/>
        <w:bottom w:val="none" w:sz="0" w:space="0" w:color="auto"/>
        <w:right w:val="none" w:sz="0" w:space="0" w:color="auto"/>
      </w:divBdr>
    </w:div>
    <w:div w:id="2032484609">
      <w:bodyDiv w:val="1"/>
      <w:marLeft w:val="0"/>
      <w:marRight w:val="0"/>
      <w:marTop w:val="0"/>
      <w:marBottom w:val="0"/>
      <w:divBdr>
        <w:top w:val="none" w:sz="0" w:space="0" w:color="auto"/>
        <w:left w:val="none" w:sz="0" w:space="0" w:color="auto"/>
        <w:bottom w:val="none" w:sz="0" w:space="0" w:color="auto"/>
        <w:right w:val="none" w:sz="0" w:space="0" w:color="auto"/>
      </w:divBdr>
    </w:div>
    <w:div w:id="2037458813">
      <w:bodyDiv w:val="1"/>
      <w:marLeft w:val="0"/>
      <w:marRight w:val="0"/>
      <w:marTop w:val="0"/>
      <w:marBottom w:val="0"/>
      <w:divBdr>
        <w:top w:val="none" w:sz="0" w:space="0" w:color="auto"/>
        <w:left w:val="none" w:sz="0" w:space="0" w:color="auto"/>
        <w:bottom w:val="none" w:sz="0" w:space="0" w:color="auto"/>
        <w:right w:val="none" w:sz="0" w:space="0" w:color="auto"/>
      </w:divBdr>
    </w:div>
    <w:div w:id="2053457422">
      <w:bodyDiv w:val="1"/>
      <w:marLeft w:val="0"/>
      <w:marRight w:val="0"/>
      <w:marTop w:val="0"/>
      <w:marBottom w:val="0"/>
      <w:divBdr>
        <w:top w:val="none" w:sz="0" w:space="0" w:color="auto"/>
        <w:left w:val="none" w:sz="0" w:space="0" w:color="auto"/>
        <w:bottom w:val="none" w:sz="0" w:space="0" w:color="auto"/>
        <w:right w:val="none" w:sz="0" w:space="0" w:color="auto"/>
      </w:divBdr>
    </w:div>
    <w:div w:id="2070880686">
      <w:bodyDiv w:val="1"/>
      <w:marLeft w:val="0"/>
      <w:marRight w:val="0"/>
      <w:marTop w:val="0"/>
      <w:marBottom w:val="0"/>
      <w:divBdr>
        <w:top w:val="none" w:sz="0" w:space="0" w:color="auto"/>
        <w:left w:val="none" w:sz="0" w:space="0" w:color="auto"/>
        <w:bottom w:val="none" w:sz="0" w:space="0" w:color="auto"/>
        <w:right w:val="none" w:sz="0" w:space="0" w:color="auto"/>
      </w:divBdr>
    </w:div>
    <w:div w:id="2083093233">
      <w:bodyDiv w:val="1"/>
      <w:marLeft w:val="0"/>
      <w:marRight w:val="0"/>
      <w:marTop w:val="0"/>
      <w:marBottom w:val="0"/>
      <w:divBdr>
        <w:top w:val="none" w:sz="0" w:space="0" w:color="auto"/>
        <w:left w:val="none" w:sz="0" w:space="0" w:color="auto"/>
        <w:bottom w:val="none" w:sz="0" w:space="0" w:color="auto"/>
        <w:right w:val="none" w:sz="0" w:space="0" w:color="auto"/>
      </w:divBdr>
    </w:div>
    <w:div w:id="2085950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114AAF-5FA0-4906-9E57-ABE2926E09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23685</TotalTime>
  <Pages>11</Pages>
  <Words>2740</Words>
  <Characters>16032</Characters>
  <Application>Microsoft Office Word</Application>
  <DocSecurity>0</DocSecurity>
  <Lines>281</Lines>
  <Paragraphs>117</Paragraphs>
  <ScaleCrop>false</ScaleCrop>
  <Company/>
  <LinksUpToDate>false</LinksUpToDate>
  <CharactersWithSpaces>18655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Sarvani Kuchimanchi</dc:creator>
  <cp:keywords/>
  <dc:description/>
  <cp:lastModifiedBy>Sarvani Kuchimanchi</cp:lastModifiedBy>
  <cp:revision>251</cp:revision>
  <dcterms:created xsi:type="dcterms:W3CDTF">2025-06-09T04:39:00Z</dcterms:created>
  <dcterms:modified xsi:type="dcterms:W3CDTF">2025-06-25T15:25:00Z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27497817-cbac-4ad3-941f-9391761056e1</vt:lpwstr>
  </property>
</Properties>
</file>