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B8FFE" w14:textId="358DF094" w:rsidR="003F50A7" w:rsidRPr="003F50A7" w:rsidRDefault="003F50A7" w:rsidP="003F50A7">
      <w:pPr>
        <w:spacing w:line="360" w:lineRule="auto"/>
        <w:jc w:val="center"/>
        <w:rPr>
          <w:rFonts w:cs="Times New Roman"/>
          <w:b/>
          <w:bCs/>
          <w:sz w:val="28"/>
          <w:szCs w:val="28"/>
          <w:u w:val="single"/>
        </w:rPr>
      </w:pPr>
      <w:r w:rsidRPr="003F50A7">
        <w:rPr>
          <w:rFonts w:cs="Times New Roman"/>
          <w:b/>
          <w:bCs/>
          <w:sz w:val="28"/>
          <w:szCs w:val="28"/>
          <w:u w:val="single"/>
        </w:rPr>
        <w:t>Justice in Transition: The Role of Interim Orders Before Final Rulings</w:t>
      </w:r>
    </w:p>
    <w:p w14:paraId="136B6E18" w14:textId="77777777" w:rsidR="003F50A7" w:rsidRPr="003F50A7" w:rsidRDefault="003F50A7" w:rsidP="003F50A7">
      <w:pPr>
        <w:spacing w:line="360" w:lineRule="auto"/>
        <w:rPr>
          <w:rFonts w:cs="Times New Roman"/>
          <w:szCs w:val="24"/>
        </w:rPr>
      </w:pPr>
    </w:p>
    <w:p w14:paraId="0E2BF56D" w14:textId="77777777" w:rsidR="003F50A7" w:rsidRDefault="00CA654B" w:rsidP="003F50A7">
      <w:pPr>
        <w:pStyle w:val="ListParagraph"/>
        <w:numPr>
          <w:ilvl w:val="0"/>
          <w:numId w:val="14"/>
        </w:numPr>
        <w:spacing w:line="360" w:lineRule="auto"/>
        <w:rPr>
          <w:rFonts w:cs="Times New Roman"/>
          <w:b/>
          <w:bCs/>
          <w:szCs w:val="24"/>
        </w:rPr>
      </w:pPr>
      <w:r w:rsidRPr="003F50A7">
        <w:rPr>
          <w:rFonts w:cs="Times New Roman"/>
          <w:b/>
          <w:bCs/>
          <w:szCs w:val="24"/>
        </w:rPr>
        <w:t>Introduction</w:t>
      </w:r>
    </w:p>
    <w:p w14:paraId="4AB3D706" w14:textId="77777777" w:rsidR="003F50A7" w:rsidRDefault="00CA654B" w:rsidP="003F50A7">
      <w:pPr>
        <w:pStyle w:val="ListParagraph"/>
        <w:spacing w:line="360" w:lineRule="auto"/>
        <w:jc w:val="both"/>
        <w:rPr>
          <w:rFonts w:cs="Times New Roman"/>
          <w:szCs w:val="24"/>
        </w:rPr>
      </w:pPr>
      <w:r w:rsidRPr="003F50A7">
        <w:rPr>
          <w:rFonts w:cs="Times New Roman"/>
          <w:szCs w:val="24"/>
        </w:rPr>
        <w:t>In most legal systems, adjudication takes a long time and can take months or years to be finalized. Interim orders—temporary orders issued by the courts—are thus necessary to regulate disputes pending final judgment. Interim orders, also referred to as interim relief or interlocutory orders, seek to safeguard rights, avoid harm, and uphold the position as it stands until proceedings are resumed</w:t>
      </w:r>
    </w:p>
    <w:p w14:paraId="25A5CD1B" w14:textId="77777777" w:rsidR="003F50A7" w:rsidRDefault="00CA654B" w:rsidP="003F50A7">
      <w:pPr>
        <w:pStyle w:val="ListParagraph"/>
        <w:spacing w:line="360" w:lineRule="auto"/>
        <w:jc w:val="both"/>
        <w:rPr>
          <w:rFonts w:cs="Times New Roman"/>
          <w:szCs w:val="24"/>
        </w:rPr>
      </w:pPr>
      <w:r w:rsidRPr="003F50A7">
        <w:rPr>
          <w:rFonts w:cs="Times New Roman"/>
          <w:szCs w:val="24"/>
        </w:rPr>
        <w:t xml:space="preserve">In the absence of interim orders, court proceedings can </w:t>
      </w:r>
      <w:r w:rsidR="003F50A7">
        <w:rPr>
          <w:rFonts w:cs="Times New Roman"/>
          <w:szCs w:val="24"/>
        </w:rPr>
        <w:t>permit reversible</w:t>
      </w:r>
      <w:r w:rsidRPr="003F50A7">
        <w:rPr>
          <w:rFonts w:cs="Times New Roman"/>
          <w:szCs w:val="24"/>
        </w:rPr>
        <w:t xml:space="preserve"> harm</w:t>
      </w:r>
      <w:r w:rsidR="003F50A7">
        <w:rPr>
          <w:rFonts w:cs="Times New Roman"/>
          <w:szCs w:val="24"/>
        </w:rPr>
        <w:t xml:space="preserve">, </w:t>
      </w:r>
      <w:r w:rsidRPr="003F50A7">
        <w:rPr>
          <w:rFonts w:cs="Times New Roman"/>
          <w:szCs w:val="24"/>
        </w:rPr>
        <w:t>property can be expended, security jeopardized, or rights forfeited before courts can make a ruling. This article examines the complex role of interim relief, the tests and discretion of the courts, and how their application can be enhanced to provide more effectiveness in promoting fairness, predictability, and access to justice.</w:t>
      </w:r>
    </w:p>
    <w:p w14:paraId="583ECC7B" w14:textId="77777777" w:rsidR="003F50A7" w:rsidRDefault="003F50A7" w:rsidP="003F50A7">
      <w:pPr>
        <w:pStyle w:val="ListParagraph"/>
        <w:spacing w:line="360" w:lineRule="auto"/>
        <w:jc w:val="both"/>
        <w:rPr>
          <w:rFonts w:cs="Times New Roman"/>
          <w:szCs w:val="24"/>
        </w:rPr>
      </w:pPr>
    </w:p>
    <w:p w14:paraId="0D3ACE90" w14:textId="77777777" w:rsidR="003F50A7" w:rsidRPr="003F50A7" w:rsidRDefault="00CA654B" w:rsidP="003F50A7">
      <w:pPr>
        <w:pStyle w:val="ListParagraph"/>
        <w:spacing w:line="360" w:lineRule="auto"/>
        <w:jc w:val="both"/>
        <w:rPr>
          <w:rFonts w:cs="Times New Roman"/>
          <w:i/>
          <w:iCs/>
          <w:szCs w:val="24"/>
          <w:u w:val="single"/>
        </w:rPr>
      </w:pPr>
      <w:r w:rsidRPr="003F50A7">
        <w:rPr>
          <w:rFonts w:cs="Times New Roman"/>
          <w:i/>
          <w:iCs/>
          <w:szCs w:val="24"/>
          <w:u w:val="single"/>
        </w:rPr>
        <w:t xml:space="preserve">What </w:t>
      </w:r>
      <w:proofErr w:type="gramStart"/>
      <w:r w:rsidRPr="003F50A7">
        <w:rPr>
          <w:rFonts w:cs="Times New Roman"/>
          <w:i/>
          <w:iCs/>
          <w:szCs w:val="24"/>
          <w:u w:val="single"/>
        </w:rPr>
        <w:t>are</w:t>
      </w:r>
      <w:proofErr w:type="gramEnd"/>
      <w:r w:rsidRPr="003F50A7">
        <w:rPr>
          <w:rFonts w:cs="Times New Roman"/>
          <w:i/>
          <w:iCs/>
          <w:szCs w:val="24"/>
          <w:u w:val="single"/>
        </w:rPr>
        <w:t xml:space="preserve"> Interim Orders?</w:t>
      </w:r>
    </w:p>
    <w:p w14:paraId="7371F689" w14:textId="77777777" w:rsidR="003F50A7" w:rsidRDefault="00CA654B" w:rsidP="003F50A7">
      <w:pPr>
        <w:pStyle w:val="ListParagraph"/>
        <w:spacing w:line="360" w:lineRule="auto"/>
        <w:jc w:val="both"/>
        <w:rPr>
          <w:rFonts w:cs="Times New Roman"/>
          <w:szCs w:val="24"/>
        </w:rPr>
      </w:pPr>
      <w:r w:rsidRPr="003F50A7">
        <w:rPr>
          <w:rFonts w:cs="Times New Roman"/>
          <w:szCs w:val="24"/>
        </w:rPr>
        <w:t xml:space="preserve">Interim orders are ad-interim orders made by courts pending litigation to achieve some balance between parties. These orders can be injunctions (staying or directing action), freezing orders (freezing assets), stays, or posse comitatus-type orders. Interim orders preserve a </w:t>
      </w:r>
      <w:proofErr w:type="gramStart"/>
      <w:r w:rsidRPr="003F50A7">
        <w:rPr>
          <w:rFonts w:cs="Times New Roman"/>
          <w:szCs w:val="24"/>
        </w:rPr>
        <w:t>state of affairs</w:t>
      </w:r>
      <w:proofErr w:type="gramEnd"/>
      <w:r w:rsidRPr="003F50A7">
        <w:rPr>
          <w:rFonts w:cs="Times New Roman"/>
          <w:szCs w:val="24"/>
        </w:rPr>
        <w:t xml:space="preserve"> until a material order is made.</w:t>
      </w:r>
    </w:p>
    <w:p w14:paraId="4928034E" w14:textId="760BE7D8" w:rsidR="00CA654B" w:rsidRPr="003F50A7" w:rsidRDefault="00CA654B" w:rsidP="003F50A7">
      <w:pPr>
        <w:pStyle w:val="ListParagraph"/>
        <w:spacing w:line="360" w:lineRule="auto"/>
        <w:jc w:val="both"/>
        <w:rPr>
          <w:rFonts w:cs="Times New Roman"/>
          <w:b/>
          <w:bCs/>
          <w:i/>
          <w:iCs/>
          <w:szCs w:val="24"/>
        </w:rPr>
      </w:pPr>
      <w:r w:rsidRPr="003F50A7">
        <w:rPr>
          <w:rFonts w:cs="Times New Roman"/>
          <w:szCs w:val="24"/>
        </w:rPr>
        <w:t xml:space="preserve">Maxim applying the law: _"Actus curiae </w:t>
      </w:r>
      <w:proofErr w:type="spellStart"/>
      <w:r w:rsidRPr="003F50A7">
        <w:rPr>
          <w:rFonts w:cs="Times New Roman"/>
          <w:szCs w:val="24"/>
        </w:rPr>
        <w:t>neminem</w:t>
      </w:r>
      <w:proofErr w:type="spellEnd"/>
      <w:r w:rsidRPr="003F50A7">
        <w:rPr>
          <w:rFonts w:cs="Times New Roman"/>
          <w:szCs w:val="24"/>
        </w:rPr>
        <w:t xml:space="preserve"> </w:t>
      </w:r>
      <w:proofErr w:type="spellStart"/>
      <w:r w:rsidRPr="003F50A7">
        <w:rPr>
          <w:rFonts w:cs="Times New Roman"/>
          <w:szCs w:val="24"/>
        </w:rPr>
        <w:t>gravabit</w:t>
      </w:r>
      <w:proofErr w:type="spellEnd"/>
      <w:r w:rsidRPr="003F50A7">
        <w:rPr>
          <w:rFonts w:cs="Times New Roman"/>
          <w:szCs w:val="24"/>
        </w:rPr>
        <w:t>"—"an act of the court shall prejudice no one"—enunciates their rationale: prevent judicial delay from doing harm</w:t>
      </w:r>
      <w:r w:rsidR="003F50A7">
        <w:rPr>
          <w:rFonts w:cs="Times New Roman"/>
          <w:szCs w:val="24"/>
        </w:rPr>
        <w:t>.</w:t>
      </w:r>
    </w:p>
    <w:p w14:paraId="1F1392CB" w14:textId="77777777" w:rsidR="00CA654B" w:rsidRPr="003F50A7" w:rsidRDefault="00CA654B" w:rsidP="003F50A7">
      <w:pPr>
        <w:spacing w:line="360" w:lineRule="auto"/>
        <w:rPr>
          <w:rFonts w:cs="Times New Roman"/>
          <w:b/>
          <w:bCs/>
          <w:szCs w:val="24"/>
        </w:rPr>
      </w:pPr>
    </w:p>
    <w:p w14:paraId="2E652876" w14:textId="77777777" w:rsidR="003F50A7" w:rsidRDefault="00CA654B" w:rsidP="003F50A7">
      <w:pPr>
        <w:pStyle w:val="ListParagraph"/>
        <w:numPr>
          <w:ilvl w:val="0"/>
          <w:numId w:val="14"/>
        </w:numPr>
        <w:spacing w:line="360" w:lineRule="auto"/>
        <w:rPr>
          <w:rFonts w:cs="Times New Roman"/>
          <w:b/>
          <w:bCs/>
          <w:szCs w:val="24"/>
        </w:rPr>
      </w:pPr>
      <w:r w:rsidRPr="003F50A7">
        <w:rPr>
          <w:rFonts w:cs="Times New Roman"/>
          <w:b/>
          <w:bCs/>
          <w:szCs w:val="24"/>
        </w:rPr>
        <w:t>Rationale for Interim Orders</w:t>
      </w:r>
    </w:p>
    <w:p w14:paraId="26FFE733" w14:textId="5F2BCD05" w:rsidR="00CA654B" w:rsidRDefault="00CA654B" w:rsidP="003F50A7">
      <w:pPr>
        <w:pStyle w:val="ListParagraph"/>
        <w:spacing w:line="360" w:lineRule="auto"/>
        <w:rPr>
          <w:rFonts w:cs="Times New Roman"/>
          <w:szCs w:val="24"/>
        </w:rPr>
      </w:pPr>
      <w:r w:rsidRPr="003F50A7">
        <w:rPr>
          <w:rFonts w:cs="Times New Roman"/>
          <w:szCs w:val="24"/>
        </w:rPr>
        <w:t>Courts grant interim remedies for several reasons</w:t>
      </w:r>
      <w:r w:rsidR="003F50A7" w:rsidRPr="003F50A7">
        <w:rPr>
          <w:rFonts w:cs="Times New Roman"/>
          <w:szCs w:val="24"/>
        </w:rPr>
        <w:t>:</w:t>
      </w:r>
    </w:p>
    <w:p w14:paraId="732C0D1E" w14:textId="77777777" w:rsidR="003F50A7" w:rsidRPr="003F50A7" w:rsidRDefault="003F50A7" w:rsidP="003F50A7">
      <w:pPr>
        <w:pStyle w:val="ListParagraph"/>
        <w:spacing w:line="360" w:lineRule="auto"/>
        <w:rPr>
          <w:rFonts w:cs="Times New Roman"/>
          <w:b/>
          <w:bCs/>
          <w:szCs w:val="24"/>
        </w:rPr>
      </w:pPr>
    </w:p>
    <w:p w14:paraId="4296C417" w14:textId="77777777" w:rsid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Avoid Irreparable Harm</w:t>
      </w:r>
    </w:p>
    <w:p w14:paraId="1B783FED" w14:textId="77777777" w:rsidR="003F50A7" w:rsidRDefault="00CA654B" w:rsidP="009C1A1B">
      <w:pPr>
        <w:pStyle w:val="ListParagraph"/>
        <w:spacing w:line="360" w:lineRule="auto"/>
        <w:jc w:val="both"/>
        <w:rPr>
          <w:rFonts w:cs="Times New Roman"/>
          <w:szCs w:val="24"/>
        </w:rPr>
      </w:pPr>
      <w:r w:rsidRPr="003F50A7">
        <w:rPr>
          <w:rFonts w:cs="Times New Roman"/>
          <w:szCs w:val="24"/>
        </w:rPr>
        <w:t xml:space="preserve">One of the most basic reasons why interim relief is granted by courts is </w:t>
      </w:r>
      <w:proofErr w:type="gramStart"/>
      <w:r w:rsidRPr="003F50A7">
        <w:rPr>
          <w:rFonts w:cs="Times New Roman"/>
          <w:szCs w:val="24"/>
        </w:rPr>
        <w:t>in an attempt to</w:t>
      </w:r>
      <w:proofErr w:type="gramEnd"/>
      <w:r w:rsidRPr="003F50A7">
        <w:rPr>
          <w:rFonts w:cs="Times New Roman"/>
          <w:szCs w:val="24"/>
        </w:rPr>
        <w:t xml:space="preserve"> avert irreparable harm, a form of harm that is not capable of being sufficiently compensated with money. Such harm must be real, serious, and not speculative. The courts utilize the "irreparable injury" test as a component of the more general balance of convenience test. Where the applicant is likely to suffer substantial harm that can then be reversed through restitution </w:t>
      </w:r>
      <w:proofErr w:type="spellStart"/>
      <w:r w:rsidRPr="003F50A7">
        <w:rPr>
          <w:rFonts w:cs="Times New Roman"/>
          <w:szCs w:val="24"/>
        </w:rPr>
        <w:t>or</w:t>
      </w:r>
      <w:proofErr w:type="spellEnd"/>
      <w:r w:rsidRPr="003F50A7">
        <w:rPr>
          <w:rFonts w:cs="Times New Roman"/>
          <w:szCs w:val="24"/>
        </w:rPr>
        <w:t xml:space="preserve"> damages, interim relief can be ordered.</w:t>
      </w:r>
    </w:p>
    <w:p w14:paraId="708337FB" w14:textId="4F655B8C" w:rsidR="00CA654B" w:rsidRDefault="00CA654B" w:rsidP="009C1A1B">
      <w:pPr>
        <w:pStyle w:val="ListParagraph"/>
        <w:spacing w:line="360" w:lineRule="auto"/>
        <w:jc w:val="both"/>
        <w:rPr>
          <w:rFonts w:cs="Times New Roman"/>
          <w:szCs w:val="24"/>
        </w:rPr>
      </w:pPr>
      <w:r w:rsidRPr="003F50A7">
        <w:rPr>
          <w:rFonts w:cs="Times New Roman"/>
          <w:szCs w:val="24"/>
        </w:rPr>
        <w:lastRenderedPageBreak/>
        <w:t>American Cyanamid Co. v. Ethicon Ltd. [1975] AC 396 established the main factors for interim injunctions, in an effort to prevent irreparable harm.</w:t>
      </w:r>
      <w:r w:rsidR="009C1A1B">
        <w:rPr>
          <w:rStyle w:val="FootnoteReference"/>
          <w:rFonts w:cs="Times New Roman"/>
          <w:szCs w:val="24"/>
        </w:rPr>
        <w:footnoteReference w:id="1"/>
      </w:r>
      <w:r w:rsidRPr="003F50A7">
        <w:rPr>
          <w:rFonts w:cs="Times New Roman"/>
          <w:szCs w:val="24"/>
        </w:rPr>
        <w:t xml:space="preserve"> Examples of irreparable harm in support of interim relief are risk of loss of reputation or goodwill in defamation and cases of unfair competition, delay in which will cause permanent damage to an individual or business; environmental damage, in which the courts can be requested to enjoin schemes so as not to cause irreversible environmental damage in full hearings; and physical or psychological damage, particularly in family or human rights cases, where interim protection is necessary in order to avoid further abuse or state action pending the direction of the case.</w:t>
      </w:r>
    </w:p>
    <w:p w14:paraId="341B94A4" w14:textId="77777777" w:rsidR="003F50A7" w:rsidRPr="003F50A7" w:rsidRDefault="003F50A7" w:rsidP="009C1A1B">
      <w:pPr>
        <w:pStyle w:val="ListParagraph"/>
        <w:spacing w:line="360" w:lineRule="auto"/>
        <w:jc w:val="both"/>
        <w:rPr>
          <w:rFonts w:cs="Times New Roman"/>
          <w:i/>
          <w:iCs/>
          <w:szCs w:val="24"/>
          <w:u w:val="single"/>
        </w:rPr>
      </w:pPr>
    </w:p>
    <w:p w14:paraId="4AEF7DCC" w14:textId="77777777" w:rsidR="003F50A7" w:rsidRP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Preserve the Status Quo</w:t>
      </w:r>
    </w:p>
    <w:p w14:paraId="2714E741" w14:textId="77777777" w:rsidR="003F50A7" w:rsidRDefault="00CA654B" w:rsidP="009C1A1B">
      <w:pPr>
        <w:pStyle w:val="ListParagraph"/>
        <w:spacing w:line="360" w:lineRule="auto"/>
        <w:jc w:val="both"/>
        <w:rPr>
          <w:rFonts w:cs="Times New Roman"/>
          <w:szCs w:val="24"/>
        </w:rPr>
      </w:pPr>
      <w:r w:rsidRPr="003F50A7">
        <w:rPr>
          <w:rFonts w:cs="Times New Roman"/>
          <w:szCs w:val="24"/>
        </w:rPr>
        <w:t xml:space="preserve">Courts issue interim orders usually to preserve the status quo ante, i.e., the pre-dispute state—until the final order. In this way, no party </w:t>
      </w:r>
      <w:proofErr w:type="gramStart"/>
      <w:r w:rsidRPr="003F50A7">
        <w:rPr>
          <w:rFonts w:cs="Times New Roman"/>
          <w:szCs w:val="24"/>
        </w:rPr>
        <w:t>is able to</w:t>
      </w:r>
      <w:proofErr w:type="gramEnd"/>
      <w:r w:rsidRPr="003F50A7">
        <w:rPr>
          <w:rFonts w:cs="Times New Roman"/>
          <w:szCs w:val="24"/>
        </w:rPr>
        <w:t xml:space="preserve"> take an advantage by unilateral action during the period when the case is sub judice. Preservation of the status quo avoids rendering a final order futile or impossible. It avoids dissipation of resources or </w:t>
      </w:r>
      <w:proofErr w:type="gramStart"/>
      <w:r w:rsidRPr="003F50A7">
        <w:rPr>
          <w:rFonts w:cs="Times New Roman"/>
          <w:szCs w:val="24"/>
        </w:rPr>
        <w:t>change</w:t>
      </w:r>
      <w:proofErr w:type="gramEnd"/>
      <w:r w:rsidRPr="003F50A7">
        <w:rPr>
          <w:rFonts w:cs="Times New Roman"/>
          <w:szCs w:val="24"/>
        </w:rPr>
        <w:t xml:space="preserve"> in position prejudicing one party.</w:t>
      </w:r>
    </w:p>
    <w:p w14:paraId="34E63BFC" w14:textId="7FAE9F3F" w:rsidR="00CA654B" w:rsidRDefault="00CA654B" w:rsidP="009C1A1B">
      <w:pPr>
        <w:pStyle w:val="ListParagraph"/>
        <w:spacing w:line="360" w:lineRule="auto"/>
        <w:jc w:val="both"/>
        <w:rPr>
          <w:rFonts w:cs="Times New Roman"/>
          <w:szCs w:val="24"/>
        </w:rPr>
      </w:pPr>
      <w:r w:rsidRPr="003F50A7">
        <w:rPr>
          <w:rFonts w:cs="Times New Roman"/>
          <w:szCs w:val="24"/>
        </w:rPr>
        <w:t>Zenith Infotech Ltd. v. Axis Bank Ltd. (2014) highlighted maintenance of status quo to protect parties' rights in pending cases.</w:t>
      </w:r>
      <w:r w:rsidR="009C1A1B">
        <w:rPr>
          <w:rStyle w:val="FootnoteReference"/>
          <w:rFonts w:cs="Times New Roman"/>
          <w:szCs w:val="24"/>
        </w:rPr>
        <w:footnoteReference w:id="2"/>
      </w:r>
      <w:r w:rsidRPr="003F50A7">
        <w:rPr>
          <w:rFonts w:cs="Times New Roman"/>
          <w:szCs w:val="24"/>
        </w:rPr>
        <w:t xml:space="preserve"> In real estate disputes, sale or transfer of the property could be stayed to prevent erosion of rights and issues affecting third parties; in contractual disputes, termination could be frozen to uphold existing terms; and in governance disputes over corporations, interim orders could preserve board makeup or shareholding pending resolution of the dispute.</w:t>
      </w:r>
    </w:p>
    <w:p w14:paraId="250EBD9C" w14:textId="77777777" w:rsidR="003F50A7" w:rsidRPr="003F50A7" w:rsidRDefault="003F50A7" w:rsidP="009C1A1B">
      <w:pPr>
        <w:pStyle w:val="ListParagraph"/>
        <w:spacing w:line="360" w:lineRule="auto"/>
        <w:jc w:val="both"/>
        <w:rPr>
          <w:rFonts w:cs="Times New Roman"/>
          <w:szCs w:val="24"/>
        </w:rPr>
      </w:pPr>
    </w:p>
    <w:p w14:paraId="2267F1AA" w14:textId="77777777" w:rsidR="003F50A7" w:rsidRDefault="00CA654B" w:rsidP="009C1A1B">
      <w:pPr>
        <w:pStyle w:val="ListParagraph"/>
        <w:numPr>
          <w:ilvl w:val="1"/>
          <w:numId w:val="14"/>
        </w:numPr>
        <w:spacing w:line="360" w:lineRule="auto"/>
        <w:jc w:val="both"/>
        <w:rPr>
          <w:rFonts w:cs="Times New Roman"/>
          <w:szCs w:val="24"/>
        </w:rPr>
      </w:pPr>
      <w:r w:rsidRPr="003F50A7">
        <w:rPr>
          <w:rFonts w:cs="Times New Roman"/>
          <w:szCs w:val="24"/>
        </w:rPr>
        <w:t>Safeguard Public or Private Interests</w:t>
      </w:r>
    </w:p>
    <w:p w14:paraId="5461C2BB" w14:textId="77777777" w:rsidR="003F50A7" w:rsidRDefault="003F50A7" w:rsidP="009C1A1B">
      <w:pPr>
        <w:pStyle w:val="ListParagraph"/>
        <w:spacing w:line="360" w:lineRule="auto"/>
        <w:jc w:val="both"/>
        <w:rPr>
          <w:rFonts w:cs="Times New Roman"/>
          <w:szCs w:val="24"/>
        </w:rPr>
      </w:pPr>
      <w:r>
        <w:rPr>
          <w:rFonts w:cs="Times New Roman"/>
          <w:szCs w:val="24"/>
        </w:rPr>
        <w:t>I</w:t>
      </w:r>
      <w:r w:rsidR="00CA654B" w:rsidRPr="003F50A7">
        <w:rPr>
          <w:rFonts w:cs="Times New Roman"/>
          <w:szCs w:val="24"/>
        </w:rPr>
        <w:t xml:space="preserve">nterim orders tend to offer protection to broader interests, either of weaker parties or of </w:t>
      </w:r>
      <w:proofErr w:type="gramStart"/>
      <w:r w:rsidR="00CA654B" w:rsidRPr="003F50A7">
        <w:rPr>
          <w:rFonts w:cs="Times New Roman"/>
          <w:szCs w:val="24"/>
        </w:rPr>
        <w:t>society as a whole</w:t>
      </w:r>
      <w:proofErr w:type="gramEnd"/>
      <w:r w:rsidR="00CA654B" w:rsidRPr="003F50A7">
        <w:rPr>
          <w:rFonts w:cs="Times New Roman"/>
          <w:szCs w:val="24"/>
        </w:rPr>
        <w:t>. These are significant considerations in administrative law, constitutional law, and family law litigation. Interests are balanced against one another to make sure not only that justice is delivered between the two opposing parties but also according to broader societal values or duties to weaker parties.</w:t>
      </w:r>
    </w:p>
    <w:p w14:paraId="19AD231F" w14:textId="449921E8" w:rsidR="00CA654B" w:rsidRDefault="00CA654B" w:rsidP="009C1A1B">
      <w:pPr>
        <w:pStyle w:val="ListParagraph"/>
        <w:spacing w:line="360" w:lineRule="auto"/>
        <w:jc w:val="both"/>
        <w:rPr>
          <w:rFonts w:cs="Times New Roman"/>
          <w:szCs w:val="24"/>
        </w:rPr>
      </w:pPr>
      <w:r w:rsidRPr="003F50A7">
        <w:rPr>
          <w:rFonts w:cs="Times New Roman"/>
          <w:szCs w:val="24"/>
        </w:rPr>
        <w:t xml:space="preserve">Olga Tellis v. Bombay Municipal Corporation (1985 AIR 180) upheld interim protection to pavement dwellers, safeguarding their right to life and livelihood pending </w:t>
      </w:r>
      <w:r w:rsidRPr="003F50A7">
        <w:rPr>
          <w:rFonts w:cs="Times New Roman"/>
          <w:szCs w:val="24"/>
        </w:rPr>
        <w:lastRenderedPageBreak/>
        <w:t>adjudication.</w:t>
      </w:r>
      <w:r w:rsidR="009C1A1B">
        <w:rPr>
          <w:rStyle w:val="FootnoteReference"/>
          <w:rFonts w:cs="Times New Roman"/>
          <w:szCs w:val="24"/>
        </w:rPr>
        <w:footnoteReference w:id="3"/>
      </w:r>
      <w:r w:rsidR="009C1A1B">
        <w:rPr>
          <w:rFonts w:cs="Times New Roman"/>
          <w:szCs w:val="24"/>
        </w:rPr>
        <w:t xml:space="preserve"> </w:t>
      </w:r>
      <w:r w:rsidRPr="003F50A7">
        <w:rPr>
          <w:rFonts w:cs="Times New Roman"/>
          <w:szCs w:val="24"/>
        </w:rPr>
        <w:t>Family law observes interim custody or orders of maintenance safeguarding dependent children or spouses' interests pending divorce; in consumer and public health, the courts can subject harmful products or projects to interim restraint; and in regulation, interim stays on proceedings like evictions or licenses cancellation avoid interference with livelihood or public order.</w:t>
      </w:r>
    </w:p>
    <w:p w14:paraId="3C5E05F8" w14:textId="77777777" w:rsidR="003F50A7" w:rsidRPr="003F50A7" w:rsidRDefault="003F50A7" w:rsidP="009C1A1B">
      <w:pPr>
        <w:pStyle w:val="ListParagraph"/>
        <w:spacing w:line="360" w:lineRule="auto"/>
        <w:jc w:val="both"/>
        <w:rPr>
          <w:rFonts w:cs="Times New Roman"/>
          <w:szCs w:val="24"/>
        </w:rPr>
      </w:pPr>
    </w:p>
    <w:p w14:paraId="65FE7FF0" w14:textId="77777777" w:rsidR="003F50A7" w:rsidRP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Provide Final Relief</w:t>
      </w:r>
    </w:p>
    <w:p w14:paraId="1AE3C48B" w14:textId="77777777" w:rsidR="003F50A7" w:rsidRDefault="00CA654B" w:rsidP="009C1A1B">
      <w:pPr>
        <w:pStyle w:val="ListParagraph"/>
        <w:spacing w:line="360" w:lineRule="auto"/>
        <w:jc w:val="both"/>
        <w:rPr>
          <w:rFonts w:cs="Times New Roman"/>
          <w:szCs w:val="24"/>
        </w:rPr>
      </w:pPr>
      <w:r w:rsidRPr="003F50A7">
        <w:rPr>
          <w:rFonts w:cs="Times New Roman"/>
          <w:szCs w:val="24"/>
        </w:rPr>
        <w:t xml:space="preserve">Interim orders also serve the procedural and practical purpose of keeping final relief effective. In the absence of interim orders, there would be a chance that assets might be sold, evidence lost, or other alterations make final orders unenforceable. Equity </w:t>
      </w:r>
      <w:proofErr w:type="spellStart"/>
      <w:r w:rsidRPr="003F50A7">
        <w:rPr>
          <w:rFonts w:cs="Times New Roman"/>
          <w:szCs w:val="24"/>
        </w:rPr>
        <w:t>favors</w:t>
      </w:r>
      <w:proofErr w:type="spellEnd"/>
      <w:r w:rsidRPr="003F50A7">
        <w:rPr>
          <w:rFonts w:cs="Times New Roman"/>
          <w:szCs w:val="24"/>
        </w:rPr>
        <w:t xml:space="preserve"> the diligent. Interim protection assists the courts in maintaining control over the subject matter of the suit and provides that justice can be meaningfully obtained at the end of the trial.</w:t>
      </w:r>
    </w:p>
    <w:p w14:paraId="5B8F6A3E" w14:textId="439B5800" w:rsidR="00CA654B" w:rsidRDefault="00CA654B" w:rsidP="009C1A1B">
      <w:pPr>
        <w:pStyle w:val="ListParagraph"/>
        <w:spacing w:line="360" w:lineRule="auto"/>
        <w:jc w:val="both"/>
        <w:rPr>
          <w:rFonts w:cs="Times New Roman"/>
          <w:szCs w:val="24"/>
        </w:rPr>
      </w:pPr>
      <w:proofErr w:type="spellStart"/>
      <w:r w:rsidRPr="003F50A7">
        <w:rPr>
          <w:rFonts w:cs="Times New Roman"/>
          <w:szCs w:val="24"/>
        </w:rPr>
        <w:t>Sealink</w:t>
      </w:r>
      <w:proofErr w:type="spellEnd"/>
      <w:r w:rsidRPr="003F50A7">
        <w:rPr>
          <w:rFonts w:cs="Times New Roman"/>
          <w:szCs w:val="24"/>
        </w:rPr>
        <w:t xml:space="preserve"> International Inc. v. Gaurav Finance Ltd.</w:t>
      </w:r>
      <w:r w:rsidR="009C1A1B">
        <w:rPr>
          <w:rStyle w:val="FootnoteReference"/>
          <w:rFonts w:cs="Times New Roman"/>
          <w:szCs w:val="24"/>
        </w:rPr>
        <w:footnoteReference w:id="4"/>
      </w:r>
      <w:r w:rsidR="009C1A1B">
        <w:rPr>
          <w:rFonts w:cs="Times New Roman"/>
          <w:szCs w:val="24"/>
        </w:rPr>
        <w:t xml:space="preserve"> </w:t>
      </w:r>
      <w:r w:rsidRPr="003F50A7">
        <w:rPr>
          <w:rFonts w:cs="Times New Roman"/>
          <w:szCs w:val="24"/>
        </w:rPr>
        <w:t>reiterated the necessity of interim orders to avoid final findings being infructuous and to protect evidence. Asset freezing orders (Mareva injunctions) restrain defendants from alienating assets to make final orders enforceable feasible; Anton Piller orders enable preservation of evidence at an early stage by search and seizure; and construction or demolition injunctions protect sites in dispute to make final orders of the court enforceable.</w:t>
      </w:r>
    </w:p>
    <w:p w14:paraId="327BC302" w14:textId="77777777" w:rsidR="003F50A7" w:rsidRPr="003F50A7" w:rsidRDefault="003F50A7" w:rsidP="003F50A7">
      <w:pPr>
        <w:pStyle w:val="ListParagraph"/>
        <w:spacing w:line="360" w:lineRule="auto"/>
        <w:rPr>
          <w:rFonts w:cs="Times New Roman"/>
          <w:szCs w:val="24"/>
        </w:rPr>
      </w:pPr>
    </w:p>
    <w:p w14:paraId="3EE9D6FF" w14:textId="5FFC5B7B" w:rsidR="003F50A7" w:rsidRDefault="00CA654B" w:rsidP="00BE1A48">
      <w:pPr>
        <w:pStyle w:val="ListParagraph"/>
        <w:numPr>
          <w:ilvl w:val="0"/>
          <w:numId w:val="14"/>
        </w:numPr>
        <w:spacing w:line="360" w:lineRule="auto"/>
        <w:rPr>
          <w:rFonts w:cs="Times New Roman"/>
          <w:b/>
          <w:bCs/>
          <w:szCs w:val="24"/>
        </w:rPr>
      </w:pPr>
      <w:r w:rsidRPr="003F50A7">
        <w:rPr>
          <w:rFonts w:cs="Times New Roman"/>
          <w:b/>
          <w:bCs/>
          <w:szCs w:val="24"/>
        </w:rPr>
        <w:t>Tests and Legal Standards</w:t>
      </w:r>
    </w:p>
    <w:p w14:paraId="2FBF1078" w14:textId="77777777" w:rsidR="003F50A7" w:rsidRPr="003F50A7" w:rsidRDefault="003F50A7" w:rsidP="003F50A7">
      <w:pPr>
        <w:pStyle w:val="ListParagraph"/>
        <w:spacing w:line="360" w:lineRule="auto"/>
        <w:rPr>
          <w:rFonts w:cs="Times New Roman"/>
          <w:b/>
          <w:bCs/>
          <w:szCs w:val="24"/>
        </w:rPr>
      </w:pPr>
    </w:p>
    <w:p w14:paraId="2D535A22" w14:textId="77777777" w:rsidR="003F50A7" w:rsidRDefault="003F50A7"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Jur</w:t>
      </w:r>
      <w:r w:rsidR="00CA654B" w:rsidRPr="003F50A7">
        <w:rPr>
          <w:rFonts w:cs="Times New Roman"/>
          <w:i/>
          <w:iCs/>
          <w:szCs w:val="24"/>
          <w:u w:val="single"/>
        </w:rPr>
        <w:t>isdiction &amp; Discretion</w:t>
      </w:r>
    </w:p>
    <w:p w14:paraId="09E5CCB4" w14:textId="32D8F294" w:rsidR="00CA654B" w:rsidRDefault="00CA654B" w:rsidP="009C1A1B">
      <w:pPr>
        <w:pStyle w:val="ListParagraph"/>
        <w:spacing w:line="360" w:lineRule="auto"/>
        <w:jc w:val="both"/>
        <w:rPr>
          <w:rFonts w:cs="Times New Roman"/>
          <w:szCs w:val="24"/>
        </w:rPr>
      </w:pPr>
      <w:r w:rsidRPr="003F50A7">
        <w:rPr>
          <w:rFonts w:cs="Times New Roman"/>
          <w:szCs w:val="24"/>
        </w:rPr>
        <w:t xml:space="preserve">Judicial discretion is used by the courts at the grant of interim relief by </w:t>
      </w:r>
      <w:proofErr w:type="gramStart"/>
      <w:r w:rsidRPr="003F50A7">
        <w:rPr>
          <w:rFonts w:cs="Times New Roman"/>
          <w:szCs w:val="24"/>
        </w:rPr>
        <w:t>taking into account</w:t>
      </w:r>
      <w:proofErr w:type="gramEnd"/>
      <w:r w:rsidRPr="003F50A7">
        <w:rPr>
          <w:rFonts w:cs="Times New Roman"/>
          <w:szCs w:val="24"/>
        </w:rPr>
        <w:t xml:space="preserve"> essential considerations including the prima facie case, risk of irreparable injury, and the balance of convenience between the parties. In common law jurisdictions, the American Cyanamid test (UK) is a procedural mechanism of such assessment, according to which there should be a serious point to be tried, damages alone would be an unsatisfactory remedy, the balance of convenience is in the applicant's favour, and, in some cases, preservation of the status quo is necessary so that injustice may not follow</w:t>
      </w:r>
      <w:r w:rsidR="003F50A7">
        <w:rPr>
          <w:rFonts w:cs="Times New Roman"/>
          <w:szCs w:val="24"/>
        </w:rPr>
        <w:t>.</w:t>
      </w:r>
      <w:r w:rsidR="009C1A1B">
        <w:rPr>
          <w:rStyle w:val="FootnoteReference"/>
          <w:rFonts w:cs="Times New Roman"/>
          <w:szCs w:val="24"/>
        </w:rPr>
        <w:footnoteReference w:id="5"/>
      </w:r>
    </w:p>
    <w:p w14:paraId="0B908E67" w14:textId="77777777" w:rsidR="003F50A7" w:rsidRPr="003F50A7" w:rsidRDefault="003F50A7" w:rsidP="009C1A1B">
      <w:pPr>
        <w:pStyle w:val="ListParagraph"/>
        <w:spacing w:line="360" w:lineRule="auto"/>
        <w:jc w:val="both"/>
        <w:rPr>
          <w:rFonts w:cs="Times New Roman"/>
          <w:i/>
          <w:iCs/>
          <w:szCs w:val="24"/>
          <w:u w:val="single"/>
        </w:rPr>
      </w:pPr>
    </w:p>
    <w:p w14:paraId="279D16D3" w14:textId="77777777" w:rsid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Burdens of Proof</w:t>
      </w:r>
    </w:p>
    <w:p w14:paraId="54AA5EE0" w14:textId="463AA14C" w:rsidR="003F50A7" w:rsidRDefault="00CA654B" w:rsidP="009C1A1B">
      <w:pPr>
        <w:pStyle w:val="ListParagraph"/>
        <w:spacing w:line="360" w:lineRule="auto"/>
        <w:jc w:val="both"/>
        <w:rPr>
          <w:rFonts w:cs="Times New Roman"/>
          <w:szCs w:val="24"/>
        </w:rPr>
      </w:pPr>
      <w:r w:rsidRPr="003F50A7">
        <w:rPr>
          <w:rFonts w:cs="Times New Roman"/>
          <w:szCs w:val="24"/>
        </w:rPr>
        <w:t>Interim relief standards are jurisdiction-dependent. In the UK, the Cream Holdings v. Banerjee case held, under the Human Rights Act, and particularly when freedom of expression is at issue, claimants must demonstrate that they are "likely" to succeed at trial—a more stringent test than a "real prospect" of doing so.</w:t>
      </w:r>
      <w:r w:rsidR="003A405F">
        <w:rPr>
          <w:rStyle w:val="FootnoteReference"/>
          <w:rFonts w:cs="Times New Roman"/>
          <w:szCs w:val="24"/>
        </w:rPr>
        <w:footnoteReference w:id="6"/>
      </w:r>
      <w:r w:rsidRPr="003F50A7">
        <w:rPr>
          <w:rFonts w:cs="Times New Roman"/>
          <w:szCs w:val="24"/>
        </w:rPr>
        <w:t xml:space="preserve"> In Canada, and notably in human rights and family law, courts apply a multifactor test balancing the child's best interests, preservation of the status quo, and deference to procedural fairness so that interim orders issue in a balanced, context-dependent fashion.</w:t>
      </w:r>
    </w:p>
    <w:p w14:paraId="4AE57731" w14:textId="77777777" w:rsidR="003F50A7" w:rsidRPr="003F50A7" w:rsidRDefault="003F50A7" w:rsidP="009C1A1B">
      <w:pPr>
        <w:pStyle w:val="ListParagraph"/>
        <w:spacing w:line="360" w:lineRule="auto"/>
        <w:jc w:val="both"/>
        <w:rPr>
          <w:rFonts w:cs="Times New Roman"/>
          <w:szCs w:val="24"/>
        </w:rPr>
      </w:pPr>
    </w:p>
    <w:p w14:paraId="72EA6C30" w14:textId="77777777" w:rsid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Time Frames and Vacatur</w:t>
      </w:r>
    </w:p>
    <w:p w14:paraId="2CC736C2" w14:textId="47FA5310" w:rsidR="00CA654B" w:rsidRDefault="00CA654B" w:rsidP="009C1A1B">
      <w:pPr>
        <w:pStyle w:val="ListParagraph"/>
        <w:spacing w:line="360" w:lineRule="auto"/>
        <w:jc w:val="both"/>
        <w:rPr>
          <w:rFonts w:cs="Times New Roman"/>
          <w:szCs w:val="24"/>
        </w:rPr>
      </w:pPr>
      <w:r w:rsidRPr="003F50A7">
        <w:rPr>
          <w:rFonts w:cs="Times New Roman"/>
          <w:szCs w:val="24"/>
        </w:rPr>
        <w:t xml:space="preserve">In Asian Resurfacing of Road Agency </w:t>
      </w:r>
      <w:proofErr w:type="spellStart"/>
      <w:r w:rsidRPr="003F50A7">
        <w:rPr>
          <w:rFonts w:cs="Times New Roman"/>
          <w:szCs w:val="24"/>
        </w:rPr>
        <w:t>Pvt.</w:t>
      </w:r>
      <w:proofErr w:type="spellEnd"/>
      <w:r w:rsidRPr="003F50A7">
        <w:rPr>
          <w:rFonts w:cs="Times New Roman"/>
          <w:szCs w:val="24"/>
        </w:rPr>
        <w:t xml:space="preserve"> Ltd. v. CBI (2018) 16 SCC 299</w:t>
      </w:r>
      <w:r w:rsidR="003A405F">
        <w:rPr>
          <w:rFonts w:cs="Times New Roman"/>
          <w:szCs w:val="24"/>
        </w:rPr>
        <w:t>,</w:t>
      </w:r>
      <w:r w:rsidR="003A405F">
        <w:rPr>
          <w:rStyle w:val="FootnoteReference"/>
          <w:rFonts w:cs="Times New Roman"/>
          <w:szCs w:val="24"/>
        </w:rPr>
        <w:footnoteReference w:id="7"/>
      </w:r>
      <w:r w:rsidRPr="003F50A7">
        <w:rPr>
          <w:rFonts w:cs="Times New Roman"/>
          <w:szCs w:val="24"/>
        </w:rPr>
        <w:t xml:space="preserve"> the India Supreme Court reiterated that interim stay orders cannot be in operation forever and must be the subject of strict judicial scrutiny. The Court ordered that interim stays issued in civil or criminal proceedings by High Courts or lower courts must be time-dependent and reviewed periodically and with an express mandate that such orders will automatically expire after six months unless extended by a reasoned order. It is a directive that seeks to preclude abuse of interim relief and ensure expeditious advancement of proceedings.</w:t>
      </w:r>
    </w:p>
    <w:p w14:paraId="345CC80E" w14:textId="77777777" w:rsidR="003F50A7" w:rsidRPr="003F50A7" w:rsidRDefault="003F50A7" w:rsidP="003F50A7">
      <w:pPr>
        <w:pStyle w:val="ListParagraph"/>
        <w:spacing w:line="360" w:lineRule="auto"/>
        <w:rPr>
          <w:rFonts w:cs="Times New Roman"/>
          <w:i/>
          <w:iCs/>
          <w:szCs w:val="24"/>
          <w:u w:val="single"/>
        </w:rPr>
      </w:pPr>
    </w:p>
    <w:p w14:paraId="2113E15D" w14:textId="77777777" w:rsidR="003F50A7" w:rsidRDefault="00CA654B" w:rsidP="003F50A7">
      <w:pPr>
        <w:pStyle w:val="ListParagraph"/>
        <w:numPr>
          <w:ilvl w:val="0"/>
          <w:numId w:val="14"/>
        </w:numPr>
        <w:spacing w:line="360" w:lineRule="auto"/>
        <w:rPr>
          <w:rFonts w:cs="Times New Roman"/>
          <w:b/>
          <w:bCs/>
          <w:szCs w:val="24"/>
        </w:rPr>
      </w:pPr>
      <w:r w:rsidRPr="003F50A7">
        <w:rPr>
          <w:rFonts w:cs="Times New Roman"/>
          <w:b/>
          <w:bCs/>
          <w:szCs w:val="24"/>
        </w:rPr>
        <w:t>Balancing Efficiency, Fairness, and Certainty</w:t>
      </w:r>
    </w:p>
    <w:p w14:paraId="36E55FA2" w14:textId="162B9586" w:rsidR="00CA654B" w:rsidRDefault="00CA654B" w:rsidP="009C1A1B">
      <w:pPr>
        <w:pStyle w:val="ListParagraph"/>
        <w:spacing w:line="360" w:lineRule="auto"/>
        <w:jc w:val="both"/>
        <w:rPr>
          <w:rFonts w:cs="Times New Roman"/>
          <w:szCs w:val="24"/>
        </w:rPr>
      </w:pPr>
      <w:r w:rsidRPr="003F50A7">
        <w:rPr>
          <w:rFonts w:cs="Times New Roman"/>
          <w:szCs w:val="24"/>
        </w:rPr>
        <w:t xml:space="preserve">Balancing speed, justice, and certainty in interim relief requires courts to act with haste without sacrificing legal integrity. While interim orders are reserved for emergency cases, they should be reasonably justified so that rapid, ex </w:t>
      </w:r>
      <w:proofErr w:type="spellStart"/>
      <w:r w:rsidRPr="003F50A7">
        <w:rPr>
          <w:rFonts w:cs="Times New Roman"/>
          <w:szCs w:val="24"/>
        </w:rPr>
        <w:t>parte</w:t>
      </w:r>
      <w:proofErr w:type="spellEnd"/>
      <w:r w:rsidRPr="003F50A7">
        <w:rPr>
          <w:rFonts w:cs="Times New Roman"/>
          <w:szCs w:val="24"/>
        </w:rPr>
        <w:t xml:space="preserve"> action does not become de facto permanent rights. Procedural protections—such as giving fair notice and speedy post-issuance hearings—are essential to safeguard due process and transparency. Moreover, courts need to be on guard against the strategic misuse of interim orders as a means of stalling proceedings or pressurizing the other party. Indian courts, in fact, have cautioned against the development of an "interim law," stressing the importance of keeping distortions in check and interim orders temporary and proportionate.</w:t>
      </w:r>
    </w:p>
    <w:p w14:paraId="05AA500E" w14:textId="77777777" w:rsidR="003F50A7" w:rsidRPr="003F50A7" w:rsidRDefault="003F50A7" w:rsidP="003F50A7">
      <w:pPr>
        <w:pStyle w:val="ListParagraph"/>
        <w:spacing w:line="360" w:lineRule="auto"/>
        <w:rPr>
          <w:rFonts w:cs="Times New Roman"/>
          <w:b/>
          <w:bCs/>
          <w:szCs w:val="24"/>
        </w:rPr>
      </w:pPr>
    </w:p>
    <w:p w14:paraId="5C8DEE2B" w14:textId="77777777" w:rsidR="003F50A7" w:rsidRDefault="00CA654B" w:rsidP="003F50A7">
      <w:pPr>
        <w:pStyle w:val="ListParagraph"/>
        <w:numPr>
          <w:ilvl w:val="0"/>
          <w:numId w:val="14"/>
        </w:numPr>
        <w:spacing w:line="360" w:lineRule="auto"/>
        <w:rPr>
          <w:rFonts w:cs="Times New Roman"/>
          <w:b/>
          <w:bCs/>
          <w:szCs w:val="24"/>
        </w:rPr>
      </w:pPr>
      <w:r w:rsidRPr="003F50A7">
        <w:rPr>
          <w:rFonts w:cs="Times New Roman"/>
          <w:b/>
          <w:bCs/>
          <w:szCs w:val="24"/>
        </w:rPr>
        <w:t>Jurisdictional Highlights</w:t>
      </w:r>
    </w:p>
    <w:p w14:paraId="6579E17D" w14:textId="77777777" w:rsidR="003F50A7" w:rsidRDefault="003F50A7" w:rsidP="003F50A7">
      <w:pPr>
        <w:pStyle w:val="ListParagraph"/>
        <w:spacing w:line="360" w:lineRule="auto"/>
        <w:rPr>
          <w:rFonts w:cs="Times New Roman"/>
          <w:b/>
          <w:bCs/>
          <w:szCs w:val="24"/>
        </w:rPr>
      </w:pPr>
    </w:p>
    <w:p w14:paraId="2DE5BB40" w14:textId="77777777" w:rsid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India</w:t>
      </w:r>
      <w:r w:rsidR="003F50A7">
        <w:rPr>
          <w:rFonts w:cs="Times New Roman"/>
          <w:i/>
          <w:iCs/>
          <w:szCs w:val="24"/>
          <w:u w:val="single"/>
        </w:rPr>
        <w:t>n System</w:t>
      </w:r>
    </w:p>
    <w:p w14:paraId="4195AB50" w14:textId="7EAFBF48" w:rsidR="003F50A7" w:rsidRDefault="00CA654B" w:rsidP="009C1A1B">
      <w:pPr>
        <w:pStyle w:val="ListParagraph"/>
        <w:spacing w:line="360" w:lineRule="auto"/>
        <w:jc w:val="both"/>
        <w:rPr>
          <w:rFonts w:cs="Times New Roman"/>
          <w:szCs w:val="24"/>
        </w:rPr>
      </w:pPr>
      <w:r w:rsidRPr="003F50A7">
        <w:rPr>
          <w:rFonts w:cs="Times New Roman"/>
          <w:szCs w:val="24"/>
        </w:rPr>
        <w:t>Under the Indian legal system, the constitutional and procedural law foundation for interim orders is the Constitution and procedural law, primarily through Articles 226 and 227, which empower High Courts with the power of passing directions, orders, or writs. In High Court Bar Association v. State of Uttar Pradesh, the Supreme Court reaffirmed that interim stay orders must be reasoned as opposed to boilerplate, enhancing judicial accountability and transparency.</w:t>
      </w:r>
      <w:r w:rsidR="003A405F">
        <w:rPr>
          <w:rStyle w:val="FootnoteReference"/>
          <w:rFonts w:cs="Times New Roman"/>
          <w:szCs w:val="24"/>
        </w:rPr>
        <w:footnoteReference w:id="8"/>
      </w:r>
      <w:r w:rsidRPr="003F50A7">
        <w:rPr>
          <w:rFonts w:cs="Times New Roman"/>
          <w:szCs w:val="24"/>
        </w:rPr>
        <w:t xml:space="preserve"> Despite these checks, the issue of Indian courts' delayed pendency has the tendency to render interim orders de facto final relief, negating the efficiency and purpose of temporary judicial relief.</w:t>
      </w:r>
    </w:p>
    <w:p w14:paraId="501F8314" w14:textId="77777777" w:rsidR="003F50A7" w:rsidRPr="003F50A7" w:rsidRDefault="003F50A7" w:rsidP="009C1A1B">
      <w:pPr>
        <w:pStyle w:val="ListParagraph"/>
        <w:spacing w:line="360" w:lineRule="auto"/>
        <w:jc w:val="both"/>
        <w:rPr>
          <w:rFonts w:cs="Times New Roman"/>
          <w:szCs w:val="24"/>
        </w:rPr>
      </w:pPr>
    </w:p>
    <w:p w14:paraId="7364AE92" w14:textId="77777777" w:rsid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United Kingdom and Commonwealth</w:t>
      </w:r>
    </w:p>
    <w:p w14:paraId="4004455F" w14:textId="3C315056" w:rsidR="00CA654B" w:rsidRDefault="00CA654B" w:rsidP="009C1A1B">
      <w:pPr>
        <w:pStyle w:val="ListParagraph"/>
        <w:spacing w:line="360" w:lineRule="auto"/>
        <w:jc w:val="both"/>
        <w:rPr>
          <w:rFonts w:cs="Times New Roman"/>
          <w:szCs w:val="24"/>
        </w:rPr>
      </w:pPr>
      <w:r w:rsidRPr="003F50A7">
        <w:rPr>
          <w:rFonts w:cs="Times New Roman"/>
          <w:szCs w:val="24"/>
        </w:rPr>
        <w:t>Interim injunctions in the UK are regulated by equitable principles and are largely governed by the American Cyanamid Co. v. Ethicon Ltd. test, which stated that the courts must not examine the merits in detail at the interim stage but must consider whether there is a serious issue to be tried, whether damages will be an adequate remedy, and where the balance of convenience lies.</w:t>
      </w:r>
      <w:r w:rsidR="00917EFE">
        <w:rPr>
          <w:rStyle w:val="FootnoteReference"/>
          <w:rFonts w:cs="Times New Roman"/>
          <w:szCs w:val="24"/>
        </w:rPr>
        <w:footnoteReference w:id="9"/>
      </w:r>
      <w:r w:rsidRPr="003F50A7">
        <w:rPr>
          <w:rFonts w:cs="Times New Roman"/>
          <w:szCs w:val="24"/>
        </w:rPr>
        <w:t xml:space="preserve"> The Cream Holdings v. Banerjee case supplemented this test in freedom of expression cases where the test is stricter with the claimant required to show that they are "likely" to succeed at trial.</w:t>
      </w:r>
      <w:r w:rsidR="00917EFE">
        <w:rPr>
          <w:rStyle w:val="FootnoteReference"/>
          <w:rFonts w:cs="Times New Roman"/>
          <w:szCs w:val="24"/>
        </w:rPr>
        <w:footnoteReference w:id="10"/>
      </w:r>
      <w:r w:rsidRPr="003F50A7">
        <w:rPr>
          <w:rFonts w:cs="Times New Roman"/>
          <w:szCs w:val="24"/>
        </w:rPr>
        <w:t xml:space="preserve"> Australian courts also demand not only proof of irreparable harm but a good prima facie case, suggesting a more restricted approach to interim relief. </w:t>
      </w:r>
    </w:p>
    <w:p w14:paraId="5EEEB518" w14:textId="77777777" w:rsidR="003F50A7" w:rsidRPr="003F50A7" w:rsidRDefault="003F50A7" w:rsidP="009C1A1B">
      <w:pPr>
        <w:pStyle w:val="ListParagraph"/>
        <w:spacing w:line="360" w:lineRule="auto"/>
        <w:jc w:val="both"/>
        <w:rPr>
          <w:rFonts w:cs="Times New Roman"/>
          <w:i/>
          <w:iCs/>
          <w:szCs w:val="24"/>
          <w:u w:val="single"/>
        </w:rPr>
      </w:pPr>
    </w:p>
    <w:p w14:paraId="659FDC03" w14:textId="77777777" w:rsidR="003F50A7" w:rsidRP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Canada</w:t>
      </w:r>
    </w:p>
    <w:p w14:paraId="35DEF89B" w14:textId="646A85E7" w:rsidR="00CA654B" w:rsidRDefault="00CA654B" w:rsidP="009C1A1B">
      <w:pPr>
        <w:pStyle w:val="ListParagraph"/>
        <w:spacing w:line="360" w:lineRule="auto"/>
        <w:jc w:val="both"/>
        <w:rPr>
          <w:rFonts w:cs="Times New Roman"/>
          <w:szCs w:val="24"/>
        </w:rPr>
      </w:pPr>
      <w:r w:rsidRPr="003F50A7">
        <w:rPr>
          <w:rFonts w:cs="Times New Roman"/>
          <w:szCs w:val="24"/>
        </w:rPr>
        <w:t xml:space="preserve">In Canada, interim orders—especially in family law and human rights cases—are regulated under both federal and provincial regimes. Courts employ a contextual and multifactor test and turn especially to the best interests of the child, preservation of the status quo, and procedural fairness. For example, in divorce or custody actions, interim relief is essential in ensuring stability while being sensitive to both parties' rights. </w:t>
      </w:r>
      <w:r w:rsidRPr="003F50A7">
        <w:rPr>
          <w:rFonts w:cs="Times New Roman"/>
          <w:szCs w:val="24"/>
        </w:rPr>
        <w:lastRenderedPageBreak/>
        <w:t xml:space="preserve">Canadian jurisprudence attempts to avail itself of equity and proportionality, mindful of the subtle impact of interim relief on people's lives. </w:t>
      </w:r>
    </w:p>
    <w:p w14:paraId="362B3756" w14:textId="77777777" w:rsidR="003F50A7" w:rsidRPr="003F50A7" w:rsidRDefault="003F50A7" w:rsidP="009C1A1B">
      <w:pPr>
        <w:pStyle w:val="ListParagraph"/>
        <w:spacing w:line="360" w:lineRule="auto"/>
        <w:jc w:val="both"/>
        <w:rPr>
          <w:rFonts w:cs="Times New Roman"/>
          <w:szCs w:val="24"/>
        </w:rPr>
      </w:pPr>
    </w:p>
    <w:p w14:paraId="2857BAF1" w14:textId="48AB68B9" w:rsidR="003F50A7" w:rsidRPr="003F50A7" w:rsidRDefault="00CA654B" w:rsidP="009C1A1B">
      <w:pPr>
        <w:pStyle w:val="ListParagraph"/>
        <w:numPr>
          <w:ilvl w:val="1"/>
          <w:numId w:val="14"/>
        </w:numPr>
        <w:spacing w:line="360" w:lineRule="auto"/>
        <w:jc w:val="both"/>
        <w:rPr>
          <w:rFonts w:cs="Times New Roman"/>
          <w:i/>
          <w:iCs/>
          <w:szCs w:val="24"/>
          <w:u w:val="single"/>
        </w:rPr>
      </w:pPr>
      <w:r w:rsidRPr="003F50A7">
        <w:rPr>
          <w:rFonts w:cs="Times New Roman"/>
          <w:i/>
          <w:iCs/>
          <w:szCs w:val="24"/>
          <w:u w:val="single"/>
        </w:rPr>
        <w:t xml:space="preserve">International Arbitration: </w:t>
      </w:r>
    </w:p>
    <w:p w14:paraId="55211923" w14:textId="71F03CC1" w:rsidR="0035395A" w:rsidRPr="003F50A7" w:rsidRDefault="00CA654B" w:rsidP="009C1A1B">
      <w:pPr>
        <w:pStyle w:val="ListParagraph"/>
        <w:spacing w:line="360" w:lineRule="auto"/>
        <w:jc w:val="both"/>
        <w:rPr>
          <w:rFonts w:cs="Times New Roman"/>
          <w:szCs w:val="24"/>
        </w:rPr>
      </w:pPr>
      <w:r w:rsidRPr="003F50A7">
        <w:rPr>
          <w:rFonts w:cs="Times New Roman"/>
          <w:szCs w:val="24"/>
        </w:rPr>
        <w:t>Arbitral tribunals and emergency arbitrators both can grant interim relief in international arbitration to protect assets, evidence, or the claim object before a final award. National courts, on the other hand, resort more to enforcement of such orders because arbitral tribunals lack coercive power. Though most arbitration rules (e.g., ICC, LCIA, UNCITRAL) now permit such emergency relief, it still depends on jurisdiction. Some states are more cooperative in recognition and enforcement of interim arbitral orders, while others mandate public policy or procedure-based restrictions, thereby making enforcement unequal across borders.</w:t>
      </w:r>
    </w:p>
    <w:p w14:paraId="11869C01" w14:textId="77777777" w:rsidR="009C1A1B" w:rsidRPr="009C1A1B" w:rsidRDefault="00530182" w:rsidP="009C1A1B">
      <w:pPr>
        <w:pStyle w:val="ListParagraph"/>
        <w:numPr>
          <w:ilvl w:val="0"/>
          <w:numId w:val="14"/>
        </w:numPr>
        <w:spacing w:line="360" w:lineRule="auto"/>
        <w:jc w:val="both"/>
        <w:rPr>
          <w:rFonts w:cs="Times New Roman"/>
          <w:szCs w:val="24"/>
        </w:rPr>
      </w:pPr>
      <w:r w:rsidRPr="003F50A7">
        <w:rPr>
          <w:rFonts w:cs="Times New Roman"/>
          <w:b/>
          <w:bCs/>
          <w:szCs w:val="24"/>
        </w:rPr>
        <w:t>Challenges and Criticisms</w:t>
      </w:r>
    </w:p>
    <w:p w14:paraId="3DBC63A5" w14:textId="668E2389" w:rsidR="003F50A7" w:rsidRPr="009C1A1B" w:rsidRDefault="003F50A7" w:rsidP="009C1A1B">
      <w:pPr>
        <w:pStyle w:val="ListParagraph"/>
        <w:spacing w:line="360" w:lineRule="auto"/>
        <w:jc w:val="both"/>
        <w:rPr>
          <w:rFonts w:cs="Times New Roman"/>
          <w:szCs w:val="24"/>
        </w:rPr>
      </w:pPr>
      <w:r w:rsidRPr="009C1A1B">
        <w:rPr>
          <w:rFonts w:cs="Times New Roman"/>
          <w:szCs w:val="24"/>
        </w:rPr>
        <w:t>Interim orders, as essential as they are, are prone to serious challenges that can negate their so-called purpose. Extended interim relief can delay justice, facto nullifying parties' rights and truncating the effect of final adjudications; in India, for example, excessive case pendency—some cases taking over 60 years—has undermined substantive justice and public trust in the adjudicative process.</w:t>
      </w:r>
      <w:r w:rsidR="009C1A1B">
        <w:rPr>
          <w:rStyle w:val="FootnoteReference"/>
          <w:rFonts w:cs="Times New Roman"/>
          <w:szCs w:val="24"/>
        </w:rPr>
        <w:footnoteReference w:id="11"/>
      </w:r>
      <w:r w:rsidRPr="009C1A1B">
        <w:rPr>
          <w:rFonts w:cs="Times New Roman"/>
          <w:szCs w:val="24"/>
        </w:rPr>
        <w:t xml:space="preserve"> Strategic litigation technique is also being used more often by corporate operators to abuse interim orders, slowing proceedings and loading rivals with judicial complexity.</w:t>
      </w:r>
      <w:r w:rsidR="003A405F">
        <w:rPr>
          <w:rStyle w:val="FootnoteReference"/>
          <w:rFonts w:cs="Times New Roman"/>
          <w:szCs w:val="24"/>
        </w:rPr>
        <w:footnoteReference w:id="12"/>
      </w:r>
      <w:r w:rsidRPr="009C1A1B">
        <w:rPr>
          <w:rFonts w:cs="Times New Roman"/>
          <w:szCs w:val="24"/>
        </w:rPr>
        <w:t xml:space="preserve"> This is creating reliance on interim relief, generating uncertainty where transient measures become the norm, entrenching the status quo in defiance of legal or social need for change.</w:t>
      </w:r>
      <w:r w:rsidR="003A405F">
        <w:rPr>
          <w:rStyle w:val="FootnoteReference"/>
          <w:rFonts w:cs="Times New Roman"/>
          <w:szCs w:val="24"/>
        </w:rPr>
        <w:footnoteReference w:id="13"/>
      </w:r>
    </w:p>
    <w:p w14:paraId="15116771" w14:textId="7F47938B" w:rsidR="003F50A7" w:rsidRPr="003F50A7" w:rsidRDefault="003F50A7" w:rsidP="003F50A7">
      <w:pPr>
        <w:pStyle w:val="ListParagraph"/>
        <w:spacing w:line="360" w:lineRule="auto"/>
        <w:rPr>
          <w:rFonts w:cs="Times New Roman"/>
          <w:szCs w:val="24"/>
        </w:rPr>
      </w:pPr>
    </w:p>
    <w:p w14:paraId="5F368F82" w14:textId="77777777" w:rsidR="009C1A1B" w:rsidRPr="009C1A1B" w:rsidRDefault="00530182" w:rsidP="009C1A1B">
      <w:pPr>
        <w:pStyle w:val="ListParagraph"/>
        <w:numPr>
          <w:ilvl w:val="0"/>
          <w:numId w:val="14"/>
        </w:numPr>
        <w:spacing w:line="360" w:lineRule="auto"/>
        <w:jc w:val="both"/>
        <w:rPr>
          <w:rFonts w:cs="Times New Roman"/>
          <w:szCs w:val="24"/>
        </w:rPr>
      </w:pPr>
      <w:r w:rsidRPr="003F50A7">
        <w:rPr>
          <w:rFonts w:cs="Times New Roman"/>
          <w:b/>
          <w:bCs/>
          <w:szCs w:val="24"/>
        </w:rPr>
        <w:t>Reform &amp; Improvement Strategies</w:t>
      </w:r>
    </w:p>
    <w:p w14:paraId="523A1858" w14:textId="44C2F489" w:rsidR="003F50A7" w:rsidRPr="009C1A1B" w:rsidRDefault="003F50A7" w:rsidP="009C1A1B">
      <w:pPr>
        <w:pStyle w:val="ListParagraph"/>
        <w:spacing w:line="360" w:lineRule="auto"/>
        <w:jc w:val="both"/>
        <w:rPr>
          <w:rFonts w:cs="Times New Roman"/>
          <w:szCs w:val="24"/>
        </w:rPr>
      </w:pPr>
      <w:r w:rsidRPr="009C1A1B">
        <w:rPr>
          <w:rFonts w:cs="Times New Roman"/>
          <w:szCs w:val="24"/>
        </w:rPr>
        <w:t xml:space="preserve">Enhancing the effectiveness and fairness of interim orders, </w:t>
      </w:r>
      <w:proofErr w:type="gramStart"/>
      <w:r w:rsidRPr="009C1A1B">
        <w:rPr>
          <w:rFonts w:cs="Times New Roman"/>
          <w:szCs w:val="24"/>
        </w:rPr>
        <w:t>a number of</w:t>
      </w:r>
      <w:proofErr w:type="gramEnd"/>
      <w:r w:rsidRPr="009C1A1B">
        <w:rPr>
          <w:rFonts w:cs="Times New Roman"/>
          <w:szCs w:val="24"/>
        </w:rPr>
        <w:t xml:space="preserve"> reform suggestions have been made. Time-limited reviews help avoid infinite interim relief and enable the simplification of the final adjudication process.</w:t>
      </w:r>
      <w:r w:rsidR="003A405F">
        <w:rPr>
          <w:rStyle w:val="FootnoteReference"/>
          <w:rFonts w:cs="Times New Roman"/>
          <w:szCs w:val="24"/>
        </w:rPr>
        <w:footnoteReference w:id="14"/>
      </w:r>
      <w:r w:rsidRPr="009C1A1B">
        <w:rPr>
          <w:rFonts w:cs="Times New Roman"/>
          <w:szCs w:val="24"/>
        </w:rPr>
        <w:t xml:space="preserve"> Stating clear legal tests—e.g., requiring a prima facie case or a "more likely than not" test—enhances consistency and predictability across jurisdictions.</w:t>
      </w:r>
      <w:r w:rsidR="003A405F">
        <w:rPr>
          <w:rStyle w:val="FootnoteReference"/>
          <w:rFonts w:cs="Times New Roman"/>
          <w:szCs w:val="24"/>
        </w:rPr>
        <w:footnoteReference w:id="15"/>
      </w:r>
      <w:r w:rsidRPr="009C1A1B">
        <w:rPr>
          <w:rFonts w:cs="Times New Roman"/>
          <w:szCs w:val="24"/>
        </w:rPr>
        <w:t xml:space="preserve"> Technology-assisted solutions </w:t>
      </w:r>
      <w:r w:rsidRPr="009C1A1B">
        <w:rPr>
          <w:rFonts w:cs="Times New Roman"/>
          <w:szCs w:val="24"/>
        </w:rPr>
        <w:lastRenderedPageBreak/>
        <w:t xml:space="preserve">such as AI-assisted drafting of interim orders suggested by </w:t>
      </w:r>
      <w:proofErr w:type="spellStart"/>
      <w:r w:rsidRPr="009C1A1B">
        <w:rPr>
          <w:rFonts w:cs="Times New Roman"/>
          <w:szCs w:val="24"/>
        </w:rPr>
        <w:t>Lexology</w:t>
      </w:r>
      <w:proofErr w:type="spellEnd"/>
      <w:r w:rsidRPr="009C1A1B">
        <w:rPr>
          <w:rFonts w:cs="Times New Roman"/>
          <w:szCs w:val="24"/>
        </w:rPr>
        <w:t xml:space="preserve"> can help achieve a balance between interim and final orders more efficiently.</w:t>
      </w:r>
      <w:r w:rsidR="003A405F">
        <w:rPr>
          <w:rStyle w:val="FootnoteReference"/>
          <w:rFonts w:cs="Times New Roman"/>
          <w:szCs w:val="24"/>
        </w:rPr>
        <w:footnoteReference w:id="16"/>
      </w:r>
      <w:r w:rsidRPr="009C1A1B">
        <w:rPr>
          <w:rFonts w:cs="Times New Roman"/>
          <w:szCs w:val="24"/>
        </w:rPr>
        <w:t xml:space="preserve"> Facilitating representational parity is also significant, especially through providing fair notice and a right to be heard to underrepresented or weaker parties in ex </w:t>
      </w:r>
      <w:proofErr w:type="spellStart"/>
      <w:r w:rsidRPr="009C1A1B">
        <w:rPr>
          <w:rFonts w:cs="Times New Roman"/>
          <w:szCs w:val="24"/>
        </w:rPr>
        <w:t>parte</w:t>
      </w:r>
      <w:proofErr w:type="spellEnd"/>
      <w:r w:rsidRPr="009C1A1B">
        <w:rPr>
          <w:rFonts w:cs="Times New Roman"/>
          <w:szCs w:val="24"/>
        </w:rPr>
        <w:t xml:space="preserve"> proceedings.</w:t>
      </w:r>
      <w:r w:rsidR="003A405F">
        <w:rPr>
          <w:rStyle w:val="FootnoteReference"/>
          <w:rFonts w:cs="Times New Roman"/>
          <w:szCs w:val="24"/>
        </w:rPr>
        <w:footnoteReference w:id="17"/>
      </w:r>
      <w:r w:rsidRPr="009C1A1B">
        <w:rPr>
          <w:rFonts w:cs="Times New Roman"/>
          <w:szCs w:val="24"/>
        </w:rPr>
        <w:t xml:space="preserve"> Finally, facilitating Alternative Dispute Resolution (ADR) processes has the impact of obtaining faster interim orders, reducing judicial backlog, and enhancing access to justice.</w:t>
      </w:r>
      <w:r w:rsidR="003A405F">
        <w:rPr>
          <w:rStyle w:val="FootnoteReference"/>
          <w:rFonts w:cs="Times New Roman"/>
          <w:szCs w:val="24"/>
        </w:rPr>
        <w:footnoteReference w:id="18"/>
      </w:r>
    </w:p>
    <w:p w14:paraId="4A4279BD" w14:textId="19C4C22F" w:rsidR="003F50A7" w:rsidRPr="003F50A7" w:rsidRDefault="003F50A7" w:rsidP="003F50A7">
      <w:pPr>
        <w:pStyle w:val="ListParagraph"/>
        <w:spacing w:line="360" w:lineRule="auto"/>
        <w:rPr>
          <w:rFonts w:cs="Times New Roman"/>
          <w:szCs w:val="24"/>
        </w:rPr>
      </w:pPr>
    </w:p>
    <w:p w14:paraId="34A614A3" w14:textId="77777777" w:rsidR="009C1A1B" w:rsidRPr="009C1A1B" w:rsidRDefault="00530182" w:rsidP="009C1A1B">
      <w:pPr>
        <w:pStyle w:val="ListParagraph"/>
        <w:numPr>
          <w:ilvl w:val="0"/>
          <w:numId w:val="14"/>
        </w:numPr>
        <w:spacing w:line="360" w:lineRule="auto"/>
        <w:jc w:val="both"/>
        <w:rPr>
          <w:rFonts w:cs="Times New Roman"/>
          <w:szCs w:val="24"/>
        </w:rPr>
      </w:pPr>
      <w:r w:rsidRPr="003F50A7">
        <w:rPr>
          <w:rFonts w:cs="Times New Roman"/>
          <w:b/>
          <w:bCs/>
          <w:szCs w:val="24"/>
        </w:rPr>
        <w:t>Practical Tips for Litigants</w:t>
      </w:r>
    </w:p>
    <w:p w14:paraId="61FFA2CA" w14:textId="1884AB23" w:rsidR="003F50A7" w:rsidRPr="009C1A1B" w:rsidRDefault="003F50A7" w:rsidP="009C1A1B">
      <w:pPr>
        <w:pStyle w:val="ListParagraph"/>
        <w:spacing w:line="360" w:lineRule="auto"/>
        <w:jc w:val="both"/>
        <w:rPr>
          <w:rFonts w:cs="Times New Roman"/>
          <w:szCs w:val="24"/>
        </w:rPr>
      </w:pPr>
      <w:r w:rsidRPr="009C1A1B">
        <w:rPr>
          <w:rFonts w:cs="Times New Roman"/>
          <w:szCs w:val="24"/>
        </w:rPr>
        <w:t>Litigants who require interim relief must act swiftly by estimating irreparable harm early on and preserving evidence in support of strong grounds. Preparation is key—applications must articulate definite facts, demonstrate legitimate legal merit, and be modest but urgent in tone. In interim applications, parties must emphasize the inadequacy of damages as redress, point out public interest considerations, or demonstrate risk of countervailing harm. Once the interim order is obtained, there should be monitoring of deadlines, seeking prompt reviews or amendments, and preparation for possible appeals, such that interim relief is fair, effective, and according to law.</w:t>
      </w:r>
    </w:p>
    <w:p w14:paraId="6E0DC413" w14:textId="2714FC25" w:rsidR="003F50A7" w:rsidRPr="003F50A7" w:rsidRDefault="003F50A7" w:rsidP="003F50A7">
      <w:pPr>
        <w:pStyle w:val="ListParagraph"/>
        <w:spacing w:line="360" w:lineRule="auto"/>
        <w:rPr>
          <w:rFonts w:cs="Times New Roman"/>
          <w:szCs w:val="24"/>
        </w:rPr>
      </w:pPr>
    </w:p>
    <w:p w14:paraId="0B068AC4" w14:textId="77777777" w:rsidR="003F50A7" w:rsidRDefault="00530182" w:rsidP="003F50A7">
      <w:pPr>
        <w:pStyle w:val="ListParagraph"/>
        <w:numPr>
          <w:ilvl w:val="0"/>
          <w:numId w:val="14"/>
        </w:numPr>
        <w:spacing w:line="360" w:lineRule="auto"/>
        <w:jc w:val="both"/>
        <w:rPr>
          <w:rFonts w:cs="Times New Roman"/>
          <w:szCs w:val="24"/>
        </w:rPr>
      </w:pPr>
      <w:r w:rsidRPr="003F50A7">
        <w:rPr>
          <w:rFonts w:cs="Times New Roman"/>
          <w:b/>
          <w:bCs/>
          <w:szCs w:val="24"/>
        </w:rPr>
        <w:t>Conclusion</w:t>
      </w:r>
    </w:p>
    <w:p w14:paraId="67F5D336" w14:textId="573AEF98" w:rsidR="003F50A7" w:rsidRPr="003F50A7" w:rsidRDefault="003F50A7" w:rsidP="003F50A7">
      <w:pPr>
        <w:pStyle w:val="ListParagraph"/>
        <w:spacing w:line="360" w:lineRule="auto"/>
        <w:jc w:val="both"/>
        <w:rPr>
          <w:rFonts w:cs="Times New Roman"/>
          <w:szCs w:val="24"/>
        </w:rPr>
      </w:pPr>
      <w:r w:rsidRPr="003F50A7">
        <w:rPr>
          <w:rFonts w:cs="Times New Roman"/>
          <w:szCs w:val="24"/>
        </w:rPr>
        <w:t xml:space="preserve">Interim orders are a very useful judicial tool that assist in preventing justice being circumvented by the </w:t>
      </w:r>
      <w:proofErr w:type="gramStart"/>
      <w:r w:rsidRPr="003F50A7">
        <w:rPr>
          <w:rFonts w:cs="Times New Roman"/>
          <w:szCs w:val="24"/>
        </w:rPr>
        <w:t>sometimes lengthy</w:t>
      </w:r>
      <w:proofErr w:type="gramEnd"/>
      <w:r w:rsidRPr="003F50A7">
        <w:rPr>
          <w:rFonts w:cs="Times New Roman"/>
          <w:szCs w:val="24"/>
        </w:rPr>
        <w:t xml:space="preserve"> process of litigation. By the granting of interim relief, they safeguard people's rights, forestall irreparable harm, and preserve the status quo until a final order is made. However, if abused—either in terms of duration or by way of the use of selective litigation—they can bias the judicial process, cause delays in resolution, and diminish the force or impact of the final judgment. Not only do they prejudice the principle of justice, but may result in a collapse of public confidence in the system. To ensure that interim measures achieve their intended purpose without turning into alternatives for final orders, properly informed balancing should be performed by the courts. This includes having clear procedural rules, holding time-</w:t>
      </w:r>
      <w:r w:rsidRPr="003F50A7">
        <w:rPr>
          <w:rFonts w:cs="Times New Roman"/>
          <w:szCs w:val="24"/>
        </w:rPr>
        <w:lastRenderedPageBreak/>
        <w:t>limited reviews, and granting reasonable opportunities to challenge interim orders. Use of technology and encouragement of alternative dispute resolution (ADR) can increase efficiency and reduce case pendency. Above all, judicial vigilance and restraint must be exercised to safeguard the purity of interim relief. All these reforms align interim orders with the general principles of justice—providing it in a timely, equitable, and final manner.</w:t>
      </w:r>
    </w:p>
    <w:p w14:paraId="7336DDA4" w14:textId="5CB4A7BD" w:rsidR="0075375F" w:rsidRPr="003F50A7" w:rsidRDefault="0075375F" w:rsidP="003F50A7">
      <w:pPr>
        <w:pStyle w:val="ListParagraph"/>
        <w:spacing w:line="360" w:lineRule="auto"/>
        <w:jc w:val="both"/>
        <w:rPr>
          <w:rFonts w:cs="Times New Roman"/>
          <w:szCs w:val="24"/>
        </w:rPr>
      </w:pPr>
    </w:p>
    <w:sectPr w:rsidR="0075375F" w:rsidRPr="003F50A7" w:rsidSect="00917EFE">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7A90F" w14:textId="77777777" w:rsidR="00F016D6" w:rsidRDefault="00F016D6" w:rsidP="009C1A1B">
      <w:pPr>
        <w:spacing w:after="0" w:line="240" w:lineRule="auto"/>
      </w:pPr>
      <w:r>
        <w:separator/>
      </w:r>
    </w:p>
  </w:endnote>
  <w:endnote w:type="continuationSeparator" w:id="0">
    <w:p w14:paraId="1893881B" w14:textId="77777777" w:rsidR="00F016D6" w:rsidRDefault="00F016D6" w:rsidP="009C1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BB861" w14:textId="77777777" w:rsidR="00F016D6" w:rsidRDefault="00F016D6" w:rsidP="009C1A1B">
      <w:pPr>
        <w:spacing w:after="0" w:line="240" w:lineRule="auto"/>
      </w:pPr>
      <w:r>
        <w:separator/>
      </w:r>
    </w:p>
  </w:footnote>
  <w:footnote w:type="continuationSeparator" w:id="0">
    <w:p w14:paraId="28A36647" w14:textId="77777777" w:rsidR="00F016D6" w:rsidRDefault="00F016D6" w:rsidP="009C1A1B">
      <w:pPr>
        <w:spacing w:after="0" w:line="240" w:lineRule="auto"/>
      </w:pPr>
      <w:r>
        <w:continuationSeparator/>
      </w:r>
    </w:p>
  </w:footnote>
  <w:footnote w:id="1">
    <w:p w14:paraId="7E75E3EB" w14:textId="1065C479" w:rsidR="009C1A1B" w:rsidRDefault="009C1A1B">
      <w:pPr>
        <w:pStyle w:val="FootnoteText"/>
      </w:pPr>
      <w:r>
        <w:rPr>
          <w:rStyle w:val="FootnoteReference"/>
        </w:rPr>
        <w:footnoteRef/>
      </w:r>
      <w:r>
        <w:t xml:space="preserve"> </w:t>
      </w:r>
      <w:r w:rsidRPr="009C1A1B">
        <w:t>Am. Cyanamid Co. v. Ethicon Ltd., [1975] A.C. 396 (H.L.) (U.K.).</w:t>
      </w:r>
    </w:p>
  </w:footnote>
  <w:footnote w:id="2">
    <w:p w14:paraId="692037AF" w14:textId="5A4B7630" w:rsidR="009C1A1B" w:rsidRDefault="009C1A1B">
      <w:pPr>
        <w:pStyle w:val="FootnoteText"/>
      </w:pPr>
      <w:r>
        <w:rPr>
          <w:rStyle w:val="FootnoteReference"/>
        </w:rPr>
        <w:footnoteRef/>
      </w:r>
      <w:r>
        <w:t xml:space="preserve"> </w:t>
      </w:r>
      <w:r w:rsidRPr="009C1A1B">
        <w:t>Zenith Infotech Ltd. v. Axis Bank Ltd., (2014) 1 Comp. L.J. 652 (Bom.) (India).</w:t>
      </w:r>
    </w:p>
  </w:footnote>
  <w:footnote w:id="3">
    <w:p w14:paraId="41B68790" w14:textId="037F2301" w:rsidR="009C1A1B" w:rsidRDefault="009C1A1B">
      <w:pPr>
        <w:pStyle w:val="FootnoteText"/>
      </w:pPr>
      <w:r>
        <w:rPr>
          <w:rStyle w:val="FootnoteReference"/>
        </w:rPr>
        <w:footnoteRef/>
      </w:r>
      <w:r>
        <w:t xml:space="preserve"> </w:t>
      </w:r>
      <w:r w:rsidRPr="009C1A1B">
        <w:t>Olga Tellis v. Bombay Mun. Corp., A.I.R. 1986 S.C. 180 (India).</w:t>
      </w:r>
    </w:p>
  </w:footnote>
  <w:footnote w:id="4">
    <w:p w14:paraId="398BC10E" w14:textId="061D8FEE" w:rsidR="009C1A1B" w:rsidRDefault="009C1A1B">
      <w:pPr>
        <w:pStyle w:val="FootnoteText"/>
      </w:pPr>
      <w:r>
        <w:rPr>
          <w:rStyle w:val="FootnoteReference"/>
        </w:rPr>
        <w:footnoteRef/>
      </w:r>
      <w:r>
        <w:t xml:space="preserve"> </w:t>
      </w:r>
      <w:proofErr w:type="spellStart"/>
      <w:r w:rsidRPr="009C1A1B">
        <w:t>Sealink</w:t>
      </w:r>
      <w:proofErr w:type="spellEnd"/>
      <w:r w:rsidRPr="009C1A1B">
        <w:t xml:space="preserve"> Int’l Inc. v. Gaurav Fin. Ltd., 2004 SCC </w:t>
      </w:r>
      <w:proofErr w:type="spellStart"/>
      <w:r w:rsidRPr="009C1A1B">
        <w:t>OnLine</w:t>
      </w:r>
      <w:proofErr w:type="spellEnd"/>
      <w:r w:rsidRPr="009C1A1B">
        <w:t xml:space="preserve"> Bom 814 (India).</w:t>
      </w:r>
    </w:p>
  </w:footnote>
  <w:footnote w:id="5">
    <w:p w14:paraId="47DEE76A" w14:textId="0EF0F195" w:rsidR="009C1A1B" w:rsidRDefault="009C1A1B">
      <w:pPr>
        <w:pStyle w:val="FootnoteText"/>
      </w:pPr>
      <w:r>
        <w:rPr>
          <w:rStyle w:val="FootnoteReference"/>
        </w:rPr>
        <w:footnoteRef/>
      </w:r>
      <w:r>
        <w:t xml:space="preserve"> </w:t>
      </w:r>
      <w:bookmarkStart w:id="0" w:name="_Hlk201780535"/>
      <w:r w:rsidR="003A405F" w:rsidRPr="003A405F">
        <w:t>Am. Cyanamid, supra note 1.</w:t>
      </w:r>
      <w:bookmarkEnd w:id="0"/>
    </w:p>
  </w:footnote>
  <w:footnote w:id="6">
    <w:p w14:paraId="524ACDA1" w14:textId="2D2CC90C" w:rsidR="003A405F" w:rsidRDefault="003A405F">
      <w:pPr>
        <w:pStyle w:val="FootnoteText"/>
      </w:pPr>
      <w:r>
        <w:rPr>
          <w:rStyle w:val="FootnoteReference"/>
        </w:rPr>
        <w:footnoteRef/>
      </w:r>
      <w:r>
        <w:t xml:space="preserve"> </w:t>
      </w:r>
      <w:r w:rsidRPr="003A405F">
        <w:t>Cream Holdings Ltd. v. Banerjee, [2004] UKHL 44, [2005] 1 A.C. 253 (H.L.) (U.K.).</w:t>
      </w:r>
    </w:p>
  </w:footnote>
  <w:footnote w:id="7">
    <w:p w14:paraId="765CED20" w14:textId="3FADFCAF" w:rsidR="003A405F" w:rsidRDefault="003A405F">
      <w:pPr>
        <w:pStyle w:val="FootnoteText"/>
      </w:pPr>
      <w:r>
        <w:rPr>
          <w:rStyle w:val="FootnoteReference"/>
        </w:rPr>
        <w:footnoteRef/>
      </w:r>
      <w:r>
        <w:t xml:space="preserve"> </w:t>
      </w:r>
      <w:r w:rsidRPr="003A405F">
        <w:t xml:space="preserve">Asian Resurfacing of Road Agency </w:t>
      </w:r>
      <w:proofErr w:type="spellStart"/>
      <w:r w:rsidRPr="003A405F">
        <w:t>Pvt.</w:t>
      </w:r>
      <w:proofErr w:type="spellEnd"/>
      <w:r w:rsidRPr="003A405F">
        <w:t xml:space="preserve"> Ltd. v. CBI, (2018) 16 SCC 299 (India).</w:t>
      </w:r>
    </w:p>
  </w:footnote>
  <w:footnote w:id="8">
    <w:p w14:paraId="374A2F15" w14:textId="1EBDFB60" w:rsidR="003A405F" w:rsidRDefault="003A405F">
      <w:pPr>
        <w:pStyle w:val="FootnoteText"/>
      </w:pPr>
      <w:r>
        <w:rPr>
          <w:rStyle w:val="FootnoteReference"/>
        </w:rPr>
        <w:footnoteRef/>
      </w:r>
      <w:r>
        <w:t xml:space="preserve"> </w:t>
      </w:r>
      <w:r w:rsidR="00917EFE" w:rsidRPr="00917EFE">
        <w:t xml:space="preserve">High Court Bar </w:t>
      </w:r>
      <w:proofErr w:type="spellStart"/>
      <w:r w:rsidR="00917EFE" w:rsidRPr="00917EFE">
        <w:t>Ass’n</w:t>
      </w:r>
      <w:proofErr w:type="spellEnd"/>
      <w:r w:rsidR="00917EFE" w:rsidRPr="00917EFE">
        <w:t xml:space="preserve"> v. State of Uttar Pradesh, (2002) 6 SCC 469 (India).</w:t>
      </w:r>
    </w:p>
  </w:footnote>
  <w:footnote w:id="9">
    <w:p w14:paraId="7BEEAD89" w14:textId="43A8880E" w:rsidR="00917EFE" w:rsidRDefault="00917EFE">
      <w:pPr>
        <w:pStyle w:val="FootnoteText"/>
      </w:pPr>
      <w:r>
        <w:rPr>
          <w:rStyle w:val="FootnoteReference"/>
        </w:rPr>
        <w:footnoteRef/>
      </w:r>
      <w:r>
        <w:t xml:space="preserve"> </w:t>
      </w:r>
      <w:r w:rsidRPr="00917EFE">
        <w:t>Am. Cyanamid, supra note 1.</w:t>
      </w:r>
    </w:p>
  </w:footnote>
  <w:footnote w:id="10">
    <w:p w14:paraId="4AE3D65F" w14:textId="013AE9A9" w:rsidR="00917EFE" w:rsidRDefault="00917EFE">
      <w:pPr>
        <w:pStyle w:val="FootnoteText"/>
      </w:pPr>
      <w:r>
        <w:rPr>
          <w:rStyle w:val="FootnoteReference"/>
        </w:rPr>
        <w:footnoteRef/>
      </w:r>
      <w:r>
        <w:t xml:space="preserve"> </w:t>
      </w:r>
      <w:r w:rsidRPr="00917EFE">
        <w:t>Cream Holdings, supra note 6.</w:t>
      </w:r>
    </w:p>
  </w:footnote>
  <w:footnote w:id="11">
    <w:p w14:paraId="7CD7869E" w14:textId="714D86D6" w:rsidR="009C1A1B" w:rsidRDefault="009C1A1B">
      <w:pPr>
        <w:pStyle w:val="FootnoteText"/>
      </w:pPr>
      <w:r>
        <w:rPr>
          <w:rStyle w:val="FootnoteReference"/>
        </w:rPr>
        <w:footnoteRef/>
      </w:r>
      <w:r>
        <w:t xml:space="preserve"> </w:t>
      </w:r>
      <w:bookmarkStart w:id="1" w:name="_Hlk201780343"/>
      <w:r w:rsidRPr="009C1A1B">
        <w:t>Asian Resurfacing</w:t>
      </w:r>
      <w:bookmarkEnd w:id="1"/>
      <w:r w:rsidR="003A405F">
        <w:t>, supra note 6.</w:t>
      </w:r>
    </w:p>
  </w:footnote>
  <w:footnote w:id="12">
    <w:p w14:paraId="03D45077" w14:textId="61323A1E" w:rsidR="003A405F" w:rsidRDefault="003A405F">
      <w:pPr>
        <w:pStyle w:val="FootnoteText"/>
      </w:pPr>
      <w:r>
        <w:rPr>
          <w:rStyle w:val="FootnoteReference"/>
        </w:rPr>
        <w:footnoteRef/>
      </w:r>
      <w:r>
        <w:t xml:space="preserve"> </w:t>
      </w:r>
      <w:r w:rsidRPr="003A405F">
        <w:t>S.N. Ghosh, Abuse of Process and Strategic Litigation in Indian Courts, (2021) 8 NUALS L.J. 101.</w:t>
      </w:r>
    </w:p>
  </w:footnote>
  <w:footnote w:id="13">
    <w:p w14:paraId="75F63980" w14:textId="3B2D11A2" w:rsidR="003A405F" w:rsidRDefault="003A405F">
      <w:pPr>
        <w:pStyle w:val="FootnoteText"/>
      </w:pPr>
      <w:r>
        <w:rPr>
          <w:rStyle w:val="FootnoteReference"/>
        </w:rPr>
        <w:footnoteRef/>
      </w:r>
      <w:r>
        <w:t xml:space="preserve"> </w:t>
      </w:r>
      <w:r w:rsidRPr="003A405F">
        <w:t xml:space="preserve">Law Commission of India, 245th Report, </w:t>
      </w:r>
      <w:r w:rsidRPr="003A405F">
        <w:rPr>
          <w:i/>
          <w:iCs/>
        </w:rPr>
        <w:t>Arrears and Backlog: Creating Additional Judicial (wo)Manpower</w:t>
      </w:r>
      <w:r w:rsidRPr="003A405F">
        <w:t>, (2014)</w:t>
      </w:r>
      <w:r>
        <w:t>.</w:t>
      </w:r>
    </w:p>
  </w:footnote>
  <w:footnote w:id="14">
    <w:p w14:paraId="6367C716" w14:textId="5B07E621" w:rsidR="003A405F" w:rsidRDefault="003A405F">
      <w:pPr>
        <w:pStyle w:val="FootnoteText"/>
      </w:pPr>
      <w:r>
        <w:rPr>
          <w:rStyle w:val="FootnoteReference"/>
        </w:rPr>
        <w:footnoteRef/>
      </w:r>
      <w:r>
        <w:t xml:space="preserve"> </w:t>
      </w:r>
      <w:r w:rsidRPr="003A405F">
        <w:t xml:space="preserve">Asian Resurfacing, supra note </w:t>
      </w:r>
      <w:r>
        <w:t>6.</w:t>
      </w:r>
    </w:p>
  </w:footnote>
  <w:footnote w:id="15">
    <w:p w14:paraId="062BF474" w14:textId="795E49E5" w:rsidR="003A405F" w:rsidRDefault="003A405F">
      <w:pPr>
        <w:pStyle w:val="FootnoteText"/>
      </w:pPr>
      <w:r>
        <w:rPr>
          <w:rStyle w:val="FootnoteReference"/>
        </w:rPr>
        <w:footnoteRef/>
      </w:r>
      <w:r>
        <w:t xml:space="preserve"> </w:t>
      </w:r>
      <w:bookmarkStart w:id="2" w:name="_Hlk201780301"/>
      <w:r w:rsidRPr="003A405F">
        <w:t xml:space="preserve">Am. Cyanamid, supra note </w:t>
      </w:r>
      <w:r>
        <w:t>1.</w:t>
      </w:r>
      <w:bookmarkEnd w:id="2"/>
    </w:p>
  </w:footnote>
  <w:footnote w:id="16">
    <w:p w14:paraId="06D88633" w14:textId="511C4654" w:rsidR="003A405F" w:rsidRDefault="003A405F">
      <w:pPr>
        <w:pStyle w:val="FootnoteText"/>
      </w:pPr>
      <w:r>
        <w:rPr>
          <w:rStyle w:val="FootnoteReference"/>
        </w:rPr>
        <w:footnoteRef/>
      </w:r>
      <w:r>
        <w:t xml:space="preserve"> </w:t>
      </w:r>
      <w:proofErr w:type="spellStart"/>
      <w:r w:rsidRPr="003A405F">
        <w:t>Lexology</w:t>
      </w:r>
      <w:proofErr w:type="spellEnd"/>
      <w:r w:rsidRPr="003A405F">
        <w:t>, The AI Legal Landscape in 2025: Beyond the Hype</w:t>
      </w:r>
      <w:r>
        <w:t xml:space="preserve"> </w:t>
      </w:r>
      <w:hyperlink r:id="rId1" w:history="1">
        <w:r w:rsidRPr="003A405F">
          <w:rPr>
            <w:rStyle w:val="Hyperlink"/>
          </w:rPr>
          <w:t xml:space="preserve">The AI Legal Landscape in 2025: Beyond the Hype - </w:t>
        </w:r>
        <w:proofErr w:type="spellStart"/>
        <w:r w:rsidRPr="003A405F">
          <w:rPr>
            <w:rStyle w:val="Hyperlink"/>
          </w:rPr>
          <w:t>Lexology</w:t>
        </w:r>
        <w:proofErr w:type="spellEnd"/>
      </w:hyperlink>
      <w:r>
        <w:t xml:space="preserve"> </w:t>
      </w:r>
      <w:r w:rsidRPr="003A405F">
        <w:t>(last visited June 2</w:t>
      </w:r>
      <w:r>
        <w:t>4</w:t>
      </w:r>
      <w:r w:rsidRPr="003A405F">
        <w:t>, 2025).</w:t>
      </w:r>
    </w:p>
  </w:footnote>
  <w:footnote w:id="17">
    <w:p w14:paraId="5F88D4BA" w14:textId="629E5E56" w:rsidR="003A405F" w:rsidRPr="003A405F" w:rsidRDefault="003A405F">
      <w:pPr>
        <w:pStyle w:val="FootnoteText"/>
      </w:pPr>
      <w:r>
        <w:rPr>
          <w:rStyle w:val="FootnoteReference"/>
        </w:rPr>
        <w:footnoteRef/>
      </w:r>
      <w:r>
        <w:t xml:space="preserve"> </w:t>
      </w:r>
      <w:r w:rsidRPr="003A405F">
        <w:t>Maneka Gandhi v. Union of India, A.I.R. 1978 S.C. 597 (India).</w:t>
      </w:r>
    </w:p>
  </w:footnote>
  <w:footnote w:id="18">
    <w:p w14:paraId="7D90A903" w14:textId="045A5821" w:rsidR="003A405F" w:rsidRDefault="003A405F">
      <w:pPr>
        <w:pStyle w:val="FootnoteText"/>
      </w:pPr>
      <w:r>
        <w:rPr>
          <w:rStyle w:val="FootnoteReference"/>
        </w:rPr>
        <w:footnoteRef/>
      </w:r>
      <w:r>
        <w:t xml:space="preserve"> </w:t>
      </w:r>
      <w:r w:rsidRPr="003A405F">
        <w:t xml:space="preserve">Salem Advocate Bar </w:t>
      </w:r>
      <w:proofErr w:type="spellStart"/>
      <w:r w:rsidRPr="003A405F">
        <w:t>Ass’n</w:t>
      </w:r>
      <w:proofErr w:type="spellEnd"/>
      <w:r w:rsidRPr="003A405F">
        <w:t xml:space="preserve"> v. Union of India, (2005) 6 SCC 344 (India).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33190"/>
    <w:multiLevelType w:val="hybridMultilevel"/>
    <w:tmpl w:val="561CD75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E8D5F2B"/>
    <w:multiLevelType w:val="multilevel"/>
    <w:tmpl w:val="7968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0150F6"/>
    <w:multiLevelType w:val="multilevel"/>
    <w:tmpl w:val="843EB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D82B4C"/>
    <w:multiLevelType w:val="multilevel"/>
    <w:tmpl w:val="65E44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E1500A"/>
    <w:multiLevelType w:val="multilevel"/>
    <w:tmpl w:val="A42CD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5533C5"/>
    <w:multiLevelType w:val="multilevel"/>
    <w:tmpl w:val="A4167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FC34BD"/>
    <w:multiLevelType w:val="multilevel"/>
    <w:tmpl w:val="EDE60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AD0A41"/>
    <w:multiLevelType w:val="multilevel"/>
    <w:tmpl w:val="3D542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A52C33"/>
    <w:multiLevelType w:val="multilevel"/>
    <w:tmpl w:val="CCD8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1B751D"/>
    <w:multiLevelType w:val="multilevel"/>
    <w:tmpl w:val="3E9EBA6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CBE1C83"/>
    <w:multiLevelType w:val="multilevel"/>
    <w:tmpl w:val="1BA01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1A5EAC"/>
    <w:multiLevelType w:val="multilevel"/>
    <w:tmpl w:val="76589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28B4123"/>
    <w:multiLevelType w:val="multilevel"/>
    <w:tmpl w:val="29C26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507CEF"/>
    <w:multiLevelType w:val="multilevel"/>
    <w:tmpl w:val="77A2E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B83243"/>
    <w:multiLevelType w:val="hybridMultilevel"/>
    <w:tmpl w:val="C748BA96"/>
    <w:lvl w:ilvl="0" w:tplc="FE7CA9B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90193783">
    <w:abstractNumId w:val="11"/>
  </w:num>
  <w:num w:numId="2" w16cid:durableId="1495409905">
    <w:abstractNumId w:val="3"/>
  </w:num>
  <w:num w:numId="3" w16cid:durableId="127479690">
    <w:abstractNumId w:val="13"/>
  </w:num>
  <w:num w:numId="4" w16cid:durableId="580481326">
    <w:abstractNumId w:val="1"/>
  </w:num>
  <w:num w:numId="5" w16cid:durableId="40326005">
    <w:abstractNumId w:val="14"/>
  </w:num>
  <w:num w:numId="6" w16cid:durableId="1256354844">
    <w:abstractNumId w:val="2"/>
  </w:num>
  <w:num w:numId="7" w16cid:durableId="665325449">
    <w:abstractNumId w:val="5"/>
  </w:num>
  <w:num w:numId="8" w16cid:durableId="7219691">
    <w:abstractNumId w:val="6"/>
  </w:num>
  <w:num w:numId="9" w16cid:durableId="1322856348">
    <w:abstractNumId w:val="10"/>
  </w:num>
  <w:num w:numId="10" w16cid:durableId="1930574393">
    <w:abstractNumId w:val="4"/>
  </w:num>
  <w:num w:numId="11" w16cid:durableId="1089348154">
    <w:abstractNumId w:val="12"/>
  </w:num>
  <w:num w:numId="12" w16cid:durableId="426074399">
    <w:abstractNumId w:val="7"/>
  </w:num>
  <w:num w:numId="13" w16cid:durableId="2106414380">
    <w:abstractNumId w:val="8"/>
  </w:num>
  <w:num w:numId="14" w16cid:durableId="1034421741">
    <w:abstractNumId w:val="9"/>
  </w:num>
  <w:num w:numId="15" w16cid:durableId="588928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95A"/>
    <w:rsid w:val="00046F48"/>
    <w:rsid w:val="000727C4"/>
    <w:rsid w:val="00144D4D"/>
    <w:rsid w:val="001955AC"/>
    <w:rsid w:val="0035395A"/>
    <w:rsid w:val="00356197"/>
    <w:rsid w:val="003A405F"/>
    <w:rsid w:val="003F50A7"/>
    <w:rsid w:val="00530182"/>
    <w:rsid w:val="0075375F"/>
    <w:rsid w:val="007E3BE9"/>
    <w:rsid w:val="008F1CAA"/>
    <w:rsid w:val="00917EFE"/>
    <w:rsid w:val="009224FD"/>
    <w:rsid w:val="0094781F"/>
    <w:rsid w:val="009C1A1B"/>
    <w:rsid w:val="00AF5635"/>
    <w:rsid w:val="00B20BAB"/>
    <w:rsid w:val="00C124A2"/>
    <w:rsid w:val="00C41168"/>
    <w:rsid w:val="00C550FB"/>
    <w:rsid w:val="00C60782"/>
    <w:rsid w:val="00C86565"/>
    <w:rsid w:val="00CA654B"/>
    <w:rsid w:val="00F016D6"/>
    <w:rsid w:val="00FA0BE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8DFD0"/>
  <w15:chartTrackingRefBased/>
  <w15:docId w15:val="{1EC473DA-53C9-4089-85BE-CF4F04D7D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40"/>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95A"/>
    <w:pPr>
      <w:keepNext/>
      <w:keepLines/>
      <w:spacing w:before="360" w:after="80"/>
      <w:outlineLvl w:val="0"/>
    </w:pPr>
    <w:rPr>
      <w:rFonts w:asciiTheme="majorHAnsi" w:eastAsiaTheme="majorEastAsia" w:hAnsiTheme="majorHAnsi" w:cstheme="majorBidi"/>
      <w:color w:val="2F5496" w:themeColor="accent1" w:themeShade="BF"/>
      <w:sz w:val="40"/>
    </w:rPr>
  </w:style>
  <w:style w:type="paragraph" w:styleId="Heading2">
    <w:name w:val="heading 2"/>
    <w:basedOn w:val="Normal"/>
    <w:next w:val="Normal"/>
    <w:link w:val="Heading2Char"/>
    <w:uiPriority w:val="9"/>
    <w:semiHidden/>
    <w:unhideWhenUsed/>
    <w:qFormat/>
    <w:rsid w:val="003539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5395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5395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5395A"/>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35395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5395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5395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5395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95A"/>
    <w:rPr>
      <w:rFonts w:asciiTheme="majorHAnsi" w:eastAsiaTheme="majorEastAsia" w:hAnsiTheme="majorHAnsi" w:cstheme="majorBidi"/>
      <w:color w:val="2F5496" w:themeColor="accent1" w:themeShade="BF"/>
      <w:sz w:val="40"/>
    </w:rPr>
  </w:style>
  <w:style w:type="character" w:customStyle="1" w:styleId="Heading2Char">
    <w:name w:val="Heading 2 Char"/>
    <w:basedOn w:val="DefaultParagraphFont"/>
    <w:link w:val="Heading2"/>
    <w:uiPriority w:val="9"/>
    <w:semiHidden/>
    <w:rsid w:val="003539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5395A"/>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5395A"/>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35395A"/>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35395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5395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5395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5395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539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95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95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5395A"/>
    <w:pPr>
      <w:spacing w:before="160"/>
      <w:jc w:val="center"/>
    </w:pPr>
    <w:rPr>
      <w:i/>
      <w:iCs/>
      <w:color w:val="404040" w:themeColor="text1" w:themeTint="BF"/>
    </w:rPr>
  </w:style>
  <w:style w:type="character" w:customStyle="1" w:styleId="QuoteChar">
    <w:name w:val="Quote Char"/>
    <w:basedOn w:val="DefaultParagraphFont"/>
    <w:link w:val="Quote"/>
    <w:uiPriority w:val="29"/>
    <w:rsid w:val="0035395A"/>
    <w:rPr>
      <w:i/>
      <w:iCs/>
      <w:color w:val="404040" w:themeColor="text1" w:themeTint="BF"/>
    </w:rPr>
  </w:style>
  <w:style w:type="paragraph" w:styleId="ListParagraph">
    <w:name w:val="List Paragraph"/>
    <w:basedOn w:val="Normal"/>
    <w:uiPriority w:val="34"/>
    <w:qFormat/>
    <w:rsid w:val="0035395A"/>
    <w:pPr>
      <w:ind w:left="720"/>
      <w:contextualSpacing/>
    </w:pPr>
  </w:style>
  <w:style w:type="character" w:styleId="IntenseEmphasis">
    <w:name w:val="Intense Emphasis"/>
    <w:basedOn w:val="DefaultParagraphFont"/>
    <w:uiPriority w:val="21"/>
    <w:qFormat/>
    <w:rsid w:val="0035395A"/>
    <w:rPr>
      <w:i/>
      <w:iCs/>
      <w:color w:val="2F5496" w:themeColor="accent1" w:themeShade="BF"/>
    </w:rPr>
  </w:style>
  <w:style w:type="paragraph" w:styleId="IntenseQuote">
    <w:name w:val="Intense Quote"/>
    <w:basedOn w:val="Normal"/>
    <w:next w:val="Normal"/>
    <w:link w:val="IntenseQuoteChar"/>
    <w:uiPriority w:val="30"/>
    <w:qFormat/>
    <w:rsid w:val="003539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5395A"/>
    <w:rPr>
      <w:i/>
      <w:iCs/>
      <w:color w:val="2F5496" w:themeColor="accent1" w:themeShade="BF"/>
    </w:rPr>
  </w:style>
  <w:style w:type="character" w:styleId="IntenseReference">
    <w:name w:val="Intense Reference"/>
    <w:basedOn w:val="DefaultParagraphFont"/>
    <w:uiPriority w:val="32"/>
    <w:qFormat/>
    <w:rsid w:val="0035395A"/>
    <w:rPr>
      <w:b/>
      <w:bCs/>
      <w:smallCaps/>
      <w:color w:val="2F5496" w:themeColor="accent1" w:themeShade="BF"/>
      <w:spacing w:val="5"/>
    </w:rPr>
  </w:style>
  <w:style w:type="paragraph" w:styleId="FootnoteText">
    <w:name w:val="footnote text"/>
    <w:basedOn w:val="Normal"/>
    <w:link w:val="FootnoteTextChar"/>
    <w:uiPriority w:val="99"/>
    <w:semiHidden/>
    <w:unhideWhenUsed/>
    <w:rsid w:val="009C1A1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1A1B"/>
    <w:rPr>
      <w:sz w:val="20"/>
      <w:szCs w:val="20"/>
    </w:rPr>
  </w:style>
  <w:style w:type="character" w:styleId="FootnoteReference">
    <w:name w:val="footnote reference"/>
    <w:basedOn w:val="DefaultParagraphFont"/>
    <w:uiPriority w:val="99"/>
    <w:semiHidden/>
    <w:unhideWhenUsed/>
    <w:rsid w:val="009C1A1B"/>
    <w:rPr>
      <w:vertAlign w:val="superscript"/>
    </w:rPr>
  </w:style>
  <w:style w:type="character" w:styleId="Hyperlink">
    <w:name w:val="Hyperlink"/>
    <w:basedOn w:val="DefaultParagraphFont"/>
    <w:uiPriority w:val="99"/>
    <w:unhideWhenUsed/>
    <w:rsid w:val="003A405F"/>
    <w:rPr>
      <w:color w:val="0563C1" w:themeColor="hyperlink"/>
      <w:u w:val="single"/>
    </w:rPr>
  </w:style>
  <w:style w:type="character" w:styleId="UnresolvedMention">
    <w:name w:val="Unresolved Mention"/>
    <w:basedOn w:val="DefaultParagraphFont"/>
    <w:uiPriority w:val="99"/>
    <w:semiHidden/>
    <w:unhideWhenUsed/>
    <w:rsid w:val="003A405F"/>
    <w:rPr>
      <w:color w:val="605E5C"/>
      <w:shd w:val="clear" w:color="auto" w:fill="E1DFDD"/>
    </w:rPr>
  </w:style>
  <w:style w:type="paragraph" w:styleId="NormalWeb">
    <w:name w:val="Normal (Web)"/>
    <w:basedOn w:val="Normal"/>
    <w:uiPriority w:val="99"/>
    <w:semiHidden/>
    <w:unhideWhenUsed/>
    <w:rsid w:val="003A405F"/>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529130">
      <w:bodyDiv w:val="1"/>
      <w:marLeft w:val="0"/>
      <w:marRight w:val="0"/>
      <w:marTop w:val="0"/>
      <w:marBottom w:val="0"/>
      <w:divBdr>
        <w:top w:val="none" w:sz="0" w:space="0" w:color="auto"/>
        <w:left w:val="none" w:sz="0" w:space="0" w:color="auto"/>
        <w:bottom w:val="none" w:sz="0" w:space="0" w:color="auto"/>
        <w:right w:val="none" w:sz="0" w:space="0" w:color="auto"/>
      </w:divBdr>
      <w:divsChild>
        <w:div w:id="1628508826">
          <w:marLeft w:val="0"/>
          <w:marRight w:val="0"/>
          <w:marTop w:val="0"/>
          <w:marBottom w:val="0"/>
          <w:divBdr>
            <w:top w:val="none" w:sz="0" w:space="0" w:color="auto"/>
            <w:left w:val="none" w:sz="0" w:space="0" w:color="auto"/>
            <w:bottom w:val="none" w:sz="0" w:space="0" w:color="auto"/>
            <w:right w:val="none" w:sz="0" w:space="0" w:color="auto"/>
          </w:divBdr>
          <w:divsChild>
            <w:div w:id="501819107">
              <w:marLeft w:val="0"/>
              <w:marRight w:val="0"/>
              <w:marTop w:val="0"/>
              <w:marBottom w:val="0"/>
              <w:divBdr>
                <w:top w:val="none" w:sz="0" w:space="0" w:color="auto"/>
                <w:left w:val="none" w:sz="0" w:space="0" w:color="auto"/>
                <w:bottom w:val="none" w:sz="0" w:space="0" w:color="auto"/>
                <w:right w:val="none" w:sz="0" w:space="0" w:color="auto"/>
              </w:divBdr>
              <w:divsChild>
                <w:div w:id="2114933103">
                  <w:marLeft w:val="0"/>
                  <w:marRight w:val="0"/>
                  <w:marTop w:val="0"/>
                  <w:marBottom w:val="0"/>
                  <w:divBdr>
                    <w:top w:val="none" w:sz="0" w:space="0" w:color="auto"/>
                    <w:left w:val="none" w:sz="0" w:space="0" w:color="auto"/>
                    <w:bottom w:val="none" w:sz="0" w:space="0" w:color="auto"/>
                    <w:right w:val="none" w:sz="0" w:space="0" w:color="auto"/>
                  </w:divBdr>
                  <w:divsChild>
                    <w:div w:id="748383249">
                      <w:marLeft w:val="0"/>
                      <w:marRight w:val="0"/>
                      <w:marTop w:val="0"/>
                      <w:marBottom w:val="0"/>
                      <w:divBdr>
                        <w:top w:val="none" w:sz="0" w:space="0" w:color="auto"/>
                        <w:left w:val="none" w:sz="0" w:space="0" w:color="auto"/>
                        <w:bottom w:val="none" w:sz="0" w:space="0" w:color="auto"/>
                        <w:right w:val="none" w:sz="0" w:space="0" w:color="auto"/>
                      </w:divBdr>
                      <w:divsChild>
                        <w:div w:id="249048902">
                          <w:marLeft w:val="0"/>
                          <w:marRight w:val="0"/>
                          <w:marTop w:val="0"/>
                          <w:marBottom w:val="0"/>
                          <w:divBdr>
                            <w:top w:val="none" w:sz="0" w:space="0" w:color="auto"/>
                            <w:left w:val="none" w:sz="0" w:space="0" w:color="auto"/>
                            <w:bottom w:val="none" w:sz="0" w:space="0" w:color="auto"/>
                            <w:right w:val="none" w:sz="0" w:space="0" w:color="auto"/>
                          </w:divBdr>
                          <w:divsChild>
                            <w:div w:id="1206797624">
                              <w:marLeft w:val="0"/>
                              <w:marRight w:val="0"/>
                              <w:marTop w:val="0"/>
                              <w:marBottom w:val="0"/>
                              <w:divBdr>
                                <w:top w:val="none" w:sz="0" w:space="0" w:color="auto"/>
                                <w:left w:val="none" w:sz="0" w:space="0" w:color="auto"/>
                                <w:bottom w:val="none" w:sz="0" w:space="0" w:color="auto"/>
                                <w:right w:val="none" w:sz="0" w:space="0" w:color="auto"/>
                              </w:divBdr>
                              <w:divsChild>
                                <w:div w:id="1174106859">
                                  <w:marLeft w:val="0"/>
                                  <w:marRight w:val="0"/>
                                  <w:marTop w:val="0"/>
                                  <w:marBottom w:val="0"/>
                                  <w:divBdr>
                                    <w:top w:val="none" w:sz="0" w:space="0" w:color="auto"/>
                                    <w:left w:val="none" w:sz="0" w:space="0" w:color="auto"/>
                                    <w:bottom w:val="none" w:sz="0" w:space="0" w:color="auto"/>
                                    <w:right w:val="none" w:sz="0" w:space="0" w:color="auto"/>
                                  </w:divBdr>
                                  <w:divsChild>
                                    <w:div w:id="1101334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7654799">
      <w:bodyDiv w:val="1"/>
      <w:marLeft w:val="0"/>
      <w:marRight w:val="0"/>
      <w:marTop w:val="0"/>
      <w:marBottom w:val="0"/>
      <w:divBdr>
        <w:top w:val="none" w:sz="0" w:space="0" w:color="auto"/>
        <w:left w:val="none" w:sz="0" w:space="0" w:color="auto"/>
        <w:bottom w:val="none" w:sz="0" w:space="0" w:color="auto"/>
        <w:right w:val="none" w:sz="0" w:space="0" w:color="auto"/>
      </w:divBdr>
    </w:div>
    <w:div w:id="1036463797">
      <w:bodyDiv w:val="1"/>
      <w:marLeft w:val="0"/>
      <w:marRight w:val="0"/>
      <w:marTop w:val="0"/>
      <w:marBottom w:val="0"/>
      <w:divBdr>
        <w:top w:val="none" w:sz="0" w:space="0" w:color="auto"/>
        <w:left w:val="none" w:sz="0" w:space="0" w:color="auto"/>
        <w:bottom w:val="none" w:sz="0" w:space="0" w:color="auto"/>
        <w:right w:val="none" w:sz="0" w:space="0" w:color="auto"/>
      </w:divBdr>
    </w:div>
    <w:div w:id="1223715483">
      <w:bodyDiv w:val="1"/>
      <w:marLeft w:val="0"/>
      <w:marRight w:val="0"/>
      <w:marTop w:val="0"/>
      <w:marBottom w:val="0"/>
      <w:divBdr>
        <w:top w:val="none" w:sz="0" w:space="0" w:color="auto"/>
        <w:left w:val="none" w:sz="0" w:space="0" w:color="auto"/>
        <w:bottom w:val="none" w:sz="0" w:space="0" w:color="auto"/>
        <w:right w:val="none" w:sz="0" w:space="0" w:color="auto"/>
      </w:divBdr>
    </w:div>
    <w:div w:id="1312710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lexology.com/library/detail.aspx?g=29d90536-4e11-4e4d-a00d-30b19759a75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4642F-BD7F-4FAC-AED0-6066C94D2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653</TotalTime>
  <Pages>1</Pages>
  <Words>2250</Words>
  <Characters>12651</Characters>
  <Application>Microsoft Office Word</Application>
  <DocSecurity>0</DocSecurity>
  <Lines>221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ROCHAK BHARDWAJ</dc:creator>
  <cp:keywords/>
  <dc:description/>
  <cp:lastModifiedBy>ROCHAK BHARDWAJ</cp:lastModifiedBy>
  <cp:revision>6</cp:revision>
  <dcterms:created xsi:type="dcterms:W3CDTF">2025-06-25T05:18:00Z</dcterms:created>
  <dcterms:modified xsi:type="dcterms:W3CDTF">2025-06-25T16:19:00Z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6a37e5eb-7307-48ef-9f99-9368e0ac2782</vt:lpwstr>
  </property>
</Properties>
</file>