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spacing w:line="360" w:lineRule="auto"/>
        <w:jc w:val="center"/>
        <w:rPr>
          <w:rFonts w:ascii="Times New Roman" w:cs="Times New Roman" w:hAnsi="Times New Roman" w:eastAsia="Times New Roman"/>
          <w:sz w:val="28"/>
          <w:szCs w:val="28"/>
        </w:rPr>
      </w:pPr>
      <w:r>
        <w:rPr>
          <w:rFonts w:ascii="Times New Roman" w:hAnsi="Times New Roman"/>
          <w:sz w:val="28"/>
          <w:szCs w:val="28"/>
          <w:rtl w:val="0"/>
          <w:lang w:val="en-US"/>
        </w:rPr>
        <w:t xml:space="preserve">Inaction by Governors: A Constitutional Challenge </w:t>
      </w:r>
    </w:p>
    <w:p>
      <w:pPr>
        <w:pStyle w:val="Body"/>
        <w:spacing w:line="360" w:lineRule="auto"/>
        <w:jc w:val="left"/>
      </w:pPr>
    </w:p>
    <w:p>
      <w:pPr>
        <w:pStyle w:val="Body"/>
        <w:spacing w:line="360" w:lineRule="auto"/>
        <w:jc w:val="left"/>
      </w:pPr>
    </w:p>
    <w:p>
      <w:pPr>
        <w:pStyle w:val="Body"/>
        <w:spacing w:line="360" w:lineRule="auto"/>
        <w:jc w:val="left"/>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Abstract </w:t>
      </w:r>
    </w:p>
    <w:p>
      <w:pPr>
        <w:pStyle w:val="Body"/>
        <w:spacing w:line="360" w:lineRule="auto"/>
        <w:jc w:val="left"/>
        <w:rPr>
          <w:rFonts w:ascii="Times New Roman" w:cs="Times New Roman" w:hAnsi="Times New Roman" w:eastAsia="Times New Roman"/>
          <w:b w:val="1"/>
          <w:bCs w:val="1"/>
          <w:sz w:val="24"/>
          <w:szCs w:val="24"/>
        </w:rPr>
      </w:pP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The case of </w:t>
      </w:r>
      <w:r>
        <w:rPr>
          <w:rFonts w:ascii="Times New Roman" w:hAnsi="Times New Roman"/>
          <w:i w:val="1"/>
          <w:iCs w:val="1"/>
          <w:rtl w:val="0"/>
          <w:lang w:val="en-US"/>
        </w:rPr>
        <w:t>State of Tamil Nadu v. Governor of Tamil Nadu</w:t>
      </w:r>
      <w:r>
        <w:rPr>
          <w:rFonts w:ascii="Times New Roman" w:hAnsi="Times New Roman"/>
          <w:rtl w:val="0"/>
          <w:lang w:val="en-US"/>
        </w:rPr>
        <w:t xml:space="preserve"> has brought to the forefront a critical constitutional issue: </w:t>
      </w:r>
      <w:r>
        <w:rPr>
          <w:rFonts w:ascii="Times New Roman" w:hAnsi="Times New Roman"/>
          <w:rtl w:val="0"/>
          <w:lang w:val="en-US"/>
        </w:rPr>
        <w:t>T</w:t>
      </w:r>
      <w:r>
        <w:rPr>
          <w:rFonts w:ascii="Times New Roman" w:hAnsi="Times New Roman"/>
          <w:rtl w:val="0"/>
          <w:lang w:val="en-US"/>
        </w:rPr>
        <w:t>he inaction of Governors in granting assent to bills passed by state legislatures. Centred on Article 200 of the Indian Constitution, the dispute highlights the friction between the elected executive and the nominated head of the state. The Tamil Nadu government</w:t>
      </w:r>
      <w:r>
        <w:rPr>
          <w:rFonts w:ascii="Times New Roman" w:hAnsi="Times New Roman" w:hint="default"/>
          <w:rtl w:val="1"/>
        </w:rPr>
        <w:t>’</w:t>
      </w:r>
      <w:r>
        <w:rPr>
          <w:rFonts w:ascii="Times New Roman" w:hAnsi="Times New Roman"/>
          <w:rtl w:val="0"/>
          <w:lang w:val="en-US"/>
        </w:rPr>
        <w:t>s move to the Supreme Court, triggered by prolonged gubernatorial delays, raised fundamental questions about democratic accountability, federal balance, and the constitutional role of Governors in a parliamentary democracy. In a significant ruling, the Supreme Court held the Governor</w:t>
      </w:r>
      <w:r>
        <w:rPr>
          <w:rFonts w:ascii="Times New Roman" w:hAnsi="Times New Roman" w:hint="default"/>
          <w:rtl w:val="1"/>
        </w:rPr>
        <w:t>’</w:t>
      </w:r>
      <w:r>
        <w:rPr>
          <w:rFonts w:ascii="Times New Roman" w:hAnsi="Times New Roman"/>
          <w:rtl w:val="0"/>
          <w:lang w:val="en-US"/>
        </w:rPr>
        <w:t>s inaction on ten bills as unconstitutional, invoking Article 142 to treat the bills as duly assented.</w:t>
      </w:r>
      <w:r>
        <w:rPr>
          <w:rFonts w:ascii="Times New Roman" w:cs="Times New Roman" w:hAnsi="Times New Roman" w:eastAsia="Times New Roman"/>
          <w:vertAlign w:val="superscript"/>
        </w:rPr>
        <w:footnoteReference w:id="1"/>
      </w:r>
      <w:r>
        <w:rPr>
          <w:rFonts w:ascii="Times New Roman" w:hAnsi="Times New Roman"/>
          <w:rtl w:val="0"/>
          <w:lang w:val="en-US"/>
        </w:rPr>
        <w:t xml:space="preserve"> This article examines the evolving constitutional interpretation of gubernatorial discretion, analyses the judicial expansion of review under Article 200, and argues for the codification of timelines and procedures to curb executive arbitrariness.</w:t>
      </w:r>
    </w:p>
    <w:p>
      <w:pPr>
        <w:pStyle w:val="Body"/>
        <w:spacing w:line="360" w:lineRule="auto"/>
        <w:jc w:val="both"/>
        <w:rPr>
          <w:rFonts w:ascii="Times New Roman" w:cs="Times New Roman" w:hAnsi="Times New Roman" w:eastAsia="Times New Roman"/>
          <w:b w:val="1"/>
          <w:bCs w:val="1"/>
          <w:sz w:val="24"/>
          <w:szCs w:val="24"/>
        </w:rPr>
      </w:pPr>
    </w:p>
    <w:p>
      <w:pPr>
        <w:pStyle w:val="Body"/>
        <w:spacing w:line="360" w:lineRule="auto"/>
        <w:jc w:val="both"/>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 xml:space="preserve">Introduction </w:t>
      </w:r>
    </w:p>
    <w:p>
      <w:pPr>
        <w:pStyle w:val="Body"/>
        <w:spacing w:line="360" w:lineRule="auto"/>
        <w:jc w:val="both"/>
        <w:rPr>
          <w:rFonts w:ascii="Times New Roman" w:cs="Times New Roman" w:hAnsi="Times New Roman" w:eastAsia="Times New Roman"/>
          <w:b w:val="1"/>
          <w:bCs w:val="1"/>
          <w:sz w:val="24"/>
          <w:szCs w:val="24"/>
        </w:rPr>
      </w:pP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The constitutional framework of India establishes the office of the Governor as a vital link between the Union and the States. While the Governor is expected to act as a neutral constitutional head, recent developments, particularly the case of </w:t>
      </w:r>
      <w:r>
        <w:rPr>
          <w:rFonts w:ascii="Times New Roman" w:hAnsi="Times New Roman"/>
          <w:i w:val="1"/>
          <w:iCs w:val="1"/>
          <w:rtl w:val="0"/>
          <w:lang w:val="en-US"/>
        </w:rPr>
        <w:t>State of Tamil Nadu v. Governor of Tamil Nadu</w:t>
      </w:r>
      <w:r>
        <w:rPr>
          <w:rFonts w:ascii="Times New Roman" w:hAnsi="Times New Roman"/>
          <w:rtl w:val="0"/>
          <w:lang w:val="en-US"/>
        </w:rPr>
        <w:t>, have reignited debates concerning the role of Governors and their accountability in the face of inaction. This article seeks to examine the constitutional challenge posed by gubernatorial inaction, focusing on the Tamil Nadu case, while proposing constructive mechanisms to ensure effective governance and constitutional balance.</w:t>
      </w:r>
    </w:p>
    <w:p>
      <w:pPr>
        <w:pStyle w:val="Default"/>
        <w:suppressAutoHyphens w:val="1"/>
        <w:spacing w:before="0" w:after="299"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The Constitutional Role of a</w:t>
      </w:r>
      <w:r>
        <w:rPr>
          <w:rFonts w:ascii="Times New Roman" w:hAnsi="Times New Roman" w:hint="default"/>
          <w:b w:val="1"/>
          <w:bCs w:val="1"/>
          <w:rtl w:val="0"/>
        </w:rPr>
        <w:t> </w:t>
      </w:r>
      <w:r>
        <w:rPr>
          <w:rFonts w:ascii="Times New Roman" w:hAnsi="Times New Roman"/>
          <w:b w:val="1"/>
          <w:bCs w:val="1"/>
          <w:rtl w:val="0"/>
          <w:lang w:val="en-US"/>
        </w:rPr>
        <w:t>the Governor</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Governor of a State in India functions as the nominal head under Article 153 of the Constitution of India. Although the Governor is vested with certain discretionary powers under Article 163, the general principle is that the Governor acts on the aid and advice of the Council of Ministers, as per Article 163(1) and Article 154. The Sarkaria Commission</w:t>
      </w:r>
      <w:r>
        <w:rPr>
          <w:rFonts w:ascii="Times New Roman" w:cs="Times New Roman" w:hAnsi="Times New Roman" w:eastAsia="Times New Roman"/>
          <w:vertAlign w:val="superscript"/>
        </w:rPr>
        <w:footnoteReference w:id="2"/>
      </w:r>
      <w:r>
        <w:rPr>
          <w:rFonts w:ascii="Times New Roman" w:hAnsi="Times New Roman"/>
          <w:rtl w:val="0"/>
          <w:lang w:val="en-US"/>
        </w:rPr>
        <w:t>, in its report, emphasised that the Governor's discretionary powers should be limited and exercised in rare situations where the Constitution expressly permits such discretion.</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fr-FR"/>
        </w:rPr>
        <w:t>Constitutional Provisions</w:t>
      </w:r>
    </w:p>
    <w:p>
      <w:pPr>
        <w:pStyle w:val="Default"/>
        <w:numPr>
          <w:ilvl w:val="0"/>
          <w:numId w:val="2"/>
        </w:numPr>
        <w:suppressAutoHyphens w:val="1"/>
        <w:spacing w:before="0" w:after="240" w:line="360" w:lineRule="auto"/>
        <w:jc w:val="both"/>
        <w:rPr>
          <w:rFonts w:ascii="Times New Roman" w:hAnsi="Times New Roman"/>
          <w:lang w:val="fr-FR"/>
        </w:rPr>
      </w:pPr>
      <w:r>
        <w:rPr>
          <w:rFonts w:ascii="Times New Roman" w:hAnsi="Times New Roman"/>
          <w:b w:val="1"/>
          <w:bCs w:val="1"/>
          <w:rtl w:val="0"/>
          <w:lang w:val="fr-FR"/>
        </w:rPr>
        <w:t>Article 153:</w:t>
      </w:r>
      <w:r>
        <w:rPr>
          <w:rFonts w:ascii="Times New Roman" w:hAnsi="Times New Roman"/>
          <w:rtl w:val="0"/>
        </w:rPr>
        <w:t xml:space="preserve"> </w:t>
      </w:r>
      <w:r>
        <w:rPr>
          <w:rFonts w:ascii="Times New Roman" w:hAnsi="Times New Roman"/>
          <w:i w:val="1"/>
          <w:iCs w:val="1"/>
          <w:rtl w:val="0"/>
          <w:lang w:val="en-US"/>
        </w:rPr>
        <w:t>"There shall be a Governor for each State."</w:t>
      </w:r>
      <w:r>
        <w:rPr>
          <w:rFonts w:ascii="Times New Roman" w:cs="Times New Roman" w:hAnsi="Times New Roman" w:eastAsia="Times New Roman"/>
          <w:i w:val="1"/>
          <w:iCs w:val="1"/>
          <w:vertAlign w:val="superscript"/>
        </w:rPr>
        <w:footnoteReference w:id="3"/>
      </w:r>
      <w:r>
        <w:rPr>
          <w:rFonts w:ascii="Times New Roman" w:hAnsi="Times New Roman"/>
          <w:rtl w:val="0"/>
        </w:rPr>
        <w:t xml:space="preserve"> </w:t>
      </w:r>
    </w:p>
    <w:p>
      <w:pPr>
        <w:pStyle w:val="Default"/>
        <w:numPr>
          <w:ilvl w:val="0"/>
          <w:numId w:val="2"/>
        </w:numPr>
        <w:suppressAutoHyphens w:val="1"/>
        <w:spacing w:before="0" w:after="240" w:line="360" w:lineRule="auto"/>
        <w:jc w:val="both"/>
        <w:rPr>
          <w:rFonts w:ascii="Times New Roman" w:hAnsi="Times New Roman"/>
          <w:lang w:val="fr-FR"/>
        </w:rPr>
      </w:pPr>
      <w:r>
        <w:rPr>
          <w:rFonts w:ascii="Times New Roman" w:hAnsi="Times New Roman"/>
          <w:b w:val="1"/>
          <w:bCs w:val="1"/>
          <w:rtl w:val="0"/>
          <w:lang w:val="fr-FR"/>
        </w:rPr>
        <w:t>Article 154:</w:t>
      </w:r>
      <w:r>
        <w:rPr>
          <w:rFonts w:ascii="Times New Roman" w:hAnsi="Times New Roman"/>
          <w:rtl w:val="0"/>
        </w:rPr>
        <w:t xml:space="preserve"> </w:t>
      </w:r>
      <w:r>
        <w:rPr>
          <w:rFonts w:ascii="Times New Roman" w:hAnsi="Times New Roman"/>
          <w:i w:val="1"/>
          <w:iCs w:val="1"/>
          <w:rtl w:val="0"/>
          <w:lang w:val="en-US"/>
        </w:rPr>
        <w:t>"The executive power of the State shall be vested in the Governor and shall be exercised by him either directly or through officers subordinate to him in accordance with this Constitution.</w:t>
      </w:r>
      <w:r>
        <w:rPr>
          <w:rFonts w:ascii="Times New Roman" w:hAnsi="Times New Roman"/>
          <w:rtl w:val="0"/>
          <w:lang w:val="ru-RU"/>
        </w:rPr>
        <w:t>"</w:t>
      </w:r>
      <w:r>
        <w:rPr>
          <w:rFonts w:ascii="Times New Roman" w:cs="Times New Roman" w:hAnsi="Times New Roman" w:eastAsia="Times New Roman"/>
          <w:vertAlign w:val="superscript"/>
        </w:rPr>
        <w:footnoteReference w:id="4"/>
      </w:r>
      <w:r>
        <w:rPr>
          <w:rFonts w:ascii="Times New Roman" w:hAnsi="Times New Roman"/>
          <w:rtl w:val="0"/>
        </w:rPr>
        <w:t xml:space="preserve"> </w:t>
      </w:r>
    </w:p>
    <w:p>
      <w:pPr>
        <w:pStyle w:val="Default"/>
        <w:numPr>
          <w:ilvl w:val="0"/>
          <w:numId w:val="2"/>
        </w:numPr>
        <w:suppressAutoHyphens w:val="1"/>
        <w:spacing w:before="0" w:after="240" w:line="360" w:lineRule="auto"/>
        <w:jc w:val="both"/>
        <w:rPr>
          <w:rFonts w:ascii="Times New Roman" w:hAnsi="Times New Roman"/>
          <w:lang w:val="en-US"/>
        </w:rPr>
      </w:pPr>
      <w:r>
        <w:rPr>
          <w:rFonts w:ascii="Times New Roman" w:hAnsi="Times New Roman"/>
          <w:b w:val="1"/>
          <w:bCs w:val="1"/>
          <w:rtl w:val="0"/>
          <w:lang w:val="en-US"/>
        </w:rPr>
        <w:t>Article 163:</w:t>
      </w:r>
      <w:r>
        <w:rPr>
          <w:rFonts w:ascii="Times New Roman" w:hAnsi="Times New Roman"/>
          <w:rtl w:val="0"/>
          <w:lang w:val="ru-RU"/>
        </w:rPr>
        <w:t xml:space="preserve"> "</w:t>
      </w:r>
      <w:r>
        <w:rPr>
          <w:rFonts w:ascii="Times New Roman" w:hAnsi="Times New Roman"/>
          <w:i w:val="1"/>
          <w:iCs w:val="1"/>
          <w:rtl w:val="0"/>
          <w:lang w:val="en-US"/>
        </w:rPr>
        <w:t>There shall be a Council of Ministers with the Chief Minister at the head to aid and advise the Governor in the exercise of his functions, except in so far as he is by or under this Constitution required to exercise his functions or any of them in his discretion."</w:t>
      </w:r>
      <w:r>
        <w:rPr>
          <w:rFonts w:ascii="Times New Roman" w:cs="Times New Roman" w:hAnsi="Times New Roman" w:eastAsia="Times New Roman"/>
          <w:i w:val="1"/>
          <w:iCs w:val="1"/>
          <w:vertAlign w:val="superscript"/>
        </w:rPr>
        <w:footnoteReference w:id="5"/>
      </w:r>
      <w:r>
        <w:rPr>
          <w:rFonts w:ascii="Times New Roman" w:hAnsi="Times New Roman"/>
          <w:i w:val="1"/>
          <w:iCs w:val="1"/>
          <w:rtl w:val="0"/>
          <w:lang w:val="en-US"/>
        </w:rPr>
        <w:t xml:space="preserve"> </w:t>
      </w:r>
    </w:p>
    <w:p>
      <w:pPr>
        <w:pStyle w:val="Default"/>
        <w:numPr>
          <w:ilvl w:val="0"/>
          <w:numId w:val="2"/>
        </w:numPr>
        <w:suppressAutoHyphens w:val="1"/>
        <w:spacing w:before="0" w:after="240" w:line="360" w:lineRule="auto"/>
        <w:jc w:val="both"/>
        <w:rPr>
          <w:rFonts w:ascii="Times New Roman" w:hAnsi="Times New Roman"/>
          <w:lang w:val="fr-FR"/>
        </w:rPr>
      </w:pPr>
      <w:r>
        <w:rPr>
          <w:rFonts w:ascii="Times New Roman" w:hAnsi="Times New Roman"/>
          <w:b w:val="1"/>
          <w:bCs w:val="1"/>
          <w:rtl w:val="0"/>
          <w:lang w:val="fr-FR"/>
        </w:rPr>
        <w:t>Article 200:</w:t>
      </w:r>
      <w:r>
        <w:rPr>
          <w:rFonts w:ascii="Times New Roman" w:hAnsi="Times New Roman"/>
          <w:rtl w:val="0"/>
          <w:lang w:val="ru-RU"/>
        </w:rPr>
        <w:t xml:space="preserve"> "</w:t>
      </w:r>
      <w:r>
        <w:rPr>
          <w:rFonts w:ascii="Times New Roman" w:hAnsi="Times New Roman"/>
          <w:i w:val="1"/>
          <w:iCs w:val="1"/>
          <w:rtl w:val="0"/>
          <w:lang w:val="en-US"/>
        </w:rPr>
        <w:t>When a Bill has been passed by the Legislative Assembly of a State or, in the case of a State having a Legislative Council, has been passed by both Houses of the Legislature of the State, it shall be presented to the Governor who shall declare either that he assents to the Bill or that he withholds assent therefrom or that he reserves the Bill for the consideration of the President.</w:t>
      </w:r>
      <w:r>
        <w:rPr>
          <w:rFonts w:ascii="Times New Roman" w:hAnsi="Times New Roman"/>
          <w:rtl w:val="0"/>
          <w:lang w:val="ru-RU"/>
        </w:rPr>
        <w:t>"</w:t>
      </w:r>
      <w:r>
        <w:rPr>
          <w:rFonts w:ascii="Times New Roman" w:cs="Times New Roman" w:hAnsi="Times New Roman" w:eastAsia="Times New Roman"/>
          <w:vertAlign w:val="superscript"/>
        </w:rPr>
        <w:footnoteReference w:id="6"/>
      </w:r>
      <w:r>
        <w:rPr>
          <w:rFonts w:ascii="Times New Roman" w:hAnsi="Times New Roman"/>
          <w:rtl w:val="0"/>
          <w:lang w:val="en-US"/>
        </w:rPr>
        <w:t xml:space="preserve"> Notably, this article does not specify any time limit within which the Governor must act.</w:t>
      </w:r>
      <w:r>
        <w:rPr>
          <w:rFonts w:ascii="Times New Roman" w:cs="Times New Roman" w:hAnsi="Times New Roman" w:eastAsia="Times New Roman"/>
        </w:rPr>
        <w:fldChar w:fldCharType="begin" w:fldLock="0"/>
      </w:r>
      <w:r>
        <w:rPr>
          <w:rFonts w:ascii="Times New Roman" w:cs="Times New Roman" w:hAnsi="Times New Roman" w:eastAsia="Times New Roman"/>
        </w:rPr>
        <w:instrText xml:space="preserve"> PAGE </w:instrText>
      </w:r>
      <w:r>
        <w:rPr>
          <w:rFonts w:ascii="Times New Roman" w:cs="Times New Roman" w:hAnsi="Times New Roman" w:eastAsia="Times New Roman"/>
        </w:rPr>
        <w:fldChar w:fldCharType="separate" w:fldLock="0"/>
      </w:r>
      <w:r>
        <w:rPr>
          <w:rFonts w:ascii="Times New Roman" w:cs="Times New Roman" w:hAnsi="Times New Roman" w:eastAsia="Times New Roman"/>
        </w:rPr>
        <w:t>2</w:t>
      </w:r>
      <w:r>
        <w:rPr>
          <w:rFonts w:ascii="Times New Roman" w:cs="Times New Roman" w:hAnsi="Times New Roman" w:eastAsia="Times New Roman"/>
        </w:rPr>
        <w:fldChar w:fldCharType="end" w:fldLock="0"/>
      </w:r>
      <w:r>
        <w:rPr>
          <w:rFonts w:ascii="Times New Roman" w:cs="Times New Roman" w:hAnsi="Times New Roman" w:eastAsia="Times New Roman"/>
        </w:rPr>
        <w:fldChar w:fldCharType="begin" w:fldLock="0"/>
      </w:r>
      <w:r>
        <w:rPr>
          <w:rFonts w:ascii="Times New Roman" w:cs="Times New Roman" w:hAnsi="Times New Roman" w:eastAsia="Times New Roman"/>
        </w:rPr>
        <w:instrText xml:space="preserve"> PAGE </w:instrText>
      </w:r>
      <w:r>
        <w:rPr>
          <w:rFonts w:ascii="Times New Roman" w:cs="Times New Roman" w:hAnsi="Times New Roman" w:eastAsia="Times New Roman"/>
        </w:rPr>
        <w:fldChar w:fldCharType="separate" w:fldLock="0"/>
      </w:r>
      <w:r>
        <w:rPr>
          <w:rFonts w:ascii="Times New Roman" w:cs="Times New Roman" w:hAnsi="Times New Roman" w:eastAsia="Times New Roman"/>
        </w:rPr>
        <w:t>2</w:t>
      </w:r>
      <w:r>
        <w:rPr>
          <w:rFonts w:ascii="Times New Roman" w:cs="Times New Roman" w:hAnsi="Times New Roman" w:eastAsia="Times New Roman"/>
        </w:rPr>
        <w:fldChar w:fldCharType="end" w:fldLock="0"/>
      </w:r>
    </w:p>
    <w:p>
      <w:pPr>
        <w:pStyle w:val="Default"/>
        <w:suppressAutoHyphens w:val="1"/>
        <w:spacing w:before="0" w:after="299" w:line="360" w:lineRule="auto"/>
        <w:jc w:val="both"/>
        <w:rPr>
          <w:rFonts w:ascii="Times New Roman" w:cs="Times New Roman" w:hAnsi="Times New Roman" w:eastAsia="Times New Roman"/>
          <w:b w:val="1"/>
          <w:bCs w:val="1"/>
          <w:i w:val="0"/>
          <w:iCs w:val="0"/>
        </w:rPr>
      </w:pPr>
      <w:r>
        <w:rPr>
          <w:rFonts w:ascii="Times New Roman" w:hAnsi="Times New Roman"/>
          <w:b w:val="1"/>
          <w:bCs w:val="1"/>
          <w:i w:val="0"/>
          <w:iCs w:val="0"/>
          <w:rtl w:val="0"/>
          <w:lang w:val="en-US"/>
        </w:rPr>
        <w:t xml:space="preserve">Facts of the Case: </w:t>
      </w:r>
      <w:r>
        <w:rPr>
          <w:rFonts w:ascii="Times New Roman" w:hAnsi="Times New Roman"/>
          <w:b w:val="1"/>
          <w:bCs w:val="1"/>
          <w:i w:val="1"/>
          <w:iCs w:val="1"/>
          <w:rtl w:val="0"/>
          <w:lang w:val="en-US"/>
        </w:rPr>
        <w:t>State of Tamil Nadu v. Governor of Tamil Nadu</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case arises from repeated instances where the Governor of Tamil Nadu allegedly delayed granting assent to Bills passed by the State Legislature, including those related to key policy reforms. The Tamil Nadu government, invoking the constitutional duty of the Governor, approached the Supreme Court seeking judicial intervention to direct the Governor to expedite decision-making on pending Bills.</w:t>
      </w:r>
      <w:r>
        <w:rPr>
          <w:rFonts w:ascii="Times New Roman" w:cs="Times New Roman" w:hAnsi="Times New Roman" w:eastAsia="Times New Roman"/>
          <w:vertAlign w:val="superscript"/>
        </w:rPr>
        <w:footnoteReference w:id="7"/>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petition underscored that the inordinate delay by the Governor in taking action under Article 200 was contrary to the spirit of cooperative federalism and disrupted the democratic process. The State government argued that the Governor's inaction amounts to a constitutional failure warranting judicial scrutiny.</w:t>
      </w:r>
    </w:p>
    <w:p>
      <w:pPr>
        <w:pStyle w:val="Default"/>
        <w:suppressAutoHyphens w:val="1"/>
        <w:spacing w:before="0" w:after="299"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Constitutional Issues Raised</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primary constitutional questions that emerged from the case were:</w:t>
      </w:r>
    </w:p>
    <w:p>
      <w:pPr>
        <w:pStyle w:val="Default"/>
        <w:numPr>
          <w:ilvl w:val="0"/>
          <w:numId w:val="4"/>
        </w:numPr>
        <w:suppressAutoHyphens w:val="1"/>
        <w:spacing w:before="0" w:after="240" w:line="360" w:lineRule="auto"/>
        <w:jc w:val="both"/>
        <w:rPr>
          <w:rFonts w:ascii="Times New Roman" w:hAnsi="Times New Roman"/>
          <w:lang w:val="en-US"/>
        </w:rPr>
      </w:pPr>
      <w:r>
        <w:rPr>
          <w:rFonts w:ascii="Times New Roman" w:hAnsi="Times New Roman"/>
          <w:rtl w:val="0"/>
          <w:lang w:val="en-US"/>
        </w:rPr>
        <w:t>Whether the Governor can constitutionally withhold or indefinitely delay taking action on Bills duly passed by the State Legislature in the absence of an express timeframe under Article 200 of the Constitution of India.</w:t>
      </w:r>
    </w:p>
    <w:p>
      <w:pPr>
        <w:pStyle w:val="Default"/>
        <w:numPr>
          <w:ilvl w:val="0"/>
          <w:numId w:val="4"/>
        </w:numPr>
        <w:suppressAutoHyphens w:val="1"/>
        <w:spacing w:before="0" w:after="240" w:line="360" w:lineRule="auto"/>
        <w:jc w:val="both"/>
        <w:rPr>
          <w:rFonts w:ascii="Times New Roman" w:cs="Times New Roman" w:hAnsi="Times New Roman" w:eastAsia="Times New Roman"/>
        </w:rPr>
      </w:pPr>
      <w:r>
        <w:rPr>
          <w:rFonts w:ascii="Times New Roman" w:cs="Times New Roman" w:hAnsi="Times New Roman" w:eastAsia="Times New Roman"/>
          <w:rtl w:val="0"/>
        </w:rPr>
        <w:tab/>
        <w:t>Whether prolonged inaction by the Governor amounts to a violation of constitutional obligations, thereby undermining the principles of responsible government and cooperative federalism.</w:t>
      </w:r>
    </w:p>
    <w:p>
      <w:pPr>
        <w:pStyle w:val="Default"/>
        <w:numPr>
          <w:ilvl w:val="0"/>
          <w:numId w:val="4"/>
        </w:numPr>
        <w:suppressAutoHyphens w:val="1"/>
        <w:spacing w:before="0" w:after="240" w:line="360" w:lineRule="auto"/>
        <w:jc w:val="both"/>
        <w:rPr>
          <w:rFonts w:ascii="Times New Roman" w:hAnsi="Times New Roman"/>
          <w:lang w:val="en-US"/>
        </w:rPr>
      </w:pPr>
      <w:r>
        <w:rPr>
          <w:rFonts w:ascii="Times New Roman" w:hAnsi="Times New Roman"/>
          <w:rtl w:val="0"/>
          <w:lang w:val="en-US"/>
        </w:rPr>
        <w:t>Whether the judiciary has the authority to issue directions to the Governor to ensure the timely exercise of gubernatorial functions in accordance with constitutional mandates.</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Relevant Judicial Precedents and Their Connection to Gubernatorial Inaction</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rPr>
        <w:t>1.</w:t>
      </w:r>
      <w:r>
        <w:rPr>
          <w:rFonts w:ascii="Times New Roman" w:hAnsi="Times New Roman"/>
          <w:b w:val="1"/>
          <w:bCs w:val="1"/>
          <w:rtl w:val="0"/>
          <w:lang w:val="en-US"/>
        </w:rPr>
        <w:t xml:space="preserve"> </w:t>
      </w:r>
      <w:r>
        <w:rPr>
          <w:rFonts w:ascii="Times New Roman" w:hAnsi="Times New Roman"/>
          <w:b w:val="1"/>
          <w:bCs w:val="1"/>
          <w:rtl w:val="0"/>
          <w:lang w:val="en-US"/>
        </w:rPr>
        <w:t xml:space="preserve"> Shamsher Singh v. State of Punjab</w:t>
      </w:r>
    </w:p>
    <w:p>
      <w:pPr>
        <w:pStyle w:val="Default"/>
        <w:suppressAutoHyphens w:val="1"/>
        <w:spacing w:before="0" w:after="281" w:line="360" w:lineRule="auto"/>
        <w:jc w:val="both"/>
        <w:rPr>
          <w:rFonts w:ascii="Times New Roman" w:cs="Times New Roman" w:hAnsi="Times New Roman" w:eastAsia="Times New Roman"/>
        </w:rPr>
      </w:pPr>
      <w:r>
        <w:rPr>
          <w:rFonts w:ascii="Times New Roman" w:hAnsi="Times New Roman"/>
          <w:rtl w:val="0"/>
          <w:lang w:val="en-US"/>
        </w:rPr>
        <w:t xml:space="preserve">In </w:t>
      </w:r>
      <w:r>
        <w:rPr>
          <w:rFonts w:ascii="Times New Roman" w:hAnsi="Times New Roman"/>
          <w:i w:val="1"/>
          <w:iCs w:val="1"/>
          <w:rtl w:val="0"/>
          <w:lang w:val="en-US"/>
        </w:rPr>
        <w:t>Shamsher Singh v. State of Punjab</w:t>
      </w:r>
      <w:r>
        <w:rPr>
          <w:rFonts w:ascii="Times New Roman" w:hAnsi="Times New Roman"/>
          <w:rtl w:val="0"/>
          <w:lang w:val="en-US"/>
        </w:rPr>
        <w:t>, the Supreme Court held that the Governor, like the President, is a constitutional head who must ordinarily act on the aid and advice of the Council of Ministers. The Court observed:</w:t>
      </w:r>
      <w:r>
        <w:rPr>
          <w:rFonts w:ascii="Times New Roman" w:hAnsi="Times New Roman"/>
          <w:rtl w:val="0"/>
          <w:lang w:val="en-US"/>
        </w:rPr>
        <w:t xml:space="preserve"> </w:t>
      </w:r>
      <w:r>
        <w:rPr>
          <w:rFonts w:ascii="Times New Roman" w:hAnsi="Times New Roman"/>
          <w:i w:val="1"/>
          <w:iCs w:val="1"/>
          <w:rtl w:val="0"/>
          <w:lang w:val="en-US"/>
        </w:rPr>
        <w:t>"The President and the Governor</w:t>
      </w:r>
      <w:r>
        <w:rPr>
          <w:rFonts w:ascii="Times New Roman" w:hAnsi="Times New Roman" w:hint="default"/>
          <w:i w:val="1"/>
          <w:iCs w:val="1"/>
          <w:rtl w:val="0"/>
        </w:rPr>
        <w:t xml:space="preserve">… </w:t>
      </w:r>
      <w:r>
        <w:rPr>
          <w:rFonts w:ascii="Times New Roman" w:hAnsi="Times New Roman"/>
          <w:i w:val="1"/>
          <w:iCs w:val="1"/>
          <w:rtl w:val="0"/>
          <w:lang w:val="en-US"/>
        </w:rPr>
        <w:t>are the constitutional or formal heads of the executive. The real executive power vests in the Ministers or the Cabinet.</w:t>
      </w:r>
      <w:r>
        <w:rPr>
          <w:rFonts w:ascii="Times New Roman" w:hAnsi="Times New Roman" w:hint="default"/>
          <w:i w:val="1"/>
          <w:iCs w:val="1"/>
          <w:rtl w:val="0"/>
          <w:lang w:val="en-US"/>
        </w:rPr>
        <w:t>”</w:t>
      </w:r>
      <w:r>
        <w:rPr>
          <w:rFonts w:ascii="Times New Roman" w:cs="Times New Roman" w:hAnsi="Times New Roman" w:eastAsia="Times New Roman"/>
          <w:i w:val="1"/>
          <w:iCs w:val="1"/>
          <w:vertAlign w:val="superscript"/>
        </w:rPr>
        <w:footnoteReference w:id="8"/>
      </w:r>
      <w:r>
        <w:rPr>
          <w:rFonts w:ascii="Times New Roman" w:hAnsi="Times New Roman"/>
          <w:i w:val="1"/>
          <w:iCs w:val="1"/>
          <w:rtl w:val="0"/>
          <w:lang w:val="en-US"/>
        </w:rPr>
        <w:t xml:space="preserve"> </w:t>
      </w:r>
      <w:r>
        <w:rPr>
          <w:rFonts w:ascii="Times New Roman" w:hAnsi="Times New Roman"/>
          <w:rtl w:val="0"/>
          <w:lang w:val="en-US"/>
        </w:rPr>
        <w:t>The Court emphasised that discretionary powers of the Governor are extremely limited and should be exercised strictly within the constitutional framework.</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 xml:space="preserve">2. </w:t>
      </w:r>
      <w:r>
        <w:rPr>
          <w:rFonts w:ascii="Times New Roman" w:hAnsi="Times New Roman"/>
          <w:b w:val="1"/>
          <w:bCs w:val="1"/>
          <w:rtl w:val="0"/>
          <w:lang w:val="en-US"/>
        </w:rPr>
        <w:t>Rameshwar Prasad v. Union of India</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In </w:t>
      </w:r>
      <w:r>
        <w:rPr>
          <w:rFonts w:ascii="Times New Roman" w:hAnsi="Times New Roman"/>
          <w:i w:val="1"/>
          <w:iCs w:val="1"/>
          <w:rtl w:val="0"/>
          <w:lang w:val="en-US"/>
        </w:rPr>
        <w:t>Rameshwar Prasad v. Union of India</w:t>
      </w:r>
      <w:r>
        <w:rPr>
          <w:rFonts w:ascii="Times New Roman" w:hAnsi="Times New Roman"/>
          <w:rtl w:val="0"/>
          <w:lang w:val="en-US"/>
        </w:rPr>
        <w:t xml:space="preserve">, the Supreme Court </w:t>
      </w:r>
      <w:r>
        <w:rPr>
          <w:rFonts w:ascii="Times New Roman" w:hAnsi="Times New Roman"/>
          <w:rtl w:val="0"/>
          <w:lang w:val="en-US"/>
        </w:rPr>
        <w:t>emphasised</w:t>
      </w:r>
      <w:r>
        <w:rPr>
          <w:rFonts w:ascii="Times New Roman" w:hAnsi="Times New Roman"/>
          <w:rtl w:val="0"/>
          <w:lang w:val="en-US"/>
        </w:rPr>
        <w:t xml:space="preserve"> that constitutional authorities must act in good faith and in accordance with constitutional morality. It held that the exercise of power by constitutional authorities is subject to judicial review if found to be mala fide, arbitrary, or in colorable exercise of power.</w:t>
      </w:r>
      <w:r>
        <w:rPr>
          <w:rFonts w:ascii="Times New Roman" w:cs="Times New Roman" w:hAnsi="Times New Roman" w:eastAsia="Times New Roman"/>
          <w:vertAlign w:val="superscript"/>
        </w:rPr>
        <w:footnoteReference w:id="9"/>
      </w:r>
      <w:r>
        <w:rPr>
          <w:rFonts w:ascii="Times New Roman" w:hAnsi="Times New Roman"/>
          <w:rtl w:val="0"/>
          <w:lang w:val="en-US"/>
        </w:rPr>
        <w:t xml:space="preserve"> In the Tamil Nadu case, the Governor's extended inaction could attract judicial scrutiny under these principles if the delay appears unreasonable or obstructive.</w:t>
      </w:r>
    </w:p>
    <w:p>
      <w:pPr>
        <w:pStyle w:val="Default"/>
        <w:suppressAutoHyphens w:val="1"/>
        <w:spacing w:before="0" w:after="240"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 xml:space="preserve">3. </w:t>
      </w:r>
      <w:r>
        <w:rPr>
          <w:rFonts w:ascii="Times New Roman" w:hAnsi="Times New Roman"/>
          <w:b w:val="1"/>
          <w:bCs w:val="1"/>
          <w:rtl w:val="0"/>
          <w:lang w:val="en-US"/>
        </w:rPr>
        <w:t>K.K. Bhattacharjee v. State of Tripura</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In </w:t>
      </w:r>
      <w:r>
        <w:rPr>
          <w:rFonts w:ascii="Times New Roman" w:hAnsi="Times New Roman"/>
          <w:i w:val="1"/>
          <w:iCs w:val="1"/>
          <w:rtl w:val="0"/>
          <w:lang w:val="en-US"/>
        </w:rPr>
        <w:t>K.K. Bhattacharjee v. State of Tripura</w:t>
      </w:r>
      <w:r>
        <w:rPr>
          <w:rFonts w:ascii="Times New Roman" w:hAnsi="Times New Roman"/>
          <w:rtl w:val="0"/>
          <w:lang w:val="en-US"/>
        </w:rPr>
        <w:t>, the Supreme Court clarified that withholding assent by the Governor should not be based on personal opinions, political considerations, or prolonged delays. The Court noted that assent to legislation should not be used as a tool to stall governance or the functioning of the Legislature.</w:t>
      </w:r>
      <w:r>
        <w:rPr>
          <w:rFonts w:ascii="Times New Roman" w:cs="Times New Roman" w:hAnsi="Times New Roman" w:eastAsia="Times New Roman"/>
          <w:vertAlign w:val="superscript"/>
        </w:rPr>
        <w:footnoteReference w:id="10"/>
      </w:r>
    </w:p>
    <w:p>
      <w:pPr>
        <w:pStyle w:val="Default"/>
        <w:suppressAutoHyphens w:val="1"/>
        <w:spacing w:before="0" w:after="240"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 xml:space="preserve">4. </w:t>
      </w:r>
      <w:r>
        <w:rPr>
          <w:rFonts w:ascii="Times New Roman" w:hAnsi="Times New Roman"/>
          <w:b w:val="1"/>
          <w:bCs w:val="1"/>
          <w:rtl w:val="0"/>
          <w:lang w:val="en-US"/>
        </w:rPr>
        <w:t>State of Punjab v. Principal Secretary to the Governor of Punjab</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This recent decision is highly relevant, as the Court held that the Governor cannot withhold assent indefinitely and must return a Bill for reconsideration within a reasonable timeframe if he chooses not to assent.</w:t>
      </w:r>
      <w:r>
        <w:rPr>
          <w:rFonts w:ascii="Times New Roman" w:cs="Times New Roman" w:hAnsi="Times New Roman" w:eastAsia="Times New Roman"/>
          <w:vertAlign w:val="superscript"/>
        </w:rPr>
        <w:footnoteReference w:id="11"/>
      </w:r>
      <w:r>
        <w:rPr>
          <w:rFonts w:ascii="Times New Roman" w:hAnsi="Times New Roman"/>
          <w:rtl w:val="0"/>
          <w:lang w:val="en-US"/>
        </w:rPr>
        <w:t xml:space="preserve"> The judgment affirmed that indefinite delays amount to constitutional impropriety and that the Governor must act promptly to facilitate legislative functioning.</w:t>
      </w:r>
    </w:p>
    <w:p>
      <w:pPr>
        <w:pStyle w:val="Default"/>
        <w:suppressAutoHyphens w:val="1"/>
        <w:spacing w:before="0" w:after="281" w:line="360" w:lineRule="auto"/>
        <w:rPr>
          <w:rFonts w:ascii="Times New Roman" w:cs="Times New Roman" w:hAnsi="Times New Roman" w:eastAsia="Times New Roman"/>
          <w:b w:val="1"/>
          <w:bCs w:val="1"/>
        </w:rPr>
      </w:pPr>
      <w:r>
        <w:rPr>
          <w:rFonts w:ascii="Times New Roman" w:hAnsi="Times New Roman"/>
          <w:b w:val="1"/>
          <w:bCs w:val="1"/>
          <w:rtl w:val="0"/>
          <w:lang w:val="en-US"/>
        </w:rPr>
        <w:t xml:space="preserve">5. </w:t>
      </w:r>
      <w:r>
        <w:rPr>
          <w:rFonts w:ascii="Times New Roman" w:hAnsi="Times New Roman"/>
          <w:b w:val="1"/>
          <w:bCs w:val="1"/>
          <w:rtl w:val="0"/>
          <w:lang w:val="en-US"/>
        </w:rPr>
        <w:t>Keisham Meghachandra Singh v. Speaker, Manipur Legislative Assembly</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In this case, the Court highlighted that constitutional functionaries must act within a reasonable period, even if the Constitution does not specify a strict timeframe. The judgment clarified that undue delay could render constitutional processes ineffective and erode democratic principles.</w:t>
      </w:r>
      <w:r>
        <w:rPr>
          <w:rFonts w:ascii="Times New Roman" w:cs="Times New Roman" w:hAnsi="Times New Roman" w:eastAsia="Times New Roman"/>
          <w:vertAlign w:val="superscript"/>
        </w:rPr>
        <w:footnoteReference w:id="12"/>
      </w:r>
    </w:p>
    <w:p>
      <w:pPr>
        <w:pStyle w:val="Default"/>
        <w:suppressAutoHyphens w:val="1"/>
        <w:spacing w:before="0" w:after="240"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Analysis: The Challenge of Gubernatorial Inaction</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Lack of Timeframe under Article 200</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One of the fundamental lacunae in Article 200 is the absence of a stipulated timeframe within which the Governor must take action on a Bill. This ambiguity has occasionally been misused, leading to avoidable delays. Unlike the President under Article 111, whose assent is similarly not time-bound, the Governor's delay at the State level has a more direct and immediate impact on local governance.</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Implications of Delay</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Governor's inaction hampers legislative efficiency and can be seen as an encroachment on the democratic will of the elected representatives. Such delays can stall progressive policies and developmental initiatives, undermining the State government's mandate.</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Cooperative Federalism at Risk</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Constitution of India is premised on the spirit of cooperative federalism. Gubernatorial inaction risks disturbing this equilibrium by positioning the Governor, an appointee of the Union, as a potential bottleneck in State governance. This issue particularly gains significance when the ruling party at the State level differs from that at the Centre.</w:t>
      </w:r>
    </w:p>
    <w:p>
      <w:pPr>
        <w:pStyle w:val="Default"/>
        <w:suppressAutoHyphens w:val="1"/>
        <w:spacing w:before="0" w:after="299"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Judicial Remedies and Constitutional Morality</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While the judiciary generally refrains from interfering with the Governor's discretionary functions, it can step in to ensure that constitutional mandates are not frustrated. Judicial intervention, however, should aim at constructive resolution rather than confrontation.</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Recent Judicial Observations</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In the Tamil Nadu case, the Supreme Court has singled that the Governor cannot withhold assent indefinitely and emphasised the need for constitutional functionaries to act within a reasonable timeframe to uphold constitutional morality.</w:t>
      </w:r>
    </w:p>
    <w:p>
      <w:pPr>
        <w:pStyle w:val="Default"/>
        <w:suppressAutoHyphens w:val="1"/>
        <w:spacing w:before="0" w:after="281"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Suggestions for Constitutional Reforms</w:t>
      </w:r>
    </w:p>
    <w:p>
      <w:pPr>
        <w:pStyle w:val="Default"/>
        <w:numPr>
          <w:ilvl w:val="0"/>
          <w:numId w:val="5"/>
        </w:numPr>
        <w:suppressAutoHyphens w:val="1"/>
        <w:spacing w:before="0" w:after="240" w:line="360" w:lineRule="auto"/>
        <w:jc w:val="both"/>
        <w:rPr>
          <w:rFonts w:ascii="Times New Roman" w:hAnsi="Times New Roman"/>
          <w:lang w:val="en-US"/>
        </w:rPr>
      </w:pPr>
      <w:r>
        <w:rPr>
          <w:rFonts w:ascii="Times New Roman" w:hAnsi="Times New Roman"/>
          <w:b w:val="1"/>
          <w:bCs w:val="1"/>
          <w:rtl w:val="0"/>
          <w:lang w:val="en-US"/>
        </w:rPr>
        <w:t>Statutory Timeframes:</w:t>
      </w:r>
      <w:r>
        <w:rPr>
          <w:rFonts w:ascii="Times New Roman" w:hAnsi="Times New Roman"/>
          <w:b w:val="1"/>
          <w:bCs w:val="1"/>
          <w:rtl w:val="0"/>
          <w:lang w:val="en-US"/>
        </w:rPr>
        <w:t xml:space="preserve"> </w:t>
      </w:r>
      <w:r>
        <w:rPr>
          <w:rFonts w:ascii="Times New Roman" w:hAnsi="Times New Roman"/>
          <w:rtl w:val="0"/>
          <w:lang w:val="en-US"/>
        </w:rPr>
        <w:t>A statutory term, such as three months, during which the Governor is required to take action on a Bill could help to prevent unnecessary delays. At the moment, there is no deadline in the Constitution for the Governor's action, which has frequently caused lengthy delays.</w:t>
      </w:r>
      <w:r>
        <w:rPr>
          <w:rFonts w:ascii="Times New Roman" w:hAnsi="Times New Roman"/>
          <w:rtl w:val="0"/>
          <w:lang w:val="en-US"/>
        </w:rPr>
        <w:t xml:space="preserve"> </w:t>
      </w:r>
      <w:r>
        <w:rPr>
          <w:rFonts w:ascii="Times New Roman" w:hAnsi="Times New Roman"/>
          <w:rtl w:val="0"/>
          <w:lang w:val="en-US"/>
        </w:rPr>
        <w:t>The Punchhi Commission Report (2010) specifically recommended the introduction of a reasonable timeframe to curb indefinite gubernatorial inaction.</w:t>
      </w:r>
      <w:r>
        <w:rPr>
          <w:rFonts w:ascii="Times New Roman" w:cs="Times New Roman" w:hAnsi="Times New Roman" w:eastAsia="Times New Roman"/>
          <w:vertAlign w:val="superscript"/>
        </w:rPr>
        <w:footnoteReference w:id="13"/>
      </w:r>
    </w:p>
    <w:p>
      <w:pPr>
        <w:pStyle w:val="Default"/>
        <w:numPr>
          <w:ilvl w:val="0"/>
          <w:numId w:val="5"/>
        </w:numPr>
        <w:suppressAutoHyphens w:val="1"/>
        <w:spacing w:before="0" w:after="240" w:line="360" w:lineRule="auto"/>
        <w:jc w:val="both"/>
        <w:rPr>
          <w:rFonts w:ascii="Times New Roman" w:hAnsi="Times New Roman"/>
          <w:lang w:val="en-US"/>
        </w:rPr>
      </w:pPr>
      <w:r>
        <w:rPr>
          <w:rFonts w:ascii="Times New Roman" w:hAnsi="Times New Roman"/>
          <w:b w:val="1"/>
          <w:bCs w:val="1"/>
          <w:rtl w:val="0"/>
          <w:lang w:val="en-US"/>
        </w:rPr>
        <w:t>Codification of Procedures:</w:t>
      </w:r>
      <w:r>
        <w:rPr>
          <w:rFonts w:ascii="Times New Roman" w:hAnsi="Times New Roman"/>
          <w:rtl w:val="0"/>
          <w:lang w:val="en-US"/>
        </w:rPr>
        <w:t xml:space="preserve"> Presently, the Governor</w:t>
      </w:r>
      <w:r>
        <w:rPr>
          <w:rFonts w:ascii="Times New Roman" w:hAnsi="Times New Roman" w:hint="default"/>
          <w:rtl w:val="1"/>
        </w:rPr>
        <w:t>’</w:t>
      </w:r>
      <w:r>
        <w:rPr>
          <w:rFonts w:ascii="Times New Roman" w:hAnsi="Times New Roman"/>
          <w:rtl w:val="0"/>
          <w:lang w:val="en-US"/>
        </w:rPr>
        <w:t>s decision-making process under Article 200 is largely uncodified and guided by convention, which allows significant discretionary flexibility. Codifying the procedural steps</w:t>
      </w:r>
      <w:r>
        <w:rPr>
          <w:rFonts w:ascii="Times New Roman" w:hAnsi="Times New Roman"/>
          <w:rtl w:val="0"/>
          <w:lang w:val="en-US"/>
        </w:rPr>
        <w:t xml:space="preserve">, </w:t>
      </w:r>
      <w:r>
        <w:rPr>
          <w:rFonts w:ascii="Times New Roman" w:hAnsi="Times New Roman"/>
          <w:rtl w:val="0"/>
          <w:lang w:val="en-US"/>
        </w:rPr>
        <w:t>such as timelines for consideration, mandatory communication of reasons when assent is withheld, and clear communication channels between the Governor</w:t>
      </w:r>
      <w:r>
        <w:rPr>
          <w:rFonts w:ascii="Times New Roman" w:hAnsi="Times New Roman" w:hint="default"/>
          <w:rtl w:val="1"/>
        </w:rPr>
        <w:t>’</w:t>
      </w:r>
      <w:r>
        <w:rPr>
          <w:rFonts w:ascii="Times New Roman" w:hAnsi="Times New Roman"/>
          <w:rtl w:val="0"/>
          <w:lang w:val="en-US"/>
        </w:rPr>
        <w:t>s Secretariat and the State Legislature</w:t>
      </w:r>
      <w:r>
        <w:rPr>
          <w:rFonts w:ascii="Times New Roman" w:hAnsi="Times New Roman"/>
          <w:rtl w:val="0"/>
          <w:lang w:val="en-US"/>
        </w:rPr>
        <w:t xml:space="preserve"> </w:t>
      </w:r>
      <w:r>
        <w:rPr>
          <w:rFonts w:ascii="Times New Roman" w:hAnsi="Times New Roman"/>
          <w:rtl w:val="0"/>
          <w:lang w:val="en-US"/>
        </w:rPr>
        <w:t>would enhance transparency, accountability, and procedural discipline.</w:t>
      </w:r>
      <w:r>
        <w:rPr>
          <w:rFonts w:ascii="Times New Roman" w:hAnsi="Times New Roman"/>
          <w:rtl w:val="0"/>
          <w:lang w:val="en-US"/>
        </w:rPr>
        <w:t xml:space="preserve"> </w:t>
      </w:r>
    </w:p>
    <w:p>
      <w:pPr>
        <w:pStyle w:val="Default"/>
        <w:numPr>
          <w:ilvl w:val="0"/>
          <w:numId w:val="5"/>
        </w:numPr>
        <w:suppressAutoHyphens w:val="1"/>
        <w:spacing w:before="0" w:after="240" w:line="360" w:lineRule="auto"/>
        <w:jc w:val="both"/>
        <w:rPr>
          <w:rFonts w:ascii="Times New Roman" w:hAnsi="Times New Roman"/>
          <w:lang w:val="en-US"/>
        </w:rPr>
      </w:pPr>
      <w:r>
        <w:rPr>
          <w:rFonts w:ascii="Times New Roman" w:hAnsi="Times New Roman"/>
          <w:b w:val="1"/>
          <w:bCs w:val="1"/>
          <w:rtl w:val="0"/>
          <w:lang w:val="en-US"/>
        </w:rPr>
        <w:t>Parliamentary Review:</w:t>
      </w:r>
      <w:r>
        <w:rPr>
          <w:rFonts w:ascii="Times New Roman" w:hAnsi="Times New Roman"/>
          <w:rtl w:val="0"/>
          <w:lang w:val="en-US"/>
        </w:rPr>
        <w:t xml:space="preserve"> The absence of constitutional timelines in both Article 200 (Governor</w:t>
      </w:r>
      <w:r>
        <w:rPr>
          <w:rFonts w:ascii="Times New Roman" w:hAnsi="Times New Roman" w:hint="default"/>
          <w:rtl w:val="1"/>
        </w:rPr>
        <w:t>’</w:t>
      </w:r>
      <w:r>
        <w:rPr>
          <w:rFonts w:ascii="Times New Roman" w:hAnsi="Times New Roman"/>
          <w:rtl w:val="0"/>
          <w:lang w:val="en-US"/>
        </w:rPr>
        <w:t>s assent to Bills) and Article 111 (President</w:t>
      </w:r>
      <w:r>
        <w:rPr>
          <w:rFonts w:ascii="Times New Roman" w:hAnsi="Times New Roman" w:hint="default"/>
          <w:rtl w:val="1"/>
        </w:rPr>
        <w:t>’</w:t>
      </w:r>
      <w:r>
        <w:rPr>
          <w:rFonts w:ascii="Times New Roman" w:hAnsi="Times New Roman"/>
          <w:rtl w:val="0"/>
          <w:lang w:val="en-US"/>
        </w:rPr>
        <w:t>s assent to Bills) presents a structural gap. Parliamentary review could address this by:</w:t>
      </w:r>
    </w:p>
    <w:p>
      <w:pPr>
        <w:pStyle w:val="Default"/>
        <w:numPr>
          <w:ilvl w:val="2"/>
          <w:numId w:val="2"/>
        </w:numPr>
        <w:suppressAutoHyphens w:val="1"/>
        <w:spacing w:before="0" w:after="240" w:line="360" w:lineRule="auto"/>
        <w:jc w:val="both"/>
        <w:rPr>
          <w:rFonts w:ascii="Times New Roman" w:hAnsi="Times New Roman"/>
          <w:lang w:val="en-US"/>
        </w:rPr>
      </w:pPr>
      <w:r>
        <w:rPr>
          <w:rFonts w:ascii="Times New Roman" w:hAnsi="Times New Roman"/>
          <w:rtl w:val="0"/>
          <w:lang w:val="en-US"/>
        </w:rPr>
        <w:t xml:space="preserve">Enacting clarificatory legislation that prescribes procedural timeframes for both the </w:t>
      </w:r>
      <w:r>
        <w:rPr>
          <w:rFonts w:ascii="Times New Roman" w:hAnsi="Times New Roman"/>
          <w:rtl w:val="0"/>
          <w:lang w:val="en-US"/>
        </w:rPr>
        <w:t xml:space="preserve">       </w:t>
      </w:r>
      <w:r>
        <w:rPr>
          <w:rFonts w:ascii="Times New Roman" w:hAnsi="Times New Roman"/>
          <w:rtl w:val="0"/>
          <w:lang w:val="en-US"/>
        </w:rPr>
        <w:t>President and the Governors.</w:t>
      </w:r>
    </w:p>
    <w:p>
      <w:pPr>
        <w:pStyle w:val="Default"/>
        <w:numPr>
          <w:ilvl w:val="2"/>
          <w:numId w:val="2"/>
        </w:numPr>
        <w:suppressAutoHyphens w:val="1"/>
        <w:spacing w:before="0" w:after="240" w:line="360" w:lineRule="auto"/>
        <w:jc w:val="both"/>
        <w:rPr>
          <w:rFonts w:ascii="Times New Roman" w:hAnsi="Times New Roman"/>
          <w:lang w:val="en-US"/>
        </w:rPr>
      </w:pPr>
      <w:r>
        <w:rPr>
          <w:rFonts w:ascii="Times New Roman" w:hAnsi="Times New Roman"/>
          <w:rtl w:val="0"/>
          <w:lang w:val="en-US"/>
        </w:rPr>
        <w:t>Proposing a constitutional amendment to explicitly insert time-bound obligations for constitutional heads.</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A similar mechanism was adopted when the Anti-Defection Law (Tenth Schedule) was amended to include a reasonable timeframe for Speakers to decide on disqualification petitions, following judicial concerns over indefinite delays (Keisham Meghachandra Singh v. Speaker, Manipur Legislative Assembly).</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 </w:t>
      </w:r>
      <w:r>
        <w:rPr>
          <w:rFonts w:ascii="Times New Roman" w:hAnsi="Times New Roman"/>
          <w:b w:val="1"/>
          <w:bCs w:val="1"/>
          <w:rtl w:val="0"/>
          <w:lang w:val="en-US"/>
        </w:rPr>
        <w:t xml:space="preserve">4.   </w:t>
      </w:r>
      <w:r>
        <w:rPr>
          <w:rFonts w:ascii="Times New Roman" w:hAnsi="Times New Roman"/>
          <w:b w:val="1"/>
          <w:bCs w:val="1"/>
          <w:rtl w:val="0"/>
          <w:lang w:val="en-US"/>
        </w:rPr>
        <w:t>Promoting Institutional Dialogue:</w:t>
      </w:r>
      <w:r>
        <w:rPr>
          <w:rFonts w:ascii="Times New Roman" w:hAnsi="Times New Roman"/>
          <w:rtl w:val="0"/>
          <w:lang w:val="en-US"/>
        </w:rPr>
        <w:t xml:space="preserve"> A significant part of the friction between Governors and State governments stems from communication gaps and perceived partisanship. Establishing regular formal interactions between the Governor</w:t>
      </w:r>
      <w:r>
        <w:rPr>
          <w:rFonts w:ascii="Times New Roman" w:hAnsi="Times New Roman" w:hint="default"/>
          <w:rtl w:val="1"/>
        </w:rPr>
        <w:t>’</w:t>
      </w:r>
      <w:r>
        <w:rPr>
          <w:rFonts w:ascii="Times New Roman" w:hAnsi="Times New Roman"/>
          <w:rtl w:val="0"/>
          <w:lang w:val="en-US"/>
        </w:rPr>
        <w:t>s office and the State</w:t>
      </w:r>
      <w:r>
        <w:rPr>
          <w:rFonts w:ascii="Times New Roman" w:hAnsi="Times New Roman" w:hint="default"/>
          <w:rtl w:val="1"/>
        </w:rPr>
        <w:t>’</w:t>
      </w:r>
      <w:r>
        <w:rPr>
          <w:rFonts w:ascii="Times New Roman" w:hAnsi="Times New Roman"/>
          <w:rtl w:val="0"/>
          <w:lang w:val="en-US"/>
        </w:rPr>
        <w:t>s Council of Ministers could:</w:t>
      </w:r>
    </w:p>
    <w:p>
      <w:pPr>
        <w:pStyle w:val="Default"/>
        <w:numPr>
          <w:ilvl w:val="3"/>
          <w:numId w:val="2"/>
        </w:numPr>
        <w:suppressAutoHyphens w:val="1"/>
        <w:spacing w:before="0" w:after="240" w:line="360" w:lineRule="auto"/>
        <w:jc w:val="both"/>
        <w:rPr>
          <w:rFonts w:ascii="Times New Roman" w:hAnsi="Times New Roman"/>
          <w:lang w:val="en-US"/>
        </w:rPr>
      </w:pPr>
      <w:r>
        <w:rPr>
          <w:rFonts w:ascii="Times New Roman" w:hAnsi="Times New Roman"/>
          <w:rtl w:val="0"/>
          <w:lang w:val="en-US"/>
        </w:rPr>
        <w:t>Improve coordination on pending legislative matters.</w:t>
      </w:r>
      <w:r>
        <w:rPr>
          <w:rFonts w:ascii="Times New Roman" w:hAnsi="Times New Roman"/>
          <w:rtl w:val="0"/>
          <w:lang w:val="en-US"/>
        </w:rPr>
        <w:t xml:space="preserve"> </w:t>
      </w:r>
    </w:p>
    <w:p>
      <w:pPr>
        <w:pStyle w:val="Default"/>
        <w:numPr>
          <w:ilvl w:val="3"/>
          <w:numId w:val="2"/>
        </w:numPr>
        <w:suppressAutoHyphens w:val="1"/>
        <w:spacing w:before="0" w:after="240" w:line="360" w:lineRule="auto"/>
        <w:jc w:val="both"/>
        <w:rPr>
          <w:rFonts w:ascii="Times New Roman" w:hAnsi="Times New Roman"/>
          <w:lang w:val="en-US"/>
        </w:rPr>
      </w:pPr>
      <w:r>
        <w:rPr>
          <w:rFonts w:ascii="Times New Roman" w:hAnsi="Times New Roman"/>
          <w:rtl w:val="0"/>
          <w:lang w:val="en-US"/>
        </w:rPr>
        <w:t>Address differences before they escalate into constitutional disputes.</w:t>
      </w:r>
    </w:p>
    <w:p>
      <w:pPr>
        <w:pStyle w:val="Default"/>
        <w:numPr>
          <w:ilvl w:val="3"/>
          <w:numId w:val="2"/>
        </w:numPr>
        <w:suppressAutoHyphens w:val="1"/>
        <w:spacing w:before="0" w:after="240" w:line="360" w:lineRule="auto"/>
        <w:jc w:val="both"/>
        <w:rPr>
          <w:rFonts w:ascii="Times New Roman" w:hAnsi="Times New Roman"/>
          <w:lang w:val="en-US"/>
        </w:rPr>
      </w:pPr>
      <w:r>
        <w:rPr>
          <w:rFonts w:ascii="Times New Roman" w:hAnsi="Times New Roman"/>
          <w:rtl w:val="0"/>
          <w:lang w:val="en-US"/>
        </w:rPr>
        <w:t>Encourage the Governor to understand the priorities of the State government in real-time.</w:t>
      </w:r>
    </w:p>
    <w:p>
      <w:pPr>
        <w:pStyle w:val="Default"/>
        <w:suppressAutoHyphens w:val="1"/>
        <w:spacing w:before="0" w:after="299"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Balancing the Role of the Governor</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Governor</w:t>
      </w:r>
      <w:r>
        <w:rPr>
          <w:rFonts w:ascii="Times New Roman" w:hAnsi="Times New Roman" w:hint="default"/>
          <w:rtl w:val="1"/>
        </w:rPr>
        <w:t>’</w:t>
      </w:r>
      <w:r>
        <w:rPr>
          <w:rFonts w:ascii="Times New Roman" w:hAnsi="Times New Roman"/>
          <w:rtl w:val="0"/>
          <w:lang w:val="en-US"/>
        </w:rPr>
        <w:t>s constitutional position is designed to function as a safeguard against potential legislative excesses and as a constitutional intermediary, not as an obstructionist figure. The role is fundamentally that of a constitutional sentinel, with limited discretionary authority confined to specific circumstances. It is essential to strike a balance between legitimate constitutional oversight and the need to respect the State</w:t>
      </w:r>
      <w:r>
        <w:rPr>
          <w:rFonts w:ascii="Times New Roman" w:hAnsi="Times New Roman" w:hint="default"/>
          <w:rtl w:val="1"/>
        </w:rPr>
        <w:t>’</w:t>
      </w:r>
      <w:r>
        <w:rPr>
          <w:rFonts w:ascii="Times New Roman" w:hAnsi="Times New Roman"/>
          <w:rtl w:val="0"/>
          <w:lang w:val="en-US"/>
        </w:rPr>
        <w:t>s legislative autonomy. Prolonged interference or inaction by the Governor undermines the representative mandate of the elected State Legislature and can disrupt the smooth functioning of the federal structure.</w:t>
      </w:r>
      <w:r>
        <w:rPr>
          <w:rFonts w:ascii="Times New Roman" w:hAnsi="Times New Roman"/>
          <w:rtl w:val="0"/>
          <w:lang w:val="en-US"/>
        </w:rPr>
        <w:t xml:space="preserve"> </w:t>
      </w:r>
      <w:r>
        <w:rPr>
          <w:rFonts w:ascii="Times New Roman" w:hAnsi="Times New Roman"/>
          <w:rtl w:val="0"/>
          <w:lang w:val="en-US"/>
        </w:rPr>
        <w:t>To maintain this balance, it is imperative that the Governor</w:t>
      </w:r>
      <w:r>
        <w:rPr>
          <w:rFonts w:ascii="Times New Roman" w:hAnsi="Times New Roman" w:hint="default"/>
          <w:rtl w:val="1"/>
        </w:rPr>
        <w:t>’</w:t>
      </w:r>
      <w:r>
        <w:rPr>
          <w:rFonts w:ascii="Times New Roman" w:hAnsi="Times New Roman"/>
          <w:rtl w:val="0"/>
          <w:lang w:val="en-US"/>
        </w:rPr>
        <w:t>s interventions remain guided by constitutional conventions, timely action, and respect for the democratic process.</w:t>
      </w:r>
    </w:p>
    <w:p>
      <w:pPr>
        <w:pStyle w:val="Default"/>
        <w:suppressAutoHyphens w:val="1"/>
        <w:spacing w:before="0" w:after="240" w:line="360" w:lineRule="auto"/>
        <w:jc w:val="both"/>
        <w:rPr>
          <w:rFonts w:ascii="Times New Roman" w:cs="Times New Roman" w:hAnsi="Times New Roman" w:eastAsia="Times New Roman"/>
          <w:b w:val="1"/>
          <w:bCs w:val="1"/>
        </w:rPr>
      </w:pPr>
      <w:r>
        <w:rPr>
          <w:rFonts w:ascii="Times New Roman" w:hAnsi="Times New Roman"/>
          <w:b w:val="1"/>
          <w:bCs w:val="1"/>
          <w:rtl w:val="0"/>
          <w:lang w:val="en-US"/>
        </w:rPr>
        <w:t>Insights from Federal Democracies</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In comparative constitutional systems such as Australia and Canada, the Governor (or Governor-General) functions almost exclusively as a ceremonial head, bound by the advice of the Ministers in nearly all circumstances. These systems rely on well-established constitutional conventions that prevent the use of discretionary powers to impede governance. The Australian Constitution and the Canadian Westminster system provide practical models where the Governor</w:t>
      </w:r>
      <w:r>
        <w:rPr>
          <w:rFonts w:ascii="Times New Roman" w:hAnsi="Times New Roman" w:hint="default"/>
          <w:rtl w:val="1"/>
        </w:rPr>
        <w:t>’</w:t>
      </w:r>
      <w:r>
        <w:rPr>
          <w:rFonts w:ascii="Times New Roman" w:hAnsi="Times New Roman"/>
          <w:rtl w:val="0"/>
          <w:lang w:val="en-US"/>
        </w:rPr>
        <w:t>s role is largely symbolic and intended to uphold the legitimacy of the elected government without active interference in legislative processes.</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Although India</w:t>
      </w:r>
      <w:r>
        <w:rPr>
          <w:rFonts w:ascii="Times New Roman" w:hAnsi="Times New Roman" w:hint="default"/>
          <w:rtl w:val="1"/>
        </w:rPr>
        <w:t>’</w:t>
      </w:r>
      <w:r>
        <w:rPr>
          <w:rFonts w:ascii="Times New Roman" w:hAnsi="Times New Roman"/>
          <w:rtl w:val="0"/>
          <w:lang w:val="en-US"/>
        </w:rPr>
        <w:t>s constitutional structure allows for a broader scope of discretion in certain exceptional cases, the Indian framework could benefit from developing clearer conventions or statutory rules that restrict the Governor</w:t>
      </w:r>
      <w:r>
        <w:rPr>
          <w:rFonts w:ascii="Times New Roman" w:hAnsi="Times New Roman" w:hint="default"/>
          <w:rtl w:val="1"/>
        </w:rPr>
        <w:t>’</w:t>
      </w:r>
      <w:r>
        <w:rPr>
          <w:rFonts w:ascii="Times New Roman" w:hAnsi="Times New Roman"/>
          <w:rtl w:val="0"/>
          <w:lang w:val="en-US"/>
        </w:rPr>
        <w:t>s ability to delay or obstruct legislative procedures. This would ensure that the Governor acts in accordance with the spirit of responsible government and supports cooperative federalism.</w:t>
      </w:r>
    </w:p>
    <w:p>
      <w:pPr>
        <w:pStyle w:val="Default"/>
        <w:suppressAutoHyphens w:val="1"/>
        <w:spacing w:before="0" w:after="299" w:line="360" w:lineRule="auto"/>
        <w:jc w:val="both"/>
        <w:rPr>
          <w:rFonts w:ascii="Times New Roman" w:cs="Times New Roman" w:hAnsi="Times New Roman" w:eastAsia="Times New Roman"/>
          <w:b w:val="1"/>
          <w:bCs w:val="1"/>
        </w:rPr>
      </w:pPr>
      <w:r>
        <w:rPr>
          <w:rFonts w:ascii="Times New Roman" w:hAnsi="Times New Roman"/>
          <w:b w:val="1"/>
          <w:bCs w:val="1"/>
          <w:rtl w:val="0"/>
          <w:lang w:val="it-IT"/>
        </w:rPr>
        <w:t>Conclusion</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The case of </w:t>
      </w:r>
      <w:r>
        <w:rPr>
          <w:rFonts w:ascii="Times New Roman" w:hAnsi="Times New Roman"/>
          <w:i w:val="1"/>
          <w:iCs w:val="1"/>
          <w:rtl w:val="0"/>
          <w:lang w:val="en-US"/>
        </w:rPr>
        <w:t>State of Tamil Nadu v. Governor of Tamil Nadu</w:t>
      </w:r>
      <w:r>
        <w:rPr>
          <w:rFonts w:ascii="Times New Roman" w:hAnsi="Times New Roman"/>
          <w:rtl w:val="0"/>
          <w:lang w:val="en-US"/>
        </w:rPr>
        <w:t xml:space="preserve"> brings to the forefront the need for a more structured and time-bound approach to gubernatorial functions. While the Governor's role as a constitutional sentinel must be preserved, there is an urgent necessity to ensure that this role does not become a source of administrative stagnation.</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The exercise of gubernatorial discretion must align with the principles of constitutional morality, ethical governance, and reasonableness. Constitutional functionaries, including the Governor, are expected to uphold the trust reposed in their office by the Constitution. Extended periods of inaction or the use of discretion in a manner that frustrates the will of the Legislature can erode this trust.</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 xml:space="preserve">The Supreme Court, through cases such as </w:t>
      </w:r>
      <w:r>
        <w:rPr>
          <w:rFonts w:ascii="Times New Roman" w:hAnsi="Times New Roman"/>
          <w:i w:val="1"/>
          <w:iCs w:val="1"/>
          <w:rtl w:val="0"/>
          <w:lang w:val="en-US"/>
        </w:rPr>
        <w:t>Rameshwar Prasad v. Union of India</w:t>
      </w:r>
      <w:r>
        <w:rPr>
          <w:rFonts w:ascii="Times New Roman" w:hAnsi="Times New Roman"/>
          <w:rtl w:val="0"/>
          <w:lang w:val="en-US"/>
        </w:rPr>
        <w:t xml:space="preserve"> and </w:t>
      </w:r>
      <w:r>
        <w:rPr>
          <w:rFonts w:ascii="Times New Roman" w:hAnsi="Times New Roman"/>
          <w:i w:val="1"/>
          <w:iCs w:val="1"/>
          <w:rtl w:val="0"/>
          <w:lang w:val="en-US"/>
        </w:rPr>
        <w:t>State of Punjab v. Principal Secretary to the Governor of Punjab</w:t>
      </w:r>
      <w:r>
        <w:rPr>
          <w:rFonts w:ascii="Times New Roman" w:hAnsi="Times New Roman"/>
          <w:rtl w:val="0"/>
          <w:lang w:val="en-US"/>
        </w:rPr>
        <w:t>, has emphasised that all constitutional authorities must act within the framework of constitutional propriety, good faith, and reasonable timeframes. Failure to do so may not only warrant judicial scrutiny but also calls into question the ethical foundations of such constitutional conduct.</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Thus, to preserve the integrity of the Governor</w:t>
      </w:r>
      <w:r>
        <w:rPr>
          <w:rFonts w:ascii="Times New Roman" w:hAnsi="Times New Roman" w:hint="default"/>
          <w:rtl w:val="1"/>
        </w:rPr>
        <w:t>’</w:t>
      </w:r>
      <w:r>
        <w:rPr>
          <w:rFonts w:ascii="Times New Roman" w:hAnsi="Times New Roman"/>
          <w:rtl w:val="0"/>
          <w:lang w:val="en-US"/>
        </w:rPr>
        <w:t>s office, it is essential that gubernatorial decisions are exercised transparently, promptly, and within the constitutional boundaries. Inaction or delay, when prolonged, risks destabilising the democratic balance and can lead to a constitutional impasse that undermines both governance and public trust.</w:t>
      </w:r>
    </w:p>
    <w:p>
      <w:pPr>
        <w:pStyle w:val="Default"/>
        <w:suppressAutoHyphens w:val="1"/>
        <w:spacing w:before="0" w:after="240" w:line="360" w:lineRule="auto"/>
        <w:jc w:val="both"/>
        <w:rPr>
          <w:rFonts w:ascii="Times New Roman" w:cs="Times New Roman" w:hAnsi="Times New Roman" w:eastAsia="Times New Roman"/>
        </w:rPr>
      </w:pPr>
      <w:r>
        <w:rPr>
          <w:rFonts w:ascii="Times New Roman" w:hAnsi="Times New Roman"/>
          <w:rtl w:val="0"/>
          <w:lang w:val="en-US"/>
        </w:rPr>
        <w:t>Constructive solutions such as statutory timeframes, procedural clarity, and institutional engagement can help mitigate the challenges of inaction without compromising the dignity of the office. Ultimately, all constitutional authorities must adhere to the principle of cooperative governance to fulfil the constitutional promise of a vibrant and effective democracy.</w:t>
      </w:r>
    </w:p>
    <w:p>
      <w:pPr>
        <w:pStyle w:val="Default"/>
        <w:suppressAutoHyphens w:val="1"/>
        <w:spacing w:before="0" w:line="360" w:lineRule="auto"/>
        <w:rPr>
          <w:rFonts w:ascii="Times New Roman" w:cs="Times New Roman" w:hAnsi="Times New Roman" w:eastAsia="Times New Roman"/>
          <w:outline w:val="0"/>
          <w:color w:val="808080"/>
          <w14:textFill>
            <w14:solidFill>
              <w14:srgbClr w14:val="808080"/>
            </w14:solidFill>
          </w14:textFill>
        </w:rPr>
      </w:pPr>
    </w:p>
    <w:p>
      <w:pPr>
        <w:pStyle w:val="Default"/>
        <w:suppressAutoHyphens w:val="1"/>
        <w:spacing w:before="0" w:line="360" w:lineRule="auto"/>
        <w:rPr>
          <w:rFonts w:ascii="Times New Roman" w:cs="Times New Roman" w:hAnsi="Times New Roman" w:eastAsia="Times New Roman"/>
          <w:outline w:val="0"/>
          <w:color w:val="808080"/>
          <w14:textFill>
            <w14:solidFill>
              <w14:srgbClr w14:val="808080"/>
            </w14:solidFill>
          </w14:textFill>
        </w:rPr>
      </w:pPr>
    </w:p>
    <w:p>
      <w:pPr>
        <w:pStyle w:val="Default"/>
        <w:tabs>
          <w:tab w:val="left" w:pos="220"/>
          <w:tab w:val="left" w:pos="720"/>
        </w:tabs>
        <w:suppressAutoHyphens w:val="1"/>
        <w:spacing w:before="0" w:after="240" w:line="360" w:lineRule="auto"/>
        <w:ind w:left="720" w:hanging="720"/>
        <w:jc w:val="left"/>
      </w:pPr>
      <w:r>
        <w:rPr>
          <w:rFonts w:ascii="Times New Roman" w:cs="Times New Roman" w:hAnsi="Times New Roman" w:eastAsia="Times New Roman"/>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Footnote"/>
      </w:pPr>
      <w:r>
        <w:rPr>
          <w:sz w:val="24"/>
          <w:szCs w:val="24"/>
          <w:vertAlign w:val="superscript"/>
        </w:rPr>
        <w:footnoteRef/>
      </w:r>
      <w:r>
        <w:rPr>
          <w:sz w:val="24"/>
          <w:szCs w:val="24"/>
          <w:rtl w:val="0"/>
        </w:rPr>
        <w:t xml:space="preserve"> </w:t>
      </w:r>
      <w:r>
        <w:rPr>
          <w:rFonts w:ascii="Times New Roman" w:hAnsi="Times New Roman"/>
          <w:i w:val="1"/>
          <w:iCs w:val="1"/>
          <w:sz w:val="24"/>
          <w:szCs w:val="24"/>
          <w:rtl w:val="0"/>
          <w:lang w:val="en-US"/>
        </w:rPr>
        <w:t>State of Tamil Nadu v. Governor of Tamil Nadu</w:t>
      </w:r>
      <w:r>
        <w:rPr>
          <w:rFonts w:ascii="Times New Roman" w:hAnsi="Times New Roman"/>
          <w:sz w:val="24"/>
          <w:szCs w:val="24"/>
          <w:rtl w:val="0"/>
          <w:lang w:val="en-US"/>
        </w:rPr>
        <w:t>, Writ Petition (Civil) No. 267 of 2024, decided on Apr. 8, 2025 (India).</w:t>
      </w:r>
    </w:p>
  </w:footnote>
  <w:footnote w:id="2">
    <w:p>
      <w:pPr>
        <w:pStyle w:val="Footnote"/>
      </w:pPr>
      <w:r>
        <w:rPr>
          <w:sz w:val="24"/>
          <w:szCs w:val="24"/>
          <w:vertAlign w:val="superscript"/>
        </w:rPr>
        <w:footnoteRef/>
      </w:r>
      <w:r>
        <w:rPr>
          <w:sz w:val="24"/>
          <w:szCs w:val="24"/>
          <w:rtl w:val="0"/>
        </w:rPr>
        <w:t xml:space="preserve"> </w:t>
      </w:r>
      <w:r>
        <w:rPr>
          <w:rFonts w:ascii="Times New Roman" w:hAnsi="Times New Roman"/>
          <w:sz w:val="24"/>
          <w:szCs w:val="24"/>
          <w:rtl w:val="0"/>
          <w:lang w:val="en-US"/>
        </w:rPr>
        <w:t>Government of India, Sarkaria Commission, Report of the Commission on Centre-State Relations, Vol. I, (1988).</w:t>
      </w:r>
    </w:p>
  </w:footnote>
  <w:footnote w:id="3">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en-US"/>
        </w:rPr>
        <w:t xml:space="preserve"> Constitution of India art. 153.</w:t>
      </w:r>
    </w:p>
  </w:footnote>
  <w:footnote w:id="4">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en-US"/>
        </w:rPr>
        <w:t xml:space="preserve"> Constitution of India art. 154.</w:t>
      </w:r>
    </w:p>
  </w:footnote>
  <w:footnote w:id="5">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en-US"/>
        </w:rPr>
        <w:t xml:space="preserve"> Constitution of India art. 163.</w:t>
      </w:r>
    </w:p>
  </w:footnote>
  <w:footnote w:id="6">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en-US"/>
        </w:rPr>
        <w:t xml:space="preserve"> Constitution of India art. 200.</w:t>
      </w:r>
    </w:p>
  </w:footnote>
  <w:footnote w:id="7">
    <w:p>
      <w:pPr>
        <w:pStyle w:val="Footnote"/>
      </w:pPr>
      <w:r>
        <w:rPr>
          <w:sz w:val="24"/>
          <w:szCs w:val="24"/>
          <w:vertAlign w:val="superscript"/>
        </w:rPr>
        <w:footnoteRef/>
      </w:r>
      <w:r>
        <w:rPr>
          <w:rFonts w:ascii="Times New Roman" w:hAnsi="Times New Roman"/>
          <w:sz w:val="24"/>
          <w:szCs w:val="24"/>
          <w:rtl w:val="0"/>
        </w:rPr>
        <w:t xml:space="preserve"> </w:t>
      </w:r>
      <w:r>
        <w:rPr>
          <w:rFonts w:ascii="Times New Roman" w:hAnsi="Times New Roman"/>
          <w:i w:val="1"/>
          <w:iCs w:val="1"/>
          <w:sz w:val="24"/>
          <w:szCs w:val="24"/>
          <w:rtl w:val="0"/>
          <w:lang w:val="en-US"/>
        </w:rPr>
        <w:t>State of Tamil Nadu v. Governor of Tamil Nadu</w:t>
      </w:r>
      <w:r>
        <w:rPr>
          <w:rFonts w:ascii="Times New Roman" w:hAnsi="Times New Roman"/>
          <w:sz w:val="24"/>
          <w:szCs w:val="24"/>
          <w:rtl w:val="0"/>
          <w:lang w:val="en-US"/>
        </w:rPr>
        <w:t>, Writ Petition (Civil) No. 267 of 2024, decided on Apr. 8, 2025 (India).</w:t>
      </w:r>
    </w:p>
  </w:footnote>
  <w:footnote w:id="8">
    <w:p>
      <w:pPr>
        <w:pStyle w:val="Footnote"/>
      </w:pPr>
      <w:r>
        <w:rPr>
          <w:sz w:val="24"/>
          <w:szCs w:val="24"/>
          <w:vertAlign w:val="superscript"/>
        </w:rPr>
        <w:footnoteRef/>
      </w:r>
      <w:r>
        <w:rPr>
          <w:sz w:val="24"/>
          <w:szCs w:val="24"/>
          <w:rtl w:val="0"/>
        </w:rPr>
        <w:t xml:space="preserve"> </w:t>
      </w:r>
      <w:r>
        <w:rPr>
          <w:rFonts w:ascii="Times New Roman" w:hAnsi="Times New Roman"/>
          <w:sz w:val="24"/>
          <w:szCs w:val="24"/>
          <w:rtl w:val="0"/>
          <w:lang w:val="en-US"/>
        </w:rPr>
        <w:t>Shamsher Singh v. State of Punjab, (1974) 2 SCC 831.</w:t>
      </w:r>
    </w:p>
  </w:footnote>
  <w:footnote w:id="9">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de-DE"/>
        </w:rPr>
        <w:t xml:space="preserve"> Rameshwar Prasad v. Union of India, (2006) 2 SCC 1.</w:t>
      </w:r>
    </w:p>
  </w:footnote>
  <w:footnote w:id="10">
    <w:p>
      <w:pPr>
        <w:pStyle w:val="Footnote"/>
      </w:pPr>
      <w:r>
        <w:rPr>
          <w:sz w:val="24"/>
          <w:szCs w:val="24"/>
          <w:vertAlign w:val="superscript"/>
        </w:rPr>
        <w:footnoteRef/>
      </w:r>
      <w:r>
        <w:rPr>
          <w:sz w:val="24"/>
          <w:szCs w:val="24"/>
          <w:rtl w:val="0"/>
        </w:rPr>
        <w:t xml:space="preserve"> </w:t>
      </w:r>
      <w:r>
        <w:rPr>
          <w:rFonts w:ascii="Times New Roman" w:hAnsi="Times New Roman"/>
          <w:sz w:val="24"/>
          <w:szCs w:val="24"/>
          <w:rtl w:val="0"/>
          <w:lang w:val="it-IT"/>
        </w:rPr>
        <w:t>K.K. Bhattacharjee v. State of Tripura, (2005) 9 SCC 273.</w:t>
      </w:r>
    </w:p>
  </w:footnote>
  <w:footnote w:id="11">
    <w:p>
      <w:pPr>
        <w:pStyle w:val="Footnote"/>
      </w:pPr>
      <w:r>
        <w:rPr>
          <w:sz w:val="24"/>
          <w:szCs w:val="24"/>
          <w:vertAlign w:val="superscript"/>
        </w:rPr>
        <w:footnoteRef/>
      </w:r>
      <w:r>
        <w:rPr>
          <w:sz w:val="24"/>
          <w:szCs w:val="24"/>
          <w:rtl w:val="0"/>
        </w:rPr>
        <w:t xml:space="preserve"> </w:t>
      </w:r>
      <w:r>
        <w:rPr>
          <w:rFonts w:ascii="Times New Roman" w:hAnsi="Times New Roman"/>
          <w:sz w:val="24"/>
          <w:szCs w:val="24"/>
          <w:rtl w:val="0"/>
          <w:lang w:val="en-US"/>
        </w:rPr>
        <w:t>State of Punjab v. Principal Secretary to the Governor of Punjab, (2023) SCC OnLine SC 1171.</w:t>
      </w:r>
    </w:p>
  </w:footnote>
  <w:footnote w:id="12">
    <w:p>
      <w:pPr>
        <w:pStyle w:val="Footnote"/>
      </w:pPr>
      <w:r>
        <w:rPr>
          <w:sz w:val="24"/>
          <w:szCs w:val="24"/>
          <w:vertAlign w:val="superscript"/>
        </w:rPr>
        <w:footnoteRef/>
      </w:r>
      <w:r>
        <w:rPr>
          <w:sz w:val="24"/>
          <w:szCs w:val="24"/>
          <w:rtl w:val="0"/>
        </w:rPr>
        <w:t xml:space="preserve"> </w:t>
      </w:r>
      <w:r>
        <w:rPr>
          <w:rFonts w:ascii="Times New Roman" w:hAnsi="Times New Roman"/>
          <w:sz w:val="24"/>
          <w:szCs w:val="24"/>
          <w:rtl w:val="0"/>
          <w:lang w:val="en-US"/>
        </w:rPr>
        <w:t>Keisham Meghachandra Singh v. Speaker, Manipur Legislative Assembly, (2020) 4 SCC 627.</w:t>
      </w:r>
    </w:p>
  </w:footnote>
  <w:footnote w:id="13">
    <w:p>
      <w:pPr>
        <w:pStyle w:val="Footnote"/>
      </w:pPr>
      <w:r>
        <w:rPr>
          <w:rFonts w:ascii="Times New Roman" w:cs="Times New Roman" w:hAnsi="Times New Roman" w:eastAsia="Times New Roman"/>
          <w:sz w:val="24"/>
          <w:szCs w:val="24"/>
          <w:vertAlign w:val="superscript"/>
        </w:rPr>
        <w:footnoteRef/>
      </w:r>
      <w:r>
        <w:rPr>
          <w:rFonts w:ascii="Times New Roman" w:hAnsi="Times New Roman"/>
          <w:sz w:val="24"/>
          <w:szCs w:val="24"/>
          <w:rtl w:val="0"/>
          <w:lang w:val="en-US"/>
        </w:rPr>
        <w:t xml:space="preserve"> Punchhi Commission, Report of the Commission on Centre-State Relations, Government of India (2010).</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94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7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9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3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60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182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04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26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2480" w:hanging="500"/>
      </w:pPr>
      <w:rPr>
        <w:rFonts w:ascii="Times Roman" w:cs="Times Roman" w:hAnsi="Times Roman" w:eastAsia="Times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startOverride w:val="1"/>
      <w:lvl w:ilvl="0">
        <w:start w:val="1"/>
        <w:numFmt w:val="decimal"/>
        <w:suff w:val="tab"/>
        <w:lvlText w:val="%1."/>
        <w:lvlJc w:val="left"/>
        <w:pPr>
          <w:ind w:left="72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suff w:val="tab"/>
        <w:lvlText w:val="%2."/>
        <w:lvlJc w:val="left"/>
        <w:pPr>
          <w:ind w:left="94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suff w:val="tab"/>
        <w:lvlText w:val="%3."/>
        <w:lvlJc w:val="left"/>
        <w:pPr>
          <w:ind w:left="116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ind w:left="138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tab"/>
        <w:lvlText w:val="%5."/>
        <w:lvlJc w:val="left"/>
        <w:pPr>
          <w:ind w:left="160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suff w:val="tab"/>
        <w:lvlText w:val="%6."/>
        <w:lvlJc w:val="left"/>
        <w:pPr>
          <w:ind w:left="182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ind w:left="204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suff w:val="tab"/>
        <w:lvlText w:val="%8."/>
        <w:lvlJc w:val="left"/>
        <w:pPr>
          <w:ind w:left="226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suff w:val="tab"/>
        <w:lvlText w:val="%9."/>
        <w:lvlJc w:val="left"/>
        <w:pPr>
          <w:ind w:left="2480" w:hanging="500"/>
        </w:pPr>
        <w:rPr>
          <w:rFonts w:ascii="Times Roman" w:cs="Times Roman" w:hAnsi="Times Roman" w:eastAsia="Times Roman"/>
          <w:b w:val="1"/>
          <w:bCs w:val="1"/>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numbering" w:styleId="Bullet">
    <w:name w:val="Bullet"/>
    <w:pPr>
      <w:numPr>
        <w:numId w:val="1"/>
      </w:numPr>
    </w:pPr>
  </w:style>
  <w:style w:type="numbering" w:styleId="Numbered">
    <w:name w:val="Numbered"/>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