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2142029338"/>
        <w:docPartObj>
          <w:docPartGallery w:val="Cover Pages"/>
          <w:docPartUnique/>
        </w:docPartObj>
      </w:sdtPr>
      <w:sdtEndPr>
        <w:rPr>
          <w:rFonts w:ascii="Times New Roman" w:hAnsi="Times New Roman" w:cs="Times New Roman"/>
          <w:sz w:val="24"/>
          <w:szCs w:val="24"/>
        </w:rPr>
      </w:sdtEndPr>
      <w:sdtContent>
        <w:p w14:paraId="30E64C32" w14:textId="2FED5D87" w:rsidR="007205F5" w:rsidRDefault="007205F5">
          <w:r>
            <w:rPr>
              <w:noProof/>
            </w:rPr>
            <mc:AlternateContent>
              <mc:Choice Requires="wpg">
                <w:drawing>
                  <wp:anchor distT="0" distB="0" distL="114300" distR="114300" simplePos="0" relativeHeight="251659264" behindDoc="1" locked="0" layoutInCell="1" allowOverlap="1" wp14:anchorId="0E05EBD7" wp14:editId="14354A22">
                    <wp:simplePos x="0" y="0"/>
                    <wp:positionH relativeFrom="page">
                      <wp:align>center</wp:align>
                    </wp:positionH>
                    <wp:positionV relativeFrom="page">
                      <wp:align>center</wp:align>
                    </wp:positionV>
                    <wp:extent cx="6852920" cy="9142730"/>
                    <wp:effectExtent l="0" t="0" r="2540" b="133985"/>
                    <wp:wrapNone/>
                    <wp:docPr id="119" name="Group 121"/>
                    <wp:cNvGraphicFramePr/>
                    <a:graphic xmlns:a="http://schemas.openxmlformats.org/drawingml/2006/main">
                      <a:graphicData uri="http://schemas.microsoft.com/office/word/2010/wordprocessingGroup">
                        <wpg:wgp>
                          <wpg:cNvGrpSpPr/>
                          <wpg:grpSpPr>
                            <a:xfrm>
                              <a:off x="0" y="0"/>
                              <a:ext cx="6858000" cy="9271750"/>
                              <a:chOff x="0" y="0"/>
                              <a:chExt cx="6858000" cy="9271750"/>
                            </a:xfrm>
                          </wpg:grpSpPr>
                          <wps:wsp>
                            <wps:cNvPr id="120" name="Rectangle 120"/>
                            <wps:cNvSpPr/>
                            <wps:spPr>
                              <a:xfrm>
                                <a:off x="0" y="7315200"/>
                                <a:ext cx="6858000" cy="14318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1" name="Rectangle 121"/>
                            <wps:cNvSpPr/>
                            <wps:spPr>
                              <a:xfrm>
                                <a:off x="0" y="7439025"/>
                                <a:ext cx="6858000" cy="1832725"/>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rFonts w:ascii="Times New Roman" w:hAnsi="Times New Roman" w:cs="Times New Roman"/>
                                      <w:color w:val="FFFFFF" w:themeColor="background1"/>
                                      <w:sz w:val="36"/>
                                      <w:szCs w:val="36"/>
                                    </w:rPr>
                                    <w:alias w:val="Author"/>
                                    <w:tag w:val=""/>
                                    <w:id w:val="884141857"/>
                                    <w:dataBinding w:prefixMappings="xmlns:ns0='http://purl.org/dc/elements/1.1/' xmlns:ns1='http://schemas.openxmlformats.org/package/2006/metadata/core-properties' " w:xpath="/ns1:coreProperties[1]/ns0:creator[1]" w:storeItemID="{6C3C8BC8-F283-45AE-878A-BAB7291924A1}"/>
                                    <w:text/>
                                  </w:sdtPr>
                                  <w:sdtContent>
                                    <w:p w14:paraId="0C754AFB" w14:textId="66EEB45E" w:rsidR="007205F5" w:rsidRPr="00867FFE" w:rsidRDefault="007205F5">
                                      <w:pPr>
                                        <w:pStyle w:val="NoSpacing"/>
                                        <w:rPr>
                                          <w:rFonts w:ascii="Times New Roman" w:hAnsi="Times New Roman" w:cs="Times New Roman"/>
                                          <w:color w:val="FFFFFF" w:themeColor="background1"/>
                                          <w:sz w:val="36"/>
                                          <w:szCs w:val="36"/>
                                        </w:rPr>
                                      </w:pPr>
                                      <w:r w:rsidRPr="00867FFE">
                                        <w:rPr>
                                          <w:rFonts w:ascii="Times New Roman" w:hAnsi="Times New Roman" w:cs="Times New Roman"/>
                                          <w:color w:val="FFFFFF" w:themeColor="background1"/>
                                          <w:sz w:val="36"/>
                                          <w:szCs w:val="36"/>
                                        </w:rPr>
                                        <w:t>Abhay Pratap Singh</w:t>
                                      </w:r>
                                    </w:p>
                                  </w:sdtContent>
                                </w:sdt>
                                <w:p w14:paraId="0ACA325D" w14:textId="79A988E2" w:rsidR="007205F5" w:rsidRPr="00867FFE" w:rsidRDefault="00000000">
                                  <w:pPr>
                                    <w:pStyle w:val="NoSpacing"/>
                                    <w:rPr>
                                      <w:rFonts w:ascii="Times New Roman" w:hAnsi="Times New Roman" w:cs="Times New Roman"/>
                                      <w:caps/>
                                      <w:color w:val="FFFFFF" w:themeColor="background1"/>
                                      <w:sz w:val="24"/>
                                      <w:szCs w:val="24"/>
                                    </w:rPr>
                                  </w:pPr>
                                  <w:sdt>
                                    <w:sdtPr>
                                      <w:rPr>
                                        <w:rFonts w:ascii="Times New Roman" w:hAnsi="Times New Roman" w:cs="Times New Roman"/>
                                        <w:caps/>
                                        <w:color w:val="FFFFFF" w:themeColor="background1"/>
                                        <w:sz w:val="24"/>
                                        <w:szCs w:val="24"/>
                                      </w:rPr>
                                      <w:alias w:val="Company"/>
                                      <w:tag w:val=""/>
                                      <w:id w:val="922067218"/>
                                      <w:dataBinding w:prefixMappings="xmlns:ns0='http://schemas.openxmlformats.org/officeDocument/2006/extended-properties' " w:xpath="/ns0:Properties[1]/ns0:Company[1]" w:storeItemID="{6668398D-A668-4E3E-A5EB-62B293D839F1}"/>
                                      <w:text/>
                                    </w:sdtPr>
                                    <w:sdtContent>
                                      <w:r w:rsidR="00867FFE" w:rsidRPr="00867FFE">
                                        <w:rPr>
                                          <w:rFonts w:ascii="Times New Roman" w:hAnsi="Times New Roman" w:cs="Times New Roman"/>
                                          <w:caps/>
                                          <w:color w:val="FFFFFF" w:themeColor="background1"/>
                                          <w:sz w:val="24"/>
                                          <w:szCs w:val="24"/>
                                        </w:rPr>
                                        <w:t>2nd Year Student</w:t>
                                      </w:r>
                                    </w:sdtContent>
                                  </w:sdt>
                                  <w:r w:rsidR="007205F5" w:rsidRPr="00867FFE">
                                    <w:rPr>
                                      <w:rFonts w:ascii="Times New Roman" w:hAnsi="Times New Roman" w:cs="Times New Roman"/>
                                      <w:caps/>
                                      <w:color w:val="FFFFFF" w:themeColor="background1"/>
                                      <w:sz w:val="24"/>
                                      <w:szCs w:val="24"/>
                                    </w:rPr>
                                    <w:t xml:space="preserve"> | </w:t>
                                  </w:r>
                                  <w:sdt>
                                    <w:sdtPr>
                                      <w:rPr>
                                        <w:rFonts w:ascii="Times New Roman" w:hAnsi="Times New Roman" w:cs="Times New Roman"/>
                                        <w:caps/>
                                        <w:color w:val="FFFFFF" w:themeColor="background1"/>
                                        <w:sz w:val="24"/>
                                        <w:szCs w:val="24"/>
                                      </w:rPr>
                                      <w:alias w:val="Address"/>
                                      <w:tag w:val=""/>
                                      <w:id w:val="2113163453"/>
                                      <w:dataBinding w:prefixMappings="xmlns:ns0='http://schemas.microsoft.com/office/2006/coverPageProps' " w:xpath="/ns0:CoverPageProperties[1]/ns0:CompanyAddress[1]" w:storeItemID="{55AF091B-3C7A-41E3-B477-F2FDAA23CFDA}"/>
                                      <w:text/>
                                    </w:sdtPr>
                                    <w:sdtContent>
                                      <w:r w:rsidR="00867FFE" w:rsidRPr="00867FFE">
                                        <w:rPr>
                                          <w:rFonts w:ascii="Times New Roman" w:hAnsi="Times New Roman" w:cs="Times New Roman"/>
                                          <w:caps/>
                                          <w:color w:val="FFFFFF" w:themeColor="background1"/>
                                          <w:sz w:val="24"/>
                                          <w:szCs w:val="24"/>
                                        </w:rPr>
                                        <w:t>Law college Dehradun, Uttaranchal university</w:t>
                                      </w:r>
                                    </w:sdtContent>
                                  </w:sdt>
                                </w:p>
                                <w:p w14:paraId="1365BE6F" w14:textId="77777777" w:rsidR="00867FFE" w:rsidRDefault="00867FFE"/>
                              </w:txbxContent>
                            </wps:txbx>
                            <wps:bodyPr rot="0" spcFirstLastPara="0" vertOverflow="overflow" horzOverflow="overflow" vert="horz" wrap="square" lIns="457200" tIns="182880" rIns="457200" bIns="457200" numCol="1" spcCol="0" rtlCol="0" fromWordArt="0" anchor="b" anchorCtr="0" forceAA="0" compatLnSpc="1">
                              <a:prstTxWarp prst="textNoShape">
                                <a:avLst/>
                              </a:prstTxWarp>
                              <a:noAutofit/>
                            </wps:bodyPr>
                          </wps:wsp>
                          <wps:wsp>
                            <wps:cNvPr id="122" name="Text Box 122"/>
                            <wps:cNvSpPr txBox="1"/>
                            <wps:spPr>
                              <a:xfrm>
                                <a:off x="0" y="0"/>
                                <a:ext cx="6858000" cy="73152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Theme="majorHAnsi" w:eastAsiaTheme="majorEastAsia" w:hAnsiTheme="majorHAnsi" w:cstheme="majorBidi"/>
                                      <w:color w:val="595959" w:themeColor="text1" w:themeTint="A6"/>
                                      <w:sz w:val="108"/>
                                      <w:szCs w:val="108"/>
                                    </w:rPr>
                                    <w:alias w:val="Title"/>
                                    <w:tag w:val=""/>
                                    <w:id w:val="-1476986296"/>
                                    <w:dataBinding w:prefixMappings="xmlns:ns0='http://purl.org/dc/elements/1.1/' xmlns:ns1='http://schemas.openxmlformats.org/package/2006/metadata/core-properties' " w:xpath="/ns1:coreProperties[1]/ns0:title[1]" w:storeItemID="{6C3C8BC8-F283-45AE-878A-BAB7291924A1}"/>
                                    <w:text/>
                                  </w:sdtPr>
                                  <w:sdtContent>
                                    <w:p w14:paraId="09FACF96" w14:textId="081C581C" w:rsidR="007205F5" w:rsidRDefault="007205F5">
                                      <w:pPr>
                                        <w:pStyle w:val="NoSpacing"/>
                                        <w:pBdr>
                                          <w:bottom w:val="single" w:sz="6" w:space="4" w:color="7F7F7F" w:themeColor="text1" w:themeTint="80"/>
                                        </w:pBdr>
                                        <w:rPr>
                                          <w:rFonts w:asciiTheme="majorHAnsi" w:eastAsiaTheme="majorEastAsia" w:hAnsiTheme="majorHAnsi" w:cstheme="majorBidi"/>
                                          <w:color w:val="595959" w:themeColor="text1" w:themeTint="A6"/>
                                          <w:sz w:val="108"/>
                                          <w:szCs w:val="108"/>
                                        </w:rPr>
                                      </w:pPr>
                                      <w:r>
                                        <w:rPr>
                                          <w:rFonts w:asciiTheme="majorHAnsi" w:eastAsiaTheme="majorEastAsia" w:hAnsiTheme="majorHAnsi" w:cstheme="majorBidi"/>
                                          <w:color w:val="595959" w:themeColor="text1" w:themeTint="A6"/>
                                          <w:sz w:val="108"/>
                                          <w:szCs w:val="108"/>
                                        </w:rPr>
                                        <w:t>Judicial Accountability and Veeraswami Ruling</w:t>
                                      </w:r>
                                    </w:p>
                                  </w:sdtContent>
                                </w:sdt>
                                <w:sdt>
                                  <w:sdtPr>
                                    <w:rPr>
                                      <w:caps/>
                                      <w:color w:val="44546A" w:themeColor="text2"/>
                                      <w:sz w:val="36"/>
                                      <w:szCs w:val="36"/>
                                    </w:rPr>
                                    <w:alias w:val="Subtitle"/>
                                    <w:tag w:val=""/>
                                    <w:id w:val="157346227"/>
                                    <w:dataBinding w:prefixMappings="xmlns:ns0='http://purl.org/dc/elements/1.1/' xmlns:ns1='http://schemas.openxmlformats.org/package/2006/metadata/core-properties' " w:xpath="/ns1:coreProperties[1]/ns0:subject[1]" w:storeItemID="{6C3C8BC8-F283-45AE-878A-BAB7291924A1}"/>
                                    <w:text/>
                                  </w:sdtPr>
                                  <w:sdtContent>
                                    <w:p w14:paraId="75FA7100" w14:textId="42373CEF" w:rsidR="007205F5" w:rsidRPr="00867FFE" w:rsidRDefault="007205F5">
                                      <w:pPr>
                                        <w:pStyle w:val="NoSpacing"/>
                                        <w:spacing w:before="240"/>
                                        <w:rPr>
                                          <w:caps/>
                                          <w:color w:val="44546A" w:themeColor="text2"/>
                                          <w:sz w:val="36"/>
                                          <w:szCs w:val="36"/>
                                        </w:rPr>
                                      </w:pPr>
                                      <w:r w:rsidRPr="00867FFE">
                                        <w:rPr>
                                          <w:caps/>
                                          <w:color w:val="44546A" w:themeColor="text2"/>
                                          <w:sz w:val="36"/>
                                          <w:szCs w:val="36"/>
                                        </w:rPr>
                                        <w:t>Understanding the Judicial Accountability</w:t>
                                      </w:r>
                                      <w:r w:rsidR="00867FFE" w:rsidRPr="00867FFE">
                                        <w:rPr>
                                          <w:caps/>
                                          <w:color w:val="44546A" w:themeColor="text2"/>
                                          <w:sz w:val="36"/>
                                          <w:szCs w:val="36"/>
                                        </w:rPr>
                                        <w:t xml:space="preserve"> with the help of Present Scen</w:t>
                                      </w:r>
                                      <w:r w:rsidR="00184BBC">
                                        <w:rPr>
                                          <w:caps/>
                                          <w:color w:val="44546A" w:themeColor="text2"/>
                                          <w:sz w:val="36"/>
                                          <w:szCs w:val="36"/>
                                        </w:rPr>
                                        <w:t>A</w:t>
                                      </w:r>
                                      <w:r w:rsidR="00867FFE" w:rsidRPr="00867FFE">
                                        <w:rPr>
                                          <w:caps/>
                                          <w:color w:val="44546A" w:themeColor="text2"/>
                                          <w:sz w:val="36"/>
                                          <w:szCs w:val="36"/>
                                        </w:rPr>
                                        <w:t>rios</w:t>
                                      </w:r>
                                    </w:p>
                                  </w:sdtContent>
                                </w:sdt>
                              </w:txbxContent>
                            </wps:txbx>
                            <wps:bodyPr rot="0" spcFirstLastPara="0" vertOverflow="overflow" horzOverflow="overflow" vert="horz" wrap="square" lIns="457200" tIns="457200" rIns="457200" bIns="457200" numCol="1" spcCol="0" rtlCol="0" fromWordArt="0" anchor="ctr" anchorCtr="0" forceAA="0" compatLnSpc="1">
                              <a:prstTxWarp prst="textNoShape">
                                <a:avLst/>
                              </a:prstTxWarp>
                              <a:noAutofit/>
                            </wps:bodyPr>
                          </wps:wsp>
                        </wpg:wgp>
                      </a:graphicData>
                    </a:graphic>
                    <wp14:sizeRelH relativeFrom="page">
                      <wp14:pctWidth>88200</wp14:pctWidth>
                    </wp14:sizeRelH>
                    <wp14:sizeRelV relativeFrom="page">
                      <wp14:pctHeight>90900</wp14:pctHeight>
                    </wp14:sizeRelV>
                  </wp:anchor>
                </w:drawing>
              </mc:Choice>
              <mc:Fallback>
                <w:pict>
                  <v:group w14:anchorId="0E05EBD7" id="Group 121" o:spid="_x0000_s1026" style="position:absolute;margin-left:0;margin-top:0;width:539.6pt;height:719.9pt;z-index:-251657216;mso-width-percent:882;mso-height-percent:909;mso-position-horizontal:center;mso-position-horizontal-relative:page;mso-position-vertical:center;mso-position-vertical-relative:page;mso-width-percent:882;mso-height-percent:909" coordsize="68580,927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">
                    <v:rect id="Rectangle 120" o:spid="_x0000_s1027" style="position:absolute;top:73152;width:68580;height:14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" fillcolor="#4472c4 [3204]" stroked="f" strokeweight="1pt"/>
                    <v:rect id="Rectangle 121" o:spid="_x0000_s1028" style="position:absolute;top:74390;width:68580;height:18327;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" fillcolor="#ed7d31 [3205]" stroked="f" strokeweight="1pt">
                      <v:textbox inset="36pt,14.4pt,36pt,36pt">
                        <w:txbxContent>
                          <w:sdt>
                            <w:sdtPr>
                              <w:rPr>
                                <w:rFonts w:ascii="Times New Roman" w:hAnsi="Times New Roman" w:cs="Times New Roman"/>
                                <w:color w:val="FFFFFF" w:themeColor="background1"/>
                                <w:sz w:val="36"/>
                                <w:szCs w:val="36"/>
                              </w:rPr>
                              <w:alias w:val="Author"/>
                              <w:tag w:val=""/>
                              <w:id w:val="884141857"/>
                              <w:dataBinding w:prefixMappings="xmlns:ns0='http://purl.org/dc/elements/1.1/' xmlns:ns1='http://schemas.openxmlformats.org/package/2006/metadata/core-properties' " w:xpath="/ns1:coreProperties[1]/ns0:creator[1]" w:storeItemID="{6C3C8BC8-F283-45AE-878A-BAB7291924A1}"/>
                              <w:text/>
                            </w:sdtPr>
                            <w:sdtContent>
                              <w:p w14:paraId="0C754AFB" w14:textId="66EEB45E" w:rsidR="007205F5" w:rsidRPr="00867FFE" w:rsidRDefault="007205F5">
                                <w:pPr>
                                  <w:pStyle w:val="NoSpacing"/>
                                  <w:rPr>
                                    <w:rFonts w:ascii="Times New Roman" w:hAnsi="Times New Roman" w:cs="Times New Roman"/>
                                    <w:color w:val="FFFFFF" w:themeColor="background1"/>
                                    <w:sz w:val="36"/>
                                    <w:szCs w:val="36"/>
                                  </w:rPr>
                                </w:pPr>
                                <w:r w:rsidRPr="00867FFE">
                                  <w:rPr>
                                    <w:rFonts w:ascii="Times New Roman" w:hAnsi="Times New Roman" w:cs="Times New Roman"/>
                                    <w:color w:val="FFFFFF" w:themeColor="background1"/>
                                    <w:sz w:val="36"/>
                                    <w:szCs w:val="36"/>
                                  </w:rPr>
                                  <w:t>Abhay Pratap Singh</w:t>
                                </w:r>
                              </w:p>
                            </w:sdtContent>
                          </w:sdt>
                          <w:p w14:paraId="0ACA325D" w14:textId="79A988E2" w:rsidR="007205F5" w:rsidRPr="00867FFE" w:rsidRDefault="00000000">
                            <w:pPr>
                              <w:pStyle w:val="NoSpacing"/>
                              <w:rPr>
                                <w:rFonts w:ascii="Times New Roman" w:hAnsi="Times New Roman" w:cs="Times New Roman"/>
                                <w:caps/>
                                <w:color w:val="FFFFFF" w:themeColor="background1"/>
                                <w:sz w:val="24"/>
                                <w:szCs w:val="24"/>
                              </w:rPr>
                            </w:pPr>
                            <w:sdt>
                              <w:sdtPr>
                                <w:rPr>
                                  <w:rFonts w:ascii="Times New Roman" w:hAnsi="Times New Roman" w:cs="Times New Roman"/>
                                  <w:caps/>
                                  <w:color w:val="FFFFFF" w:themeColor="background1"/>
                                  <w:sz w:val="24"/>
                                  <w:szCs w:val="24"/>
                                </w:rPr>
                                <w:alias w:val="Company"/>
                                <w:tag w:val=""/>
                                <w:id w:val="922067218"/>
                                <w:dataBinding w:prefixMappings="xmlns:ns0='http://schemas.openxmlformats.org/officeDocument/2006/extended-properties' " w:xpath="/ns0:Properties[1]/ns0:Company[1]" w:storeItemID="{6668398D-A668-4E3E-A5EB-62B293D839F1}"/>
                                <w:text/>
                              </w:sdtPr>
                              <w:sdtContent>
                                <w:r w:rsidR="00867FFE" w:rsidRPr="00867FFE">
                                  <w:rPr>
                                    <w:rFonts w:ascii="Times New Roman" w:hAnsi="Times New Roman" w:cs="Times New Roman"/>
                                    <w:caps/>
                                    <w:color w:val="FFFFFF" w:themeColor="background1"/>
                                    <w:sz w:val="24"/>
                                    <w:szCs w:val="24"/>
                                  </w:rPr>
                                  <w:t>2nd Year Student</w:t>
                                </w:r>
                              </w:sdtContent>
                            </w:sdt>
                            <w:r w:rsidR="007205F5" w:rsidRPr="00867FFE">
                              <w:rPr>
                                <w:rFonts w:ascii="Times New Roman" w:hAnsi="Times New Roman" w:cs="Times New Roman"/>
                                <w:caps/>
                                <w:color w:val="FFFFFF" w:themeColor="background1"/>
                                <w:sz w:val="24"/>
                                <w:szCs w:val="24"/>
                              </w:rPr>
                              <w:t xml:space="preserve"> | </w:t>
                            </w:r>
                            <w:sdt>
                              <w:sdtPr>
                                <w:rPr>
                                  <w:rFonts w:ascii="Times New Roman" w:hAnsi="Times New Roman" w:cs="Times New Roman"/>
                                  <w:caps/>
                                  <w:color w:val="FFFFFF" w:themeColor="background1"/>
                                  <w:sz w:val="24"/>
                                  <w:szCs w:val="24"/>
                                </w:rPr>
                                <w:alias w:val="Address"/>
                                <w:tag w:val=""/>
                                <w:id w:val="2113163453"/>
                                <w:dataBinding w:prefixMappings="xmlns:ns0='http://schemas.microsoft.com/office/2006/coverPageProps' " w:xpath="/ns0:CoverPageProperties[1]/ns0:CompanyAddress[1]" w:storeItemID="{55AF091B-3C7A-41E3-B477-F2FDAA23CFDA}"/>
                                <w:text/>
                              </w:sdtPr>
                              <w:sdtContent>
                                <w:r w:rsidR="00867FFE" w:rsidRPr="00867FFE">
                                  <w:rPr>
                                    <w:rFonts w:ascii="Times New Roman" w:hAnsi="Times New Roman" w:cs="Times New Roman"/>
                                    <w:caps/>
                                    <w:color w:val="FFFFFF" w:themeColor="background1"/>
                                    <w:sz w:val="24"/>
                                    <w:szCs w:val="24"/>
                                  </w:rPr>
                                  <w:t>Law college Dehradun, Uttaranchal university</w:t>
                                </w:r>
                              </w:sdtContent>
                            </w:sdt>
                          </w:p>
                          <w:p w14:paraId="1365BE6F" w14:textId="77777777" w:rsidR="00867FFE" w:rsidRDefault="00867FFE"/>
                        </w:txbxContent>
                      </v:textbox>
                    </v:rect>
                    <v:shapetype id="_x0000_t202" coordsize="21600,21600" o:spt="202" path="m,l,21600r21600,l21600,xe">
                      <v:stroke joinstyle="miter"/>
                      <v:path gradientshapeok="t" o:connecttype="rect"/>
                    </v:shapetype>
                    <v:shape id="Text Box 122" o:spid="_x0000_s1029" type="#_x0000_t202" style="position:absolute;width:68580;height:731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" filled="f" stroked="f" strokeweight=".5pt">
                      <v:textbox inset="36pt,36pt,36pt,36pt">
                        <w:txbxContent>
                          <w:sdt>
                            <w:sdtPr>
                              <w:rPr>
                                <w:rFonts w:asciiTheme="majorHAnsi" w:eastAsiaTheme="majorEastAsia" w:hAnsiTheme="majorHAnsi" w:cstheme="majorBidi"/>
                                <w:color w:val="595959" w:themeColor="text1" w:themeTint="A6"/>
                                <w:sz w:val="108"/>
                                <w:szCs w:val="108"/>
                              </w:rPr>
                              <w:alias w:val="Title"/>
                              <w:tag w:val=""/>
                              <w:id w:val="-1476986296"/>
                              <w:dataBinding w:prefixMappings="xmlns:ns0='http://purl.org/dc/elements/1.1/' xmlns:ns1='http://schemas.openxmlformats.org/package/2006/metadata/core-properties' " w:xpath="/ns1:coreProperties[1]/ns0:title[1]" w:storeItemID="{6C3C8BC8-F283-45AE-878A-BAB7291924A1}"/>
                              <w:text/>
                            </w:sdtPr>
                            <w:sdtContent>
                              <w:p w14:paraId="09FACF96" w14:textId="081C581C" w:rsidR="007205F5" w:rsidRDefault="007205F5">
                                <w:pPr>
                                  <w:pStyle w:val="NoSpacing"/>
                                  <w:pBdr>
                                    <w:bottom w:val="single" w:sz="6" w:space="4" w:color="7F7F7F" w:themeColor="text1" w:themeTint="80"/>
                                  </w:pBdr>
                                  <w:rPr>
                                    <w:rFonts w:asciiTheme="majorHAnsi" w:eastAsiaTheme="majorEastAsia" w:hAnsiTheme="majorHAnsi" w:cstheme="majorBidi"/>
                                    <w:color w:val="595959" w:themeColor="text1" w:themeTint="A6"/>
                                    <w:sz w:val="108"/>
                                    <w:szCs w:val="108"/>
                                  </w:rPr>
                                </w:pPr>
                                <w:r>
                                  <w:rPr>
                                    <w:rFonts w:asciiTheme="majorHAnsi" w:eastAsiaTheme="majorEastAsia" w:hAnsiTheme="majorHAnsi" w:cstheme="majorBidi"/>
                                    <w:color w:val="595959" w:themeColor="text1" w:themeTint="A6"/>
                                    <w:sz w:val="108"/>
                                    <w:szCs w:val="108"/>
                                  </w:rPr>
                                  <w:t>Judicial Accountability and Veeraswami Ruling</w:t>
                                </w:r>
                              </w:p>
                            </w:sdtContent>
                          </w:sdt>
                          <w:sdt>
                            <w:sdtPr>
                              <w:rPr>
                                <w:caps/>
                                <w:color w:val="44546A" w:themeColor="text2"/>
                                <w:sz w:val="36"/>
                                <w:szCs w:val="36"/>
                              </w:rPr>
                              <w:alias w:val="Subtitle"/>
                              <w:tag w:val=""/>
                              <w:id w:val="157346227"/>
                              <w:dataBinding w:prefixMappings="xmlns:ns0='http://purl.org/dc/elements/1.1/' xmlns:ns1='http://schemas.openxmlformats.org/package/2006/metadata/core-properties' " w:xpath="/ns1:coreProperties[1]/ns0:subject[1]" w:storeItemID="{6C3C8BC8-F283-45AE-878A-BAB7291924A1}"/>
                              <w:text/>
                            </w:sdtPr>
                            <w:sdtContent>
                              <w:p w14:paraId="75FA7100" w14:textId="42373CEF" w:rsidR="007205F5" w:rsidRPr="00867FFE" w:rsidRDefault="007205F5">
                                <w:pPr>
                                  <w:pStyle w:val="NoSpacing"/>
                                  <w:spacing w:before="240"/>
                                  <w:rPr>
                                    <w:caps/>
                                    <w:color w:val="44546A" w:themeColor="text2"/>
                                    <w:sz w:val="36"/>
                                    <w:szCs w:val="36"/>
                                  </w:rPr>
                                </w:pPr>
                                <w:r w:rsidRPr="00867FFE">
                                  <w:rPr>
                                    <w:caps/>
                                    <w:color w:val="44546A" w:themeColor="text2"/>
                                    <w:sz w:val="36"/>
                                    <w:szCs w:val="36"/>
                                  </w:rPr>
                                  <w:t>Understanding the Judicial Accountability</w:t>
                                </w:r>
                                <w:r w:rsidR="00867FFE" w:rsidRPr="00867FFE">
                                  <w:rPr>
                                    <w:caps/>
                                    <w:color w:val="44546A" w:themeColor="text2"/>
                                    <w:sz w:val="36"/>
                                    <w:szCs w:val="36"/>
                                  </w:rPr>
                                  <w:t xml:space="preserve"> with the help of Present Scen</w:t>
                                </w:r>
                                <w:r w:rsidR="00184BBC">
                                  <w:rPr>
                                    <w:caps/>
                                    <w:color w:val="44546A" w:themeColor="text2"/>
                                    <w:sz w:val="36"/>
                                    <w:szCs w:val="36"/>
                                  </w:rPr>
                                  <w:t>A</w:t>
                                </w:r>
                                <w:r w:rsidR="00867FFE" w:rsidRPr="00867FFE">
                                  <w:rPr>
                                    <w:caps/>
                                    <w:color w:val="44546A" w:themeColor="text2"/>
                                    <w:sz w:val="36"/>
                                    <w:szCs w:val="36"/>
                                  </w:rPr>
                                  <w:t>rios</w:t>
                                </w:r>
                              </w:p>
                            </w:sdtContent>
                          </w:sdt>
                        </w:txbxContent>
                      </v:textbox>
                    </v:shape>
                    <w10:wrap anchorx="page" anchory="page"/>
                  </v:group>
                </w:pict>
              </mc:Fallback>
            </mc:AlternateContent>
          </w:r>
        </w:p>
        <w:p w14:paraId="7D428FF7" w14:textId="3E81374B" w:rsidR="007205F5" w:rsidRDefault="007205F5">
          <w:pPr>
            <w:rPr>
              <w:rFonts w:ascii="Times New Roman" w:hAnsi="Times New Roman" w:cs="Times New Roman"/>
              <w:sz w:val="24"/>
              <w:szCs w:val="24"/>
            </w:rPr>
          </w:pPr>
          <w:r>
            <w:rPr>
              <w:rFonts w:ascii="Times New Roman" w:hAnsi="Times New Roman" w:cs="Times New Roman"/>
              <w:sz w:val="24"/>
              <w:szCs w:val="24"/>
            </w:rPr>
            <w:br w:type="page"/>
          </w:r>
        </w:p>
      </w:sdtContent>
    </w:sdt>
    <w:p w14:paraId="67964F83" w14:textId="77777777" w:rsidR="003F37EC" w:rsidRDefault="003F37EC" w:rsidP="003F37EC">
      <w:pPr>
        <w:spacing w:line="276" w:lineRule="auto"/>
        <w:jc w:val="center"/>
        <w:rPr>
          <w:rFonts w:ascii="Times New Roman" w:hAnsi="Times New Roman" w:cs="Times New Roman"/>
          <w:b/>
          <w:bCs/>
          <w:sz w:val="32"/>
          <w:szCs w:val="32"/>
        </w:rPr>
      </w:pPr>
    </w:p>
    <w:p w14:paraId="58A14658" w14:textId="77777777" w:rsidR="00592726" w:rsidRDefault="00592726" w:rsidP="00592726">
      <w:pPr>
        <w:spacing w:line="276" w:lineRule="auto"/>
        <w:rPr>
          <w:rFonts w:ascii="Times New Roman" w:hAnsi="Times New Roman" w:cs="Times New Roman"/>
          <w:b/>
          <w:bCs/>
          <w:sz w:val="32"/>
          <w:szCs w:val="32"/>
        </w:rPr>
      </w:pPr>
    </w:p>
    <w:p w14:paraId="3475AFA8" w14:textId="77777777" w:rsidR="00592726" w:rsidRDefault="00592726" w:rsidP="00592726">
      <w:pPr>
        <w:spacing w:line="276" w:lineRule="auto"/>
        <w:rPr>
          <w:rFonts w:ascii="Times New Roman" w:hAnsi="Times New Roman" w:cs="Times New Roman"/>
          <w:b/>
          <w:bCs/>
          <w:sz w:val="32"/>
          <w:szCs w:val="32"/>
        </w:rPr>
      </w:pPr>
    </w:p>
    <w:p w14:paraId="68D410DB" w14:textId="77777777" w:rsidR="003F37EC" w:rsidRDefault="003F37EC" w:rsidP="003F37EC">
      <w:pPr>
        <w:spacing w:line="276" w:lineRule="auto"/>
        <w:jc w:val="center"/>
        <w:rPr>
          <w:rFonts w:ascii="Times New Roman" w:hAnsi="Times New Roman" w:cs="Times New Roman"/>
          <w:b/>
          <w:bCs/>
          <w:sz w:val="32"/>
          <w:szCs w:val="32"/>
        </w:rPr>
      </w:pPr>
    </w:p>
    <w:p w14:paraId="1481DA65" w14:textId="77777777" w:rsidR="003F37EC" w:rsidRDefault="003F37EC" w:rsidP="003F37EC">
      <w:pPr>
        <w:spacing w:line="276" w:lineRule="auto"/>
        <w:jc w:val="center"/>
        <w:rPr>
          <w:rFonts w:ascii="Times New Roman" w:hAnsi="Times New Roman" w:cs="Times New Roman"/>
          <w:b/>
          <w:bCs/>
          <w:sz w:val="32"/>
          <w:szCs w:val="32"/>
        </w:rPr>
      </w:pPr>
    </w:p>
    <w:p w14:paraId="7DC53BA8" w14:textId="54A421F1" w:rsidR="003F37EC" w:rsidRDefault="003F37EC" w:rsidP="003F37EC">
      <w:pPr>
        <w:spacing w:line="276" w:lineRule="auto"/>
        <w:jc w:val="center"/>
        <w:rPr>
          <w:rFonts w:ascii="Times New Roman" w:hAnsi="Times New Roman" w:cs="Times New Roman"/>
          <w:b/>
          <w:bCs/>
          <w:sz w:val="32"/>
          <w:szCs w:val="32"/>
        </w:rPr>
      </w:pPr>
      <w:r>
        <w:rPr>
          <w:rFonts w:ascii="Times New Roman" w:hAnsi="Times New Roman" w:cs="Times New Roman"/>
          <w:b/>
          <w:bCs/>
          <w:sz w:val="32"/>
          <w:szCs w:val="32"/>
        </w:rPr>
        <w:t>Summer Internship Task</w:t>
      </w:r>
    </w:p>
    <w:p w14:paraId="128EA647" w14:textId="77777777" w:rsidR="003F37EC" w:rsidRDefault="003F37EC" w:rsidP="003F37EC">
      <w:pPr>
        <w:spacing w:line="276" w:lineRule="auto"/>
        <w:jc w:val="center"/>
        <w:rPr>
          <w:rFonts w:ascii="Times New Roman" w:hAnsi="Times New Roman" w:cs="Times New Roman"/>
          <w:b/>
          <w:bCs/>
          <w:sz w:val="32"/>
          <w:szCs w:val="32"/>
        </w:rPr>
      </w:pPr>
      <w:r>
        <w:rPr>
          <w:rFonts w:ascii="Times New Roman" w:hAnsi="Times New Roman" w:cs="Times New Roman"/>
          <w:b/>
          <w:bCs/>
          <w:sz w:val="32"/>
          <w:szCs w:val="32"/>
        </w:rPr>
        <w:t>Research Paper on Topic</w:t>
      </w:r>
    </w:p>
    <w:p w14:paraId="058DAA38" w14:textId="77777777" w:rsidR="003F37EC" w:rsidRDefault="003F37EC" w:rsidP="003F37EC">
      <w:pPr>
        <w:spacing w:line="276" w:lineRule="auto"/>
        <w:jc w:val="center"/>
        <w:rPr>
          <w:rFonts w:ascii="Times New Roman" w:hAnsi="Times New Roman" w:cs="Times New Roman"/>
          <w:b/>
          <w:bCs/>
          <w:sz w:val="32"/>
          <w:szCs w:val="32"/>
        </w:rPr>
      </w:pPr>
      <w:r>
        <w:rPr>
          <w:rFonts w:ascii="Times New Roman" w:hAnsi="Times New Roman" w:cs="Times New Roman"/>
          <w:b/>
          <w:bCs/>
          <w:sz w:val="32"/>
          <w:szCs w:val="32"/>
        </w:rPr>
        <w:t>“</w:t>
      </w:r>
      <w:r w:rsidRPr="00AC7EFF">
        <w:rPr>
          <w:rFonts w:ascii="Times New Roman" w:hAnsi="Times New Roman" w:cs="Times New Roman"/>
          <w:b/>
          <w:bCs/>
          <w:sz w:val="32"/>
          <w:szCs w:val="32"/>
        </w:rPr>
        <w:t>Judicial Accountability and Veeraswami Ruling</w:t>
      </w:r>
      <w:r>
        <w:rPr>
          <w:rFonts w:ascii="Times New Roman" w:hAnsi="Times New Roman" w:cs="Times New Roman"/>
          <w:b/>
          <w:bCs/>
          <w:sz w:val="32"/>
          <w:szCs w:val="32"/>
        </w:rPr>
        <w:t>”</w:t>
      </w:r>
    </w:p>
    <w:p w14:paraId="26C7D134" w14:textId="77777777" w:rsidR="003F37EC" w:rsidRDefault="003F37EC" w:rsidP="003F37EC">
      <w:pPr>
        <w:spacing w:line="276" w:lineRule="auto"/>
        <w:jc w:val="center"/>
        <w:rPr>
          <w:rFonts w:ascii="Times New Roman" w:hAnsi="Times New Roman" w:cs="Times New Roman"/>
          <w:b/>
          <w:bCs/>
          <w:sz w:val="32"/>
          <w:szCs w:val="32"/>
        </w:rPr>
      </w:pPr>
    </w:p>
    <w:p w14:paraId="5AB18DD5" w14:textId="77777777" w:rsidR="003F37EC" w:rsidRDefault="003F37EC" w:rsidP="003F37EC">
      <w:pPr>
        <w:spacing w:line="276" w:lineRule="auto"/>
        <w:jc w:val="center"/>
        <w:rPr>
          <w:rFonts w:ascii="Times New Roman" w:hAnsi="Times New Roman" w:cs="Times New Roman"/>
          <w:b/>
          <w:bCs/>
          <w:sz w:val="32"/>
          <w:szCs w:val="32"/>
        </w:rPr>
      </w:pPr>
    </w:p>
    <w:p w14:paraId="689B0B54" w14:textId="77777777" w:rsidR="003F37EC" w:rsidRDefault="003F37EC" w:rsidP="003F37EC">
      <w:pPr>
        <w:spacing w:line="276" w:lineRule="auto"/>
        <w:jc w:val="center"/>
        <w:rPr>
          <w:rFonts w:ascii="Times New Roman" w:hAnsi="Times New Roman" w:cs="Times New Roman"/>
          <w:b/>
          <w:bCs/>
          <w:sz w:val="32"/>
          <w:szCs w:val="32"/>
        </w:rPr>
      </w:pPr>
      <w:r>
        <w:rPr>
          <w:rFonts w:ascii="Times New Roman" w:hAnsi="Times New Roman" w:cs="Times New Roman"/>
          <w:b/>
          <w:bCs/>
          <w:sz w:val="32"/>
          <w:szCs w:val="32"/>
        </w:rPr>
        <w:t>Submitted by-</w:t>
      </w:r>
    </w:p>
    <w:p w14:paraId="1F0E8563" w14:textId="77777777" w:rsidR="003F37EC" w:rsidRDefault="003F37EC" w:rsidP="003F37EC">
      <w:pPr>
        <w:spacing w:line="276" w:lineRule="auto"/>
        <w:jc w:val="center"/>
        <w:rPr>
          <w:rFonts w:ascii="Times New Roman" w:hAnsi="Times New Roman" w:cs="Times New Roman"/>
          <w:b/>
          <w:bCs/>
          <w:sz w:val="32"/>
          <w:szCs w:val="32"/>
        </w:rPr>
      </w:pPr>
      <w:r>
        <w:rPr>
          <w:rFonts w:ascii="Times New Roman" w:hAnsi="Times New Roman" w:cs="Times New Roman"/>
          <w:b/>
          <w:bCs/>
          <w:sz w:val="32"/>
          <w:szCs w:val="32"/>
        </w:rPr>
        <w:t>Abhay Pratap Singh</w:t>
      </w:r>
    </w:p>
    <w:p w14:paraId="0B1FE1B6" w14:textId="77777777" w:rsidR="003F37EC" w:rsidRDefault="003F37EC" w:rsidP="003F37EC">
      <w:pPr>
        <w:spacing w:line="276" w:lineRule="auto"/>
        <w:jc w:val="center"/>
        <w:rPr>
          <w:rFonts w:ascii="Times New Roman" w:hAnsi="Times New Roman" w:cs="Times New Roman"/>
          <w:b/>
          <w:bCs/>
          <w:sz w:val="32"/>
          <w:szCs w:val="32"/>
        </w:rPr>
      </w:pPr>
      <w:r>
        <w:rPr>
          <w:rFonts w:ascii="Times New Roman" w:hAnsi="Times New Roman" w:cs="Times New Roman"/>
          <w:b/>
          <w:bCs/>
          <w:sz w:val="32"/>
          <w:szCs w:val="32"/>
        </w:rPr>
        <w:t>Law Student at Law College Dehradun, Uttaranchal University</w:t>
      </w:r>
    </w:p>
    <w:p w14:paraId="6122C62D" w14:textId="77777777" w:rsidR="003F37EC" w:rsidRDefault="003F37EC" w:rsidP="003F37EC">
      <w:pPr>
        <w:spacing w:line="276" w:lineRule="auto"/>
        <w:jc w:val="center"/>
        <w:rPr>
          <w:rFonts w:ascii="Times New Roman" w:hAnsi="Times New Roman" w:cs="Times New Roman"/>
          <w:b/>
          <w:bCs/>
          <w:sz w:val="32"/>
          <w:szCs w:val="32"/>
        </w:rPr>
      </w:pPr>
      <w:r>
        <w:rPr>
          <w:rFonts w:ascii="Times New Roman" w:hAnsi="Times New Roman" w:cs="Times New Roman"/>
          <w:b/>
          <w:bCs/>
          <w:sz w:val="32"/>
          <w:szCs w:val="32"/>
        </w:rPr>
        <w:t>June Intern 2025 at Juris Centre Review</w:t>
      </w:r>
    </w:p>
    <w:p w14:paraId="0E199BFF" w14:textId="77777777" w:rsidR="003F37EC" w:rsidRDefault="003F37EC" w:rsidP="003F37EC">
      <w:pPr>
        <w:spacing w:line="276" w:lineRule="auto"/>
        <w:jc w:val="center"/>
        <w:rPr>
          <w:rFonts w:ascii="Times New Roman" w:hAnsi="Times New Roman" w:cs="Times New Roman"/>
          <w:b/>
          <w:bCs/>
          <w:sz w:val="32"/>
          <w:szCs w:val="32"/>
        </w:rPr>
      </w:pPr>
    </w:p>
    <w:p w14:paraId="07822B7B" w14:textId="77777777" w:rsidR="003F37EC" w:rsidRDefault="003F37EC" w:rsidP="003F37EC">
      <w:pPr>
        <w:spacing w:line="276" w:lineRule="auto"/>
        <w:jc w:val="center"/>
        <w:rPr>
          <w:rFonts w:ascii="Times New Roman" w:hAnsi="Times New Roman" w:cs="Times New Roman"/>
          <w:b/>
          <w:bCs/>
          <w:sz w:val="32"/>
          <w:szCs w:val="32"/>
        </w:rPr>
      </w:pPr>
      <w:r>
        <w:rPr>
          <w:rFonts w:ascii="Times New Roman" w:hAnsi="Times New Roman" w:cs="Times New Roman"/>
          <w:b/>
          <w:bCs/>
          <w:sz w:val="32"/>
          <w:szCs w:val="32"/>
        </w:rPr>
        <w:t>Submitted to-</w:t>
      </w:r>
    </w:p>
    <w:p w14:paraId="27CAB6BF" w14:textId="77777777" w:rsidR="003F37EC" w:rsidRDefault="003F37EC" w:rsidP="003F37EC">
      <w:pPr>
        <w:spacing w:line="276" w:lineRule="auto"/>
        <w:jc w:val="center"/>
        <w:rPr>
          <w:rFonts w:ascii="Times New Roman" w:hAnsi="Times New Roman" w:cs="Times New Roman"/>
          <w:b/>
          <w:bCs/>
          <w:sz w:val="32"/>
          <w:szCs w:val="32"/>
        </w:rPr>
      </w:pPr>
      <w:r>
        <w:rPr>
          <w:rFonts w:ascii="Times New Roman" w:hAnsi="Times New Roman" w:cs="Times New Roman"/>
          <w:b/>
          <w:bCs/>
          <w:sz w:val="32"/>
          <w:szCs w:val="32"/>
        </w:rPr>
        <w:t xml:space="preserve">Juris Centre Review </w:t>
      </w:r>
    </w:p>
    <w:p w14:paraId="26D1858B" w14:textId="77777777" w:rsidR="003F37EC" w:rsidRDefault="003F37EC" w:rsidP="003F37EC">
      <w:pPr>
        <w:spacing w:line="276" w:lineRule="auto"/>
        <w:jc w:val="center"/>
        <w:rPr>
          <w:rFonts w:ascii="Times New Roman" w:hAnsi="Times New Roman" w:cs="Times New Roman"/>
          <w:b/>
          <w:bCs/>
          <w:sz w:val="32"/>
          <w:szCs w:val="32"/>
        </w:rPr>
      </w:pPr>
      <w:r>
        <w:rPr>
          <w:rFonts w:ascii="Times New Roman" w:hAnsi="Times New Roman" w:cs="Times New Roman"/>
          <w:b/>
          <w:bCs/>
          <w:sz w:val="32"/>
          <w:szCs w:val="32"/>
        </w:rPr>
        <w:t>(JCR)</w:t>
      </w:r>
    </w:p>
    <w:p w14:paraId="51BFC231" w14:textId="77777777" w:rsidR="003F37EC" w:rsidRDefault="003F37EC" w:rsidP="003F37EC">
      <w:pPr>
        <w:spacing w:line="276" w:lineRule="auto"/>
        <w:jc w:val="center"/>
        <w:rPr>
          <w:rFonts w:ascii="Times New Roman" w:hAnsi="Times New Roman" w:cs="Times New Roman"/>
          <w:b/>
          <w:bCs/>
          <w:sz w:val="32"/>
          <w:szCs w:val="32"/>
        </w:rPr>
      </w:pPr>
    </w:p>
    <w:p w14:paraId="70DB17A1" w14:textId="77777777" w:rsidR="003F37EC" w:rsidRDefault="003F37EC" w:rsidP="003F37EC">
      <w:pPr>
        <w:spacing w:line="276" w:lineRule="auto"/>
        <w:jc w:val="center"/>
        <w:rPr>
          <w:rFonts w:ascii="Times New Roman" w:hAnsi="Times New Roman" w:cs="Times New Roman"/>
          <w:b/>
          <w:bCs/>
          <w:sz w:val="32"/>
          <w:szCs w:val="32"/>
        </w:rPr>
      </w:pPr>
    </w:p>
    <w:p w14:paraId="7DEB77E9" w14:textId="77777777" w:rsidR="003F37EC" w:rsidRDefault="003F37EC" w:rsidP="003F37EC">
      <w:pPr>
        <w:spacing w:line="276" w:lineRule="auto"/>
        <w:jc w:val="center"/>
        <w:rPr>
          <w:rFonts w:ascii="Times New Roman" w:hAnsi="Times New Roman" w:cs="Times New Roman"/>
          <w:b/>
          <w:bCs/>
          <w:sz w:val="32"/>
          <w:szCs w:val="32"/>
        </w:rPr>
      </w:pPr>
    </w:p>
    <w:p w14:paraId="1665E3A6" w14:textId="77777777" w:rsidR="003F37EC" w:rsidRDefault="003F37EC" w:rsidP="003F37EC">
      <w:pPr>
        <w:spacing w:line="276" w:lineRule="auto"/>
        <w:jc w:val="center"/>
        <w:rPr>
          <w:rFonts w:ascii="Times New Roman" w:hAnsi="Times New Roman" w:cs="Times New Roman"/>
          <w:b/>
          <w:bCs/>
          <w:sz w:val="32"/>
          <w:szCs w:val="32"/>
        </w:rPr>
      </w:pPr>
    </w:p>
    <w:p w14:paraId="73139102" w14:textId="3DD81F37" w:rsidR="003F37EC" w:rsidRDefault="003F37EC" w:rsidP="003F37EC">
      <w:pPr>
        <w:spacing w:line="276" w:lineRule="auto"/>
        <w:jc w:val="center"/>
        <w:rPr>
          <w:rFonts w:ascii="Times New Roman" w:hAnsi="Times New Roman" w:cs="Times New Roman"/>
          <w:b/>
          <w:bCs/>
          <w:sz w:val="32"/>
          <w:szCs w:val="32"/>
        </w:rPr>
      </w:pPr>
    </w:p>
    <w:p w14:paraId="74DAF505" w14:textId="2DC1D1E8" w:rsidR="003F37EC" w:rsidRDefault="003F37EC" w:rsidP="003F37EC">
      <w:pPr>
        <w:spacing w:line="360" w:lineRule="auto"/>
        <w:rPr>
          <w:rFonts w:ascii="Times New Roman" w:hAnsi="Times New Roman" w:cs="Times New Roman"/>
          <w:b/>
          <w:bCs/>
          <w:sz w:val="28"/>
          <w:szCs w:val="28"/>
        </w:rPr>
      </w:pPr>
    </w:p>
    <w:p w14:paraId="4DDD63D0" w14:textId="40B63C9A" w:rsidR="003F37EC" w:rsidRPr="00641FC6" w:rsidRDefault="003F37EC" w:rsidP="00641FC6">
      <w:pPr>
        <w:pBdr>
          <w:top w:val="single" w:sz="12" w:space="1" w:color="auto"/>
          <w:bottom w:val="single" w:sz="12" w:space="1" w:color="auto"/>
        </w:pBdr>
        <w:tabs>
          <w:tab w:val="left" w:pos="2998"/>
        </w:tabs>
        <w:spacing w:line="276" w:lineRule="auto"/>
        <w:jc w:val="center"/>
        <w:rPr>
          <w:rFonts w:ascii="Times New Roman" w:hAnsi="Times New Roman" w:cs="Times New Roman"/>
          <w:b/>
          <w:bCs/>
          <w:sz w:val="36"/>
          <w:szCs w:val="36"/>
        </w:rPr>
      </w:pPr>
      <w:r w:rsidRPr="00B006C2">
        <w:rPr>
          <w:rFonts w:ascii="Times New Roman" w:hAnsi="Times New Roman" w:cs="Times New Roman"/>
          <w:b/>
          <w:bCs/>
          <w:sz w:val="36"/>
          <w:szCs w:val="36"/>
        </w:rPr>
        <w:lastRenderedPageBreak/>
        <w:t>Judicial Accountability and Veeraswami Ruling</w:t>
      </w:r>
    </w:p>
    <w:p w14:paraId="26EB1A45" w14:textId="15468808" w:rsidR="003F37EC" w:rsidRDefault="003F37EC" w:rsidP="003F37EC">
      <w:pPr>
        <w:spacing w:line="276" w:lineRule="auto"/>
        <w:rPr>
          <w:rFonts w:ascii="Times New Roman" w:hAnsi="Times New Roman" w:cs="Times New Roman"/>
          <w:b/>
          <w:bCs/>
          <w:sz w:val="28"/>
          <w:szCs w:val="28"/>
        </w:rPr>
      </w:pPr>
      <w:r w:rsidRPr="003F37EC">
        <w:rPr>
          <w:rFonts w:ascii="Times New Roman" w:hAnsi="Times New Roman" w:cs="Times New Roman"/>
          <w:b/>
          <w:bCs/>
          <w:sz w:val="28"/>
          <w:szCs w:val="28"/>
        </w:rPr>
        <w:t>Abstract</w:t>
      </w:r>
    </w:p>
    <w:p w14:paraId="245B8A7B" w14:textId="77777777" w:rsidR="003F37EC" w:rsidRPr="007878FE" w:rsidRDefault="003F37EC" w:rsidP="003F37EC">
      <w:pPr>
        <w:spacing w:line="276" w:lineRule="auto"/>
        <w:rPr>
          <w:rFonts w:ascii="Times New Roman" w:hAnsi="Times New Roman" w:cs="Times New Roman"/>
          <w:sz w:val="32"/>
          <w:szCs w:val="32"/>
        </w:rPr>
      </w:pPr>
      <w:r w:rsidRPr="00AC7EFF">
        <w:rPr>
          <w:rFonts w:ascii="Times New Roman" w:hAnsi="Times New Roman" w:cs="Times New Roman"/>
          <w:sz w:val="24"/>
          <w:szCs w:val="24"/>
        </w:rPr>
        <w:t>From the landmark K. Veeraswami ruling to the high-profile Justice Varma case, this paper examines the intricate balance between judicial independence and accountability in India. It critiques the in-house procedure’s inherent opacity and failure to secure widespread public trust. Political interventions and sensational media coverage further expose critical gaps in the current system. Drawing lessons from global oversight models, the analysis advocates for a statutory Judicial Conduct Commission and clearer judicial removal criteria. These reforms aim to restore confidence in the judiciary while preserving its essential autonomy, thereby offering a viable blueprint for comprehensive judicial reform in a modern democracy.</w:t>
      </w:r>
    </w:p>
    <w:p w14:paraId="66DC5A1C" w14:textId="77777777" w:rsidR="003F37EC" w:rsidRDefault="003F37EC" w:rsidP="003F37EC">
      <w:pPr>
        <w:spacing w:line="276" w:lineRule="auto"/>
        <w:rPr>
          <w:rFonts w:ascii="Times New Roman" w:hAnsi="Times New Roman" w:cs="Times New Roman"/>
          <w:b/>
          <w:bCs/>
          <w:sz w:val="28"/>
          <w:szCs w:val="28"/>
        </w:rPr>
      </w:pPr>
      <w:r>
        <w:rPr>
          <w:rFonts w:ascii="Times New Roman" w:hAnsi="Times New Roman" w:cs="Times New Roman"/>
          <w:b/>
          <w:bCs/>
          <w:sz w:val="28"/>
          <w:szCs w:val="28"/>
        </w:rPr>
        <w:t>Keywords:</w:t>
      </w:r>
    </w:p>
    <w:p w14:paraId="3424153A" w14:textId="78E5EC91" w:rsidR="003F37EC" w:rsidRDefault="003F37EC" w:rsidP="003F37EC">
      <w:pPr>
        <w:spacing w:line="276" w:lineRule="auto"/>
        <w:rPr>
          <w:rFonts w:ascii="Times New Roman" w:hAnsi="Times New Roman" w:cs="Times New Roman"/>
          <w:sz w:val="20"/>
          <w:szCs w:val="20"/>
        </w:rPr>
      </w:pPr>
      <w:r w:rsidRPr="00AC7EFF">
        <w:rPr>
          <w:rFonts w:ascii="Times New Roman" w:hAnsi="Times New Roman" w:cs="Times New Roman"/>
          <w:sz w:val="20"/>
          <w:szCs w:val="20"/>
        </w:rPr>
        <w:t>Judicial Accountability</w:t>
      </w:r>
      <w:r>
        <w:rPr>
          <w:rFonts w:ascii="Times New Roman" w:hAnsi="Times New Roman" w:cs="Times New Roman"/>
          <w:sz w:val="20"/>
          <w:szCs w:val="20"/>
        </w:rPr>
        <w:t xml:space="preserve">, </w:t>
      </w:r>
      <w:r w:rsidRPr="00AC7EFF">
        <w:rPr>
          <w:rFonts w:ascii="Times New Roman" w:hAnsi="Times New Roman" w:cs="Times New Roman"/>
          <w:sz w:val="20"/>
          <w:szCs w:val="20"/>
        </w:rPr>
        <w:t>Judicial Independence</w:t>
      </w:r>
      <w:r>
        <w:rPr>
          <w:rFonts w:ascii="Times New Roman" w:hAnsi="Times New Roman" w:cs="Times New Roman"/>
          <w:sz w:val="20"/>
          <w:szCs w:val="20"/>
        </w:rPr>
        <w:t xml:space="preserve">, </w:t>
      </w:r>
      <w:r w:rsidRPr="00AC7EFF">
        <w:rPr>
          <w:rFonts w:ascii="Times New Roman" w:hAnsi="Times New Roman" w:cs="Times New Roman"/>
          <w:sz w:val="20"/>
          <w:szCs w:val="20"/>
        </w:rPr>
        <w:t>Judicial Reform</w:t>
      </w:r>
      <w:r>
        <w:rPr>
          <w:rFonts w:ascii="Times New Roman" w:hAnsi="Times New Roman" w:cs="Times New Roman"/>
          <w:sz w:val="20"/>
          <w:szCs w:val="20"/>
        </w:rPr>
        <w:t xml:space="preserve">, </w:t>
      </w:r>
      <w:r w:rsidRPr="00AC7EFF">
        <w:rPr>
          <w:rFonts w:ascii="Times New Roman" w:hAnsi="Times New Roman" w:cs="Times New Roman"/>
          <w:sz w:val="20"/>
          <w:szCs w:val="20"/>
        </w:rPr>
        <w:t>In-House Process</w:t>
      </w:r>
      <w:r>
        <w:rPr>
          <w:rFonts w:ascii="Times New Roman" w:hAnsi="Times New Roman" w:cs="Times New Roman"/>
          <w:sz w:val="20"/>
          <w:szCs w:val="20"/>
        </w:rPr>
        <w:t>.</w:t>
      </w:r>
    </w:p>
    <w:p w14:paraId="6AD55988" w14:textId="77777777" w:rsidR="00641FC6" w:rsidRDefault="00641FC6" w:rsidP="003F37EC">
      <w:pPr>
        <w:spacing w:line="276" w:lineRule="auto"/>
        <w:rPr>
          <w:rFonts w:ascii="Times New Roman" w:hAnsi="Times New Roman" w:cs="Times New Roman"/>
          <w:sz w:val="20"/>
          <w:szCs w:val="20"/>
        </w:rPr>
      </w:pPr>
    </w:p>
    <w:p w14:paraId="2A562180" w14:textId="77777777" w:rsidR="00F10BC8" w:rsidRPr="00AF4909" w:rsidRDefault="00F10BC8" w:rsidP="00F10BC8">
      <w:pPr>
        <w:spacing w:line="360" w:lineRule="auto"/>
        <w:jc w:val="both"/>
        <w:rPr>
          <w:rFonts w:ascii="Times New Roman" w:hAnsi="Times New Roman" w:cs="Times New Roman"/>
          <w:sz w:val="24"/>
          <w:szCs w:val="24"/>
        </w:rPr>
      </w:pPr>
      <w:r w:rsidRPr="00AF4909">
        <w:rPr>
          <w:rFonts w:ascii="Times New Roman" w:hAnsi="Times New Roman" w:cs="Times New Roman"/>
          <w:b/>
          <w:bCs/>
          <w:sz w:val="28"/>
          <w:szCs w:val="28"/>
        </w:rPr>
        <w:t>Introduction</w:t>
      </w:r>
    </w:p>
    <w:p w14:paraId="455006C3" w14:textId="35EDB111" w:rsidR="00F10BC8" w:rsidRPr="00AF4909" w:rsidRDefault="00F10BC8" w:rsidP="00F10BC8">
      <w:pPr>
        <w:spacing w:line="360" w:lineRule="auto"/>
        <w:jc w:val="both"/>
        <w:rPr>
          <w:rFonts w:ascii="Times New Roman" w:hAnsi="Times New Roman" w:cs="Times New Roman"/>
          <w:sz w:val="24"/>
          <w:szCs w:val="24"/>
        </w:rPr>
      </w:pPr>
      <w:r w:rsidRPr="00AF4909">
        <w:rPr>
          <w:rFonts w:ascii="Times New Roman" w:hAnsi="Times New Roman" w:cs="Times New Roman"/>
          <w:sz w:val="24"/>
          <w:szCs w:val="24"/>
        </w:rPr>
        <w:t xml:space="preserve">Judiciary is the independent institution of India, and functions as the supreme authority over all but sometimes tensions arise in the system which questions the accountability of the judiciary and its functioning like the same situation had </w:t>
      </w:r>
      <w:r w:rsidR="00B006C2" w:rsidRPr="00AF4909">
        <w:rPr>
          <w:rFonts w:ascii="Times New Roman" w:hAnsi="Times New Roman" w:cs="Times New Roman"/>
          <w:sz w:val="24"/>
          <w:szCs w:val="24"/>
        </w:rPr>
        <w:t>arisen</w:t>
      </w:r>
      <w:r w:rsidRPr="00AF4909">
        <w:rPr>
          <w:rFonts w:ascii="Times New Roman" w:hAnsi="Times New Roman" w:cs="Times New Roman"/>
          <w:sz w:val="24"/>
          <w:szCs w:val="24"/>
        </w:rPr>
        <w:t xml:space="preserve"> few months ago regarding the cash found at the house of Delhi High Court Justice Yashwant Varma, it questioned once again the judiciary. Here we are trying observe the situation with the help of K. Veeraswami ruling. As this is not new in the system so before this, the same situations had arisen during this case where the impeachment of removal of judges is decided by the Hon’ble Supreme Court. </w:t>
      </w:r>
    </w:p>
    <w:p w14:paraId="2A2049D2" w14:textId="2A48170A" w:rsidR="00F10BC8" w:rsidRPr="00AF4909" w:rsidRDefault="00F10BC8" w:rsidP="00F10BC8">
      <w:pPr>
        <w:spacing w:line="360" w:lineRule="auto"/>
        <w:jc w:val="both"/>
        <w:rPr>
          <w:rFonts w:ascii="Times New Roman" w:hAnsi="Times New Roman" w:cs="Times New Roman"/>
          <w:sz w:val="24"/>
          <w:szCs w:val="24"/>
        </w:rPr>
      </w:pPr>
      <w:r w:rsidRPr="00AF4909">
        <w:rPr>
          <w:rFonts w:ascii="Times New Roman" w:hAnsi="Times New Roman" w:cs="Times New Roman"/>
          <w:sz w:val="24"/>
          <w:szCs w:val="24"/>
        </w:rPr>
        <w:t xml:space="preserve">The landmark </w:t>
      </w:r>
      <w:r w:rsidRPr="00AF4909">
        <w:rPr>
          <w:rFonts w:ascii="Times New Roman" w:hAnsi="Times New Roman" w:cs="Times New Roman"/>
          <w:b/>
          <w:bCs/>
          <w:sz w:val="24"/>
          <w:szCs w:val="24"/>
        </w:rPr>
        <w:t>K. Veeraswami v. Union of India (1991)</w:t>
      </w:r>
      <w:r>
        <w:rPr>
          <w:rStyle w:val="FootnoteReference"/>
          <w:rFonts w:ascii="Times New Roman" w:hAnsi="Times New Roman" w:cs="Times New Roman"/>
          <w:b/>
          <w:bCs/>
          <w:sz w:val="24"/>
          <w:szCs w:val="24"/>
        </w:rPr>
        <w:footnoteReference w:id="1"/>
      </w:r>
      <w:r w:rsidRPr="00AF4909">
        <w:rPr>
          <w:rFonts w:ascii="Times New Roman" w:hAnsi="Times New Roman" w:cs="Times New Roman"/>
          <w:b/>
          <w:bCs/>
          <w:sz w:val="24"/>
          <w:szCs w:val="24"/>
        </w:rPr>
        <w:t xml:space="preserve"> ruling</w:t>
      </w:r>
      <w:r w:rsidRPr="00AF4909">
        <w:rPr>
          <w:rFonts w:ascii="Times New Roman" w:hAnsi="Times New Roman" w:cs="Times New Roman"/>
          <w:sz w:val="24"/>
          <w:szCs w:val="24"/>
        </w:rPr>
        <w:t xml:space="preserve"> played a crucial role in defining the legal framework for prosecuting judges in India. The Supreme Court held in its verdict about that the judges are considered as the public servants, </w:t>
      </w:r>
      <w:r w:rsidRPr="00AF4909">
        <w:rPr>
          <w:rFonts w:ascii="Times New Roman" w:hAnsi="Times New Roman" w:cs="Times New Roman"/>
        </w:rPr>
        <w:t xml:space="preserve">under the </w:t>
      </w:r>
      <w:r w:rsidRPr="00AF4909">
        <w:rPr>
          <w:rFonts w:ascii="Times New Roman" w:hAnsi="Times New Roman" w:cs="Times New Roman"/>
          <w:b/>
          <w:bCs/>
        </w:rPr>
        <w:t>Prevention of Corruption Act, 1947</w:t>
      </w:r>
      <w:r>
        <w:rPr>
          <w:rStyle w:val="FootnoteReference"/>
          <w:rFonts w:ascii="Times New Roman" w:hAnsi="Times New Roman" w:cs="Times New Roman"/>
          <w:b/>
          <w:bCs/>
        </w:rPr>
        <w:footnoteReference w:id="2"/>
      </w:r>
      <w:r w:rsidRPr="00AF4909">
        <w:rPr>
          <w:rFonts w:ascii="Times New Roman" w:hAnsi="Times New Roman" w:cs="Times New Roman"/>
        </w:rPr>
        <w:t xml:space="preserve">, any criminal investigation against a sitting judge required </w:t>
      </w:r>
      <w:r w:rsidRPr="00AF4909">
        <w:rPr>
          <w:rFonts w:ascii="Times New Roman" w:hAnsi="Times New Roman" w:cs="Times New Roman"/>
          <w:b/>
          <w:bCs/>
        </w:rPr>
        <w:t xml:space="preserve">prior sanction from the Chief Justice of India (CJI). </w:t>
      </w:r>
      <w:r w:rsidRPr="00AF4909">
        <w:rPr>
          <w:rFonts w:ascii="Times New Roman" w:hAnsi="Times New Roman" w:cs="Times New Roman"/>
          <w:sz w:val="24"/>
          <w:szCs w:val="24"/>
        </w:rPr>
        <w:t xml:space="preserve">This decision was focused at balancing judicial independence with accountability, ensuring that the judiciary remained free from executive interference while still being subject to legal scrutiny. The ruling established a protective mechanism, making it mandatory for the CJI to approve any prosecution, thereby preventing arbitrary actions against judges. The recent case of </w:t>
      </w:r>
      <w:r w:rsidRPr="00AF4909">
        <w:rPr>
          <w:rFonts w:ascii="Times New Roman" w:hAnsi="Times New Roman" w:cs="Times New Roman"/>
          <w:b/>
          <w:bCs/>
          <w:sz w:val="24"/>
          <w:szCs w:val="24"/>
        </w:rPr>
        <w:t>Justice Yashwant Varma</w:t>
      </w:r>
      <w:r w:rsidRPr="00AF4909">
        <w:rPr>
          <w:rFonts w:ascii="Times New Roman" w:hAnsi="Times New Roman" w:cs="Times New Roman"/>
          <w:sz w:val="24"/>
          <w:szCs w:val="24"/>
        </w:rPr>
        <w:t xml:space="preserve">, where sacks of unaccounted cash were found at his residence, has reignited concerns over judicial accountability. Despite an in-house </w:t>
      </w:r>
      <w:r w:rsidRPr="00AF4909">
        <w:rPr>
          <w:rFonts w:ascii="Times New Roman" w:hAnsi="Times New Roman" w:cs="Times New Roman"/>
          <w:sz w:val="24"/>
          <w:szCs w:val="24"/>
        </w:rPr>
        <w:lastRenderedPageBreak/>
        <w:t xml:space="preserve">inquiry and a transfer, he refused to resign, leading to an impending </w:t>
      </w:r>
      <w:r w:rsidRPr="00AF4909">
        <w:rPr>
          <w:rFonts w:ascii="Times New Roman" w:hAnsi="Times New Roman" w:cs="Times New Roman"/>
          <w:b/>
          <w:bCs/>
          <w:sz w:val="24"/>
          <w:szCs w:val="24"/>
        </w:rPr>
        <w:t>impeachment motion</w:t>
      </w:r>
      <w:r w:rsidRPr="00AF4909">
        <w:rPr>
          <w:rFonts w:ascii="Times New Roman" w:hAnsi="Times New Roman" w:cs="Times New Roman"/>
          <w:sz w:val="24"/>
          <w:szCs w:val="24"/>
        </w:rPr>
        <w:t xml:space="preserve"> in Parliament. This controversy, much like the </w:t>
      </w:r>
      <w:r w:rsidRPr="00AF4909">
        <w:rPr>
          <w:rFonts w:ascii="Times New Roman" w:hAnsi="Times New Roman" w:cs="Times New Roman"/>
          <w:b/>
          <w:bCs/>
          <w:sz w:val="24"/>
          <w:szCs w:val="24"/>
        </w:rPr>
        <w:t>K. Veeraswami ruling</w:t>
      </w:r>
      <w:r w:rsidRPr="00AF4909">
        <w:rPr>
          <w:rFonts w:ascii="Times New Roman" w:hAnsi="Times New Roman" w:cs="Times New Roman"/>
          <w:sz w:val="24"/>
          <w:szCs w:val="24"/>
        </w:rPr>
        <w:t xml:space="preserve">, highlights the challenges in holding judges accountable while ensuring judicial independence remains intact. It underscores the need for a </w:t>
      </w:r>
      <w:r w:rsidRPr="00AF4909">
        <w:rPr>
          <w:rFonts w:ascii="Times New Roman" w:hAnsi="Times New Roman" w:cs="Times New Roman"/>
          <w:b/>
          <w:bCs/>
          <w:sz w:val="24"/>
          <w:szCs w:val="24"/>
        </w:rPr>
        <w:t>transparent yet effective framework</w:t>
      </w:r>
      <w:r w:rsidRPr="00AF4909">
        <w:rPr>
          <w:rFonts w:ascii="Times New Roman" w:hAnsi="Times New Roman" w:cs="Times New Roman"/>
          <w:sz w:val="24"/>
          <w:szCs w:val="24"/>
        </w:rPr>
        <w:t xml:space="preserve"> to address judicial misconduct.</w:t>
      </w:r>
    </w:p>
    <w:p w14:paraId="33BCD51B" w14:textId="77777777" w:rsidR="00F10BC8" w:rsidRDefault="00F10BC8" w:rsidP="00F10BC8">
      <w:pPr>
        <w:spacing w:line="360" w:lineRule="auto"/>
        <w:jc w:val="both"/>
        <w:rPr>
          <w:rFonts w:ascii="Times New Roman" w:hAnsi="Times New Roman" w:cs="Times New Roman"/>
        </w:rPr>
      </w:pPr>
      <w:r w:rsidRPr="00AF4909">
        <w:rPr>
          <w:rFonts w:ascii="Times New Roman" w:hAnsi="Times New Roman" w:cs="Times New Roman"/>
          <w:sz w:val="24"/>
          <w:szCs w:val="24"/>
        </w:rPr>
        <w:t xml:space="preserve">The main objective of this article is to observe and </w:t>
      </w:r>
      <w:r w:rsidRPr="00AF4909">
        <w:rPr>
          <w:rFonts w:ascii="Times New Roman" w:hAnsi="Times New Roman" w:cs="Times New Roman"/>
        </w:rPr>
        <w:t xml:space="preserve">to explore the balance between judicial independence and the mechanisms in place to hold judges accountable. While the judiciary serves as the supreme authority in India, concerns about misconduct and corruption occasionally arises which questioning its integrity. The </w:t>
      </w:r>
      <w:r w:rsidRPr="00AF4909">
        <w:rPr>
          <w:rFonts w:ascii="Times New Roman" w:hAnsi="Times New Roman" w:cs="Times New Roman"/>
          <w:b/>
          <w:bCs/>
        </w:rPr>
        <w:t>K. Veeraswami ruling</w:t>
      </w:r>
      <w:r w:rsidRPr="00AF4909">
        <w:rPr>
          <w:rFonts w:ascii="Times New Roman" w:hAnsi="Times New Roman" w:cs="Times New Roman"/>
        </w:rPr>
        <w:t xml:space="preserve"> was a landmark decision that established procedural safeguards for prosecuting sitting judges, ensuring that judicial independence is protected while still subjecting judges to scrutiny.</w:t>
      </w:r>
    </w:p>
    <w:p w14:paraId="1FECF20E" w14:textId="77777777" w:rsidR="00F10BC8" w:rsidRPr="00AF4909" w:rsidRDefault="00F10BC8" w:rsidP="00F10BC8">
      <w:pPr>
        <w:spacing w:line="360" w:lineRule="auto"/>
        <w:jc w:val="both"/>
        <w:rPr>
          <w:rFonts w:ascii="Times New Roman" w:hAnsi="Times New Roman" w:cs="Times New Roman"/>
          <w:b/>
          <w:bCs/>
          <w:sz w:val="28"/>
          <w:szCs w:val="28"/>
        </w:rPr>
      </w:pPr>
      <w:r w:rsidRPr="00AF4909">
        <w:rPr>
          <w:rFonts w:ascii="Times New Roman" w:hAnsi="Times New Roman" w:cs="Times New Roman"/>
          <w:b/>
          <w:bCs/>
          <w:sz w:val="28"/>
          <w:szCs w:val="28"/>
        </w:rPr>
        <w:t>The K. Veeraswami Ruling: Defining Judicial Accountability</w:t>
      </w:r>
    </w:p>
    <w:p w14:paraId="600EBEF4" w14:textId="745CFE6B" w:rsidR="00F10BC8" w:rsidRPr="00AF4909" w:rsidRDefault="00F10BC8" w:rsidP="00F10BC8">
      <w:pPr>
        <w:spacing w:line="360" w:lineRule="auto"/>
        <w:jc w:val="both"/>
        <w:rPr>
          <w:rFonts w:ascii="Times New Roman" w:hAnsi="Times New Roman" w:cs="Times New Roman"/>
          <w:sz w:val="24"/>
          <w:szCs w:val="24"/>
        </w:rPr>
      </w:pPr>
      <w:r w:rsidRPr="00AF4909">
        <w:rPr>
          <w:rFonts w:ascii="Times New Roman" w:hAnsi="Times New Roman" w:cs="Times New Roman"/>
          <w:sz w:val="24"/>
          <w:szCs w:val="24"/>
        </w:rPr>
        <w:t>The decision of Supreme Court of India in case of K. Veeraswami v. Union of India marked a central moment in India’s constitutional jurisprudence on accountability of judiciary. The case arose when Justice K. Veeraswami, then Chief Justice of the Madras High Court, was accused of possessing assets disproportionate to his known sources of income. The Central Bureau of Investigation (CBI) registered a first information report (FIR) under the Prevention of Corruption Act 1947, soliciting a constitutional challenge to the permissibility of prosecuting of a sitting judge without undermining the judicial independence. The Court held that judges of the higher judiciary are “Public Servant” under section 2 of the Act and this subject to prosecution, provide prior sanction is obtained from the Chief Justice of India (CJI).</w:t>
      </w:r>
      <w:r>
        <w:rPr>
          <w:rStyle w:val="FootnoteReference"/>
          <w:rFonts w:ascii="Times New Roman" w:hAnsi="Times New Roman" w:cs="Times New Roman"/>
          <w:sz w:val="24"/>
          <w:szCs w:val="24"/>
        </w:rPr>
        <w:footnoteReference w:id="3"/>
      </w:r>
    </w:p>
    <w:p w14:paraId="30C07580" w14:textId="6B2E8908" w:rsidR="00F10BC8" w:rsidRPr="00AF4909" w:rsidRDefault="00F10BC8" w:rsidP="00F10BC8">
      <w:pPr>
        <w:spacing w:line="360" w:lineRule="auto"/>
        <w:jc w:val="both"/>
        <w:rPr>
          <w:rFonts w:ascii="Times New Roman" w:hAnsi="Times New Roman" w:cs="Times New Roman"/>
          <w:sz w:val="24"/>
          <w:szCs w:val="24"/>
        </w:rPr>
      </w:pPr>
      <w:r w:rsidRPr="00AF4909">
        <w:rPr>
          <w:rFonts w:ascii="Times New Roman" w:hAnsi="Times New Roman" w:cs="Times New Roman"/>
          <w:sz w:val="24"/>
          <w:szCs w:val="24"/>
        </w:rPr>
        <w:t xml:space="preserve">The Court addressed to main questions centrally, whether the judges fall within the statutory definition of “public servant” and secondly, who constitutes the competent authority to grant the sanction for the prosecution of the judges. By a </w:t>
      </w:r>
      <w:r w:rsidRPr="00AF4909">
        <w:rPr>
          <w:rFonts w:ascii="Times New Roman" w:hAnsi="Times New Roman" w:cs="Times New Roman"/>
          <w:b/>
          <w:bCs/>
          <w:sz w:val="24"/>
          <w:szCs w:val="24"/>
        </w:rPr>
        <w:t>3-2</w:t>
      </w:r>
      <w:r w:rsidRPr="00AF4909">
        <w:rPr>
          <w:rFonts w:ascii="Times New Roman" w:hAnsi="Times New Roman" w:cs="Times New Roman"/>
          <w:sz w:val="24"/>
          <w:szCs w:val="24"/>
        </w:rPr>
        <w:t xml:space="preserve"> </w:t>
      </w:r>
      <w:r w:rsidRPr="00AF4909">
        <w:rPr>
          <w:rFonts w:ascii="Times New Roman" w:hAnsi="Times New Roman" w:cs="Times New Roman"/>
          <w:b/>
          <w:bCs/>
          <w:sz w:val="24"/>
          <w:szCs w:val="24"/>
        </w:rPr>
        <w:t>majority</w:t>
      </w:r>
      <w:r w:rsidRPr="00AF4909">
        <w:rPr>
          <w:rFonts w:ascii="Times New Roman" w:hAnsi="Times New Roman" w:cs="Times New Roman"/>
          <w:sz w:val="24"/>
          <w:szCs w:val="24"/>
        </w:rPr>
        <w:t>, the court affirmed that the judges are not exempt from the anti-corruption laws and that the CJI, not the executive, must authorize any criminal pr</w:t>
      </w:r>
      <w:r>
        <w:rPr>
          <w:rFonts w:ascii="Times New Roman" w:hAnsi="Times New Roman" w:cs="Times New Roman"/>
          <w:sz w:val="24"/>
          <w:szCs w:val="24"/>
        </w:rPr>
        <w:t>o</w:t>
      </w:r>
      <w:r w:rsidRPr="00AF4909">
        <w:rPr>
          <w:rFonts w:ascii="Times New Roman" w:hAnsi="Times New Roman" w:cs="Times New Roman"/>
          <w:sz w:val="24"/>
          <w:szCs w:val="24"/>
        </w:rPr>
        <w:t>ceedings.</w:t>
      </w:r>
      <w:r>
        <w:rPr>
          <w:rStyle w:val="FootnoteReference"/>
          <w:rFonts w:ascii="Times New Roman" w:hAnsi="Times New Roman" w:cs="Times New Roman"/>
          <w:sz w:val="24"/>
          <w:szCs w:val="24"/>
        </w:rPr>
        <w:footnoteReference w:id="4"/>
      </w:r>
      <w:r w:rsidRPr="00AF4909">
        <w:rPr>
          <w:rFonts w:ascii="Times New Roman" w:hAnsi="Times New Roman" w:cs="Times New Roman"/>
          <w:sz w:val="24"/>
          <w:szCs w:val="24"/>
        </w:rPr>
        <w:t xml:space="preserve"> This interpretation of Section 6 (1) (c) of the Prevention of Corruption Act 1947, was designed to preserve the independence of the judiciary with ensuring the accountability of the judiciary as well.</w:t>
      </w:r>
    </w:p>
    <w:p w14:paraId="626887B0" w14:textId="05E675A6" w:rsidR="00F10BC8" w:rsidRPr="00AF4909" w:rsidRDefault="00F10BC8" w:rsidP="00F10BC8">
      <w:pPr>
        <w:spacing w:line="360" w:lineRule="auto"/>
        <w:jc w:val="both"/>
        <w:rPr>
          <w:rFonts w:ascii="Times New Roman" w:hAnsi="Times New Roman" w:cs="Times New Roman"/>
          <w:sz w:val="24"/>
          <w:szCs w:val="24"/>
        </w:rPr>
      </w:pPr>
      <w:r w:rsidRPr="00AF4909">
        <w:rPr>
          <w:rFonts w:ascii="Times New Roman" w:hAnsi="Times New Roman" w:cs="Times New Roman"/>
          <w:sz w:val="24"/>
          <w:szCs w:val="24"/>
        </w:rPr>
        <w:lastRenderedPageBreak/>
        <w:t>Justice J.S Verma, in dissent, argued that the judges should not be the subjected to the same statutory framework as executive officials and called for a constitutionally distinct mechanism to address the judicial misconduct.</w:t>
      </w:r>
      <w:r>
        <w:rPr>
          <w:rStyle w:val="FootnoteReference"/>
          <w:rFonts w:ascii="Times New Roman" w:hAnsi="Times New Roman" w:cs="Times New Roman"/>
          <w:sz w:val="24"/>
          <w:szCs w:val="24"/>
        </w:rPr>
        <w:footnoteReference w:id="5"/>
      </w:r>
      <w:r w:rsidRPr="00AF4909">
        <w:rPr>
          <w:rFonts w:ascii="Times New Roman" w:hAnsi="Times New Roman" w:cs="Times New Roman"/>
          <w:sz w:val="24"/>
          <w:szCs w:val="24"/>
        </w:rPr>
        <w:t xml:space="preserve"> His opinion was underscored the need for a system that respects the unique constitutional status of the judiciary while maintaining the public trust in the judiciary.</w:t>
      </w:r>
    </w:p>
    <w:p w14:paraId="5F2A631F" w14:textId="463F8FF7" w:rsidR="00F10BC8" w:rsidRDefault="00F10BC8" w:rsidP="00F10BC8">
      <w:pPr>
        <w:spacing w:line="360" w:lineRule="auto"/>
        <w:jc w:val="both"/>
        <w:rPr>
          <w:rFonts w:ascii="Times New Roman" w:hAnsi="Times New Roman" w:cs="Times New Roman"/>
          <w:sz w:val="24"/>
          <w:szCs w:val="24"/>
        </w:rPr>
      </w:pPr>
      <w:r w:rsidRPr="00AF4909">
        <w:rPr>
          <w:rFonts w:ascii="Times New Roman" w:hAnsi="Times New Roman" w:cs="Times New Roman"/>
          <w:sz w:val="24"/>
          <w:szCs w:val="24"/>
        </w:rPr>
        <w:t>Despite the clarity of the ruling, its implementation has been limited. Between 1991 and 2019, no CJI granted sanction for the prosecution of the sitting judge, effectively rendering the accountability mechanism dormant.</w:t>
      </w:r>
      <w:r>
        <w:rPr>
          <w:rStyle w:val="FootnoteReference"/>
          <w:rFonts w:ascii="Times New Roman" w:hAnsi="Times New Roman" w:cs="Times New Roman"/>
          <w:sz w:val="24"/>
          <w:szCs w:val="24"/>
        </w:rPr>
        <w:footnoteReference w:id="6"/>
      </w:r>
      <w:r w:rsidRPr="00AF4909">
        <w:rPr>
          <w:rFonts w:ascii="Times New Roman" w:hAnsi="Times New Roman" w:cs="Times New Roman"/>
          <w:sz w:val="24"/>
          <w:szCs w:val="24"/>
        </w:rPr>
        <w:t xml:space="preserve"> The only exception came in 2019, when CJI Ranjan Gogoi approved and FIR against the Justice S.N. Shukla of the Allahabad High Court, marking the first operationalization of the Veeraswami Framework.</w:t>
      </w:r>
    </w:p>
    <w:p w14:paraId="2E02E920" w14:textId="77777777" w:rsidR="00641FC6" w:rsidRDefault="00F10BC8" w:rsidP="00F10BC8">
      <w:pPr>
        <w:spacing w:line="360" w:lineRule="auto"/>
        <w:jc w:val="both"/>
        <w:rPr>
          <w:rFonts w:ascii="Times New Roman" w:hAnsi="Times New Roman" w:cs="Times New Roman"/>
          <w:sz w:val="24"/>
          <w:szCs w:val="24"/>
        </w:rPr>
      </w:pPr>
      <w:r w:rsidRPr="00AF4909">
        <w:rPr>
          <w:rFonts w:ascii="Times New Roman" w:hAnsi="Times New Roman" w:cs="Times New Roman"/>
          <w:sz w:val="24"/>
          <w:szCs w:val="24"/>
        </w:rPr>
        <w:t xml:space="preserve">In response to the ruling of K. Veeraswami, the judiciary developed an “in house procedure” for investigating allegations against the judges. This non-statutory mechanism allows the CJI to appoint a panel of Judges to conduct the internal inquiries, but its findings are </w:t>
      </w:r>
      <w:r w:rsidR="00B006C2" w:rsidRPr="00AF4909">
        <w:rPr>
          <w:rFonts w:ascii="Times New Roman" w:hAnsi="Times New Roman" w:cs="Times New Roman"/>
          <w:sz w:val="24"/>
          <w:szCs w:val="24"/>
        </w:rPr>
        <w:t xml:space="preserve">confidential </w:t>
      </w:r>
      <w:r w:rsidR="00B006C2">
        <w:rPr>
          <w:rFonts w:ascii="Times New Roman" w:hAnsi="Times New Roman" w:cs="Times New Roman"/>
          <w:sz w:val="24"/>
          <w:szCs w:val="24"/>
        </w:rPr>
        <w:t>and</w:t>
      </w:r>
      <w:r w:rsidRPr="00AF4909">
        <w:rPr>
          <w:rFonts w:ascii="Times New Roman" w:hAnsi="Times New Roman" w:cs="Times New Roman"/>
          <w:sz w:val="24"/>
          <w:szCs w:val="24"/>
        </w:rPr>
        <w:t xml:space="preserve"> lack legal enforceability.</w:t>
      </w:r>
      <w:r>
        <w:rPr>
          <w:rStyle w:val="FootnoteReference"/>
          <w:rFonts w:ascii="Times New Roman" w:hAnsi="Times New Roman" w:cs="Times New Roman"/>
          <w:sz w:val="24"/>
          <w:szCs w:val="24"/>
        </w:rPr>
        <w:footnoteReference w:id="7"/>
      </w:r>
      <w:r w:rsidRPr="00AF4909">
        <w:rPr>
          <w:rFonts w:ascii="Times New Roman" w:hAnsi="Times New Roman" w:cs="Times New Roman"/>
          <w:sz w:val="24"/>
          <w:szCs w:val="24"/>
        </w:rPr>
        <w:t xml:space="preserve"> Critics argue that this process lacks transparency and fails to inspire public confidence.</w:t>
      </w:r>
    </w:p>
    <w:p w14:paraId="2BAE153E" w14:textId="3A641EEB" w:rsidR="00F10BC8" w:rsidRPr="00AF4909" w:rsidRDefault="00F10BC8" w:rsidP="00F10BC8">
      <w:pPr>
        <w:spacing w:line="360" w:lineRule="auto"/>
        <w:jc w:val="both"/>
        <w:rPr>
          <w:rFonts w:ascii="Times New Roman" w:hAnsi="Times New Roman" w:cs="Times New Roman"/>
          <w:sz w:val="24"/>
          <w:szCs w:val="24"/>
        </w:rPr>
      </w:pPr>
      <w:r w:rsidRPr="00AF4909">
        <w:rPr>
          <w:rFonts w:ascii="Times New Roman" w:hAnsi="Times New Roman" w:cs="Times New Roman"/>
          <w:sz w:val="24"/>
          <w:szCs w:val="24"/>
        </w:rPr>
        <w:t>The Veeraswami judgement remains a cornerstone in the discourse on the judicial accountability. It establishes that judges are not above the law but must be protected from arbitrary or politically motivated action.</w:t>
      </w:r>
      <w:r>
        <w:rPr>
          <w:rStyle w:val="FootnoteReference"/>
          <w:rFonts w:ascii="Times New Roman" w:hAnsi="Times New Roman" w:cs="Times New Roman"/>
          <w:sz w:val="24"/>
          <w:szCs w:val="24"/>
        </w:rPr>
        <w:footnoteReference w:id="8"/>
      </w:r>
      <w:r w:rsidRPr="00AF4909">
        <w:rPr>
          <w:rFonts w:ascii="Times New Roman" w:hAnsi="Times New Roman" w:cs="Times New Roman"/>
          <w:sz w:val="24"/>
          <w:szCs w:val="24"/>
        </w:rPr>
        <w:t xml:space="preserve"> However, the limited use of its procedural safeguards and the opacity of internal mechanism have led to calls for the reforms in the procedures, which also include the creation of the independent judicial conduct commission and the constitutional amendments to clarify standards of “misbehaviour”.</w:t>
      </w:r>
    </w:p>
    <w:p w14:paraId="5071C49D" w14:textId="77777777" w:rsidR="00F10BC8" w:rsidRDefault="00F10BC8" w:rsidP="00F10BC8">
      <w:pPr>
        <w:spacing w:line="360" w:lineRule="auto"/>
        <w:jc w:val="both"/>
        <w:rPr>
          <w:rFonts w:ascii="Times New Roman" w:hAnsi="Times New Roman" w:cs="Times New Roman"/>
          <w:sz w:val="24"/>
          <w:szCs w:val="24"/>
        </w:rPr>
      </w:pPr>
      <w:r w:rsidRPr="00AF4909">
        <w:rPr>
          <w:rFonts w:ascii="Times New Roman" w:hAnsi="Times New Roman" w:cs="Times New Roman"/>
          <w:sz w:val="24"/>
          <w:szCs w:val="24"/>
        </w:rPr>
        <w:t xml:space="preserve">An additional dimension of this ruling is its role in shaping of a broader approach for accountability within the constitutional offices of India. While the decision specifically addressed the liability of the judged for the society under anti-corruption laws. Its reasoning has since influenced the debated around the prosecution of governors, election commission officers, and other high-ranking officials who are worked for the protection of the Constitution of India. By affirming that constitutional functionaries are not inherently immune from legal scrutiny, the court laid a normative foundation for transparency across institutional hierarchies. Yet, this aspirational standard has often clashed with the real-world politics as political </w:t>
      </w:r>
      <w:r w:rsidRPr="00AF4909">
        <w:rPr>
          <w:rFonts w:ascii="Times New Roman" w:hAnsi="Times New Roman" w:cs="Times New Roman"/>
          <w:sz w:val="24"/>
          <w:szCs w:val="24"/>
        </w:rPr>
        <w:lastRenderedPageBreak/>
        <w:t>considerations, institutional reluctance and the procedural complexity to delay or deflect meaningful oversight.</w:t>
      </w:r>
    </w:p>
    <w:p w14:paraId="5BA8097B" w14:textId="77777777" w:rsidR="00F10BC8" w:rsidRPr="00AF4909" w:rsidRDefault="00F10BC8" w:rsidP="00F10BC8">
      <w:pPr>
        <w:spacing w:line="360" w:lineRule="auto"/>
        <w:jc w:val="both"/>
        <w:rPr>
          <w:rFonts w:ascii="Times New Roman" w:hAnsi="Times New Roman" w:cs="Times New Roman"/>
          <w:b/>
          <w:bCs/>
          <w:sz w:val="24"/>
          <w:szCs w:val="24"/>
        </w:rPr>
      </w:pPr>
      <w:r w:rsidRPr="00AF4909">
        <w:rPr>
          <w:rFonts w:ascii="Times New Roman" w:hAnsi="Times New Roman" w:cs="Times New Roman"/>
          <w:b/>
          <w:bCs/>
          <w:sz w:val="28"/>
          <w:szCs w:val="28"/>
        </w:rPr>
        <w:t>Justice Yashwant Varma: A Modern Test of Judicial Ethics</w:t>
      </w:r>
    </w:p>
    <w:p w14:paraId="58809AA2" w14:textId="77777777" w:rsidR="00F10BC8" w:rsidRPr="00AF4909" w:rsidRDefault="00F10BC8" w:rsidP="00F10BC8">
      <w:pPr>
        <w:spacing w:line="360" w:lineRule="auto"/>
        <w:jc w:val="both"/>
        <w:rPr>
          <w:rFonts w:ascii="Times New Roman" w:hAnsi="Times New Roman" w:cs="Times New Roman"/>
          <w:sz w:val="24"/>
          <w:szCs w:val="24"/>
        </w:rPr>
      </w:pPr>
      <w:r w:rsidRPr="00AF4909">
        <w:rPr>
          <w:rFonts w:ascii="Times New Roman" w:hAnsi="Times New Roman" w:cs="Times New Roman"/>
          <w:sz w:val="24"/>
          <w:szCs w:val="24"/>
        </w:rPr>
        <w:t>While K. Veeraswami laid the doctrinal foundation for judicial accountability, the 2025 controversy involving Justice Yashwant Varma has brought its practical limitations into focus. On March 14, 2025, a fire broke out at the residence of the Justice Yashwant Varma in Delhi. In its aftermath, the firefighters and police personals discovered a large quantity of the unaccounted cash, some of it burnt within the fire while some of it scattered over the floor of the storeroom. This incident had triggered a swift and unprecedented response from the judiciary; it also gave a blow to the debate for the effectiveness of the judiciary and its independency.</w:t>
      </w:r>
    </w:p>
    <w:p w14:paraId="58B928B8" w14:textId="77777777" w:rsidR="00F10BC8" w:rsidRPr="00AF4909" w:rsidRDefault="00F10BC8" w:rsidP="00F10BC8">
      <w:pPr>
        <w:spacing w:line="360" w:lineRule="auto"/>
        <w:jc w:val="both"/>
        <w:rPr>
          <w:rFonts w:ascii="Times New Roman" w:hAnsi="Times New Roman" w:cs="Times New Roman"/>
          <w:sz w:val="24"/>
          <w:szCs w:val="24"/>
        </w:rPr>
      </w:pPr>
      <w:r w:rsidRPr="00AF4909">
        <w:rPr>
          <w:rFonts w:ascii="Times New Roman" w:hAnsi="Times New Roman" w:cs="Times New Roman"/>
          <w:sz w:val="24"/>
          <w:szCs w:val="24"/>
        </w:rPr>
        <w:t>Justice Yashwant Varma, then serving on the Delhi High Court, was relived form their duties and transferred to the Allahabad High Court. The Chief Justice of India, Sanjiv Khanna, invoked the in-house procedure and formed a committee of three members to enquire the case. The Committee or Panel consisted of Justice Sheel Nagu, Justice G.S. Sandhawalia and Justice Anu Sivaraman. The panel’s mandate was to investigate the origin of the cash, the conduct of the judge and any other attempts to suppress or destroy evidence.</w:t>
      </w:r>
    </w:p>
    <w:p w14:paraId="525BFBF3" w14:textId="2BB7E2AE" w:rsidR="00F10BC8" w:rsidRPr="00AF4909" w:rsidRDefault="00F10BC8" w:rsidP="00F10BC8">
      <w:pPr>
        <w:spacing w:line="360" w:lineRule="auto"/>
        <w:jc w:val="both"/>
        <w:rPr>
          <w:rFonts w:ascii="Times New Roman" w:hAnsi="Times New Roman" w:cs="Times New Roman"/>
          <w:sz w:val="24"/>
          <w:szCs w:val="24"/>
        </w:rPr>
      </w:pPr>
      <w:r w:rsidRPr="00AF4909">
        <w:rPr>
          <w:rFonts w:ascii="Times New Roman" w:hAnsi="Times New Roman" w:cs="Times New Roman"/>
          <w:sz w:val="24"/>
          <w:szCs w:val="24"/>
        </w:rPr>
        <w:t>The inquiry committee’s findings were shocking. In concluded that Justice Varma had failed to report the incident, did not file a police complaint and remained silent despite being aware of the discovery. The panel also found the evidences that his private secretary, attempted to conceal the presence of the cash by instructing the fire personnel not to mention it in their reports. Eyewitness, including the fire brigade officials and police officers, testified to seeing the notes of Rs. 500 inside the official residence.</w:t>
      </w:r>
      <w:r>
        <w:rPr>
          <w:rStyle w:val="FootnoteReference"/>
          <w:rFonts w:ascii="Times New Roman" w:hAnsi="Times New Roman" w:cs="Times New Roman"/>
          <w:sz w:val="24"/>
          <w:szCs w:val="24"/>
        </w:rPr>
        <w:footnoteReference w:id="9"/>
      </w:r>
      <w:r w:rsidRPr="00AF4909">
        <w:rPr>
          <w:rFonts w:ascii="Times New Roman" w:hAnsi="Times New Roman" w:cs="Times New Roman"/>
          <w:sz w:val="24"/>
          <w:szCs w:val="24"/>
        </w:rPr>
        <w:t xml:space="preserve"> The committee described the Justice Varma’s silence as “unnatural” and “inconsistent with the conduct expected of a constitutional authority”.</w:t>
      </w:r>
    </w:p>
    <w:p w14:paraId="2DDD82B4" w14:textId="77777777" w:rsidR="00F10BC8" w:rsidRPr="00AF4909" w:rsidRDefault="00F10BC8" w:rsidP="00F10BC8">
      <w:pPr>
        <w:spacing w:line="360" w:lineRule="auto"/>
        <w:jc w:val="both"/>
        <w:rPr>
          <w:rFonts w:ascii="Times New Roman" w:hAnsi="Times New Roman" w:cs="Times New Roman"/>
          <w:sz w:val="24"/>
          <w:szCs w:val="24"/>
        </w:rPr>
      </w:pPr>
      <w:r w:rsidRPr="00AF4909">
        <w:rPr>
          <w:rFonts w:ascii="Times New Roman" w:hAnsi="Times New Roman" w:cs="Times New Roman"/>
          <w:sz w:val="24"/>
          <w:szCs w:val="24"/>
        </w:rPr>
        <w:t xml:space="preserve">The report was submitted to the Chief Justice of India in early May 2025, recommended Justice Varma’s removal. When he refuses to resign voluntarily, the CJI forwarded the findings to the President and Prime Minister, initiating the formal proceedings under the Article 217 and 124 (4) of the Constitution of India. This marked a rare moment in Indian Judicial history: </w:t>
      </w:r>
      <w:r w:rsidRPr="00AF4909">
        <w:rPr>
          <w:rFonts w:ascii="Times New Roman" w:hAnsi="Times New Roman" w:cs="Times New Roman"/>
          <w:b/>
          <w:bCs/>
          <w:sz w:val="24"/>
          <w:szCs w:val="24"/>
        </w:rPr>
        <w:t xml:space="preserve">the </w:t>
      </w:r>
      <w:r w:rsidRPr="00AF4909">
        <w:rPr>
          <w:rFonts w:ascii="Times New Roman" w:hAnsi="Times New Roman" w:cs="Times New Roman"/>
          <w:b/>
          <w:bCs/>
          <w:sz w:val="24"/>
          <w:szCs w:val="24"/>
        </w:rPr>
        <w:lastRenderedPageBreak/>
        <w:t>judiciary itself, rather than parliament or executive, initiated the process of removing of a sitting High Court Judge.</w:t>
      </w:r>
    </w:p>
    <w:p w14:paraId="25EBFCAC" w14:textId="74E35B32" w:rsidR="00F10BC8" w:rsidRDefault="00F10BC8" w:rsidP="00F10BC8">
      <w:pPr>
        <w:spacing w:line="360" w:lineRule="auto"/>
        <w:jc w:val="both"/>
        <w:rPr>
          <w:rFonts w:ascii="Times New Roman" w:hAnsi="Times New Roman" w:cs="Times New Roman"/>
          <w:sz w:val="24"/>
          <w:szCs w:val="24"/>
        </w:rPr>
      </w:pPr>
      <w:r w:rsidRPr="00AF4909">
        <w:rPr>
          <w:rFonts w:ascii="Times New Roman" w:hAnsi="Times New Roman" w:cs="Times New Roman"/>
          <w:sz w:val="24"/>
          <w:szCs w:val="24"/>
        </w:rPr>
        <w:t>The Varma episode has exposed the fragility of the Veeraswami Framework. While the ruing envisioned a judiciary capable of self-regulation, the events of 2025 suggest that internal mechanism, may falter under the weight of the institutional image. The case has also reignited calls for a statutory judicial conduct commission with independent investigative powers and public accountability.</w:t>
      </w:r>
      <w:r>
        <w:rPr>
          <w:rStyle w:val="FootnoteReference"/>
          <w:rFonts w:ascii="Times New Roman" w:hAnsi="Times New Roman" w:cs="Times New Roman"/>
          <w:sz w:val="24"/>
          <w:szCs w:val="24"/>
        </w:rPr>
        <w:footnoteReference w:id="10"/>
      </w:r>
    </w:p>
    <w:p w14:paraId="5AF062A5" w14:textId="77777777" w:rsidR="00F10BC8" w:rsidRDefault="00F10BC8" w:rsidP="00F10BC8">
      <w:pPr>
        <w:spacing w:line="360" w:lineRule="auto"/>
        <w:jc w:val="both"/>
        <w:rPr>
          <w:rFonts w:ascii="Times New Roman" w:hAnsi="Times New Roman" w:cs="Times New Roman"/>
          <w:b/>
          <w:bCs/>
          <w:sz w:val="28"/>
          <w:szCs w:val="28"/>
        </w:rPr>
      </w:pPr>
      <w:r w:rsidRPr="00AF4909">
        <w:rPr>
          <w:rFonts w:ascii="Times New Roman" w:hAnsi="Times New Roman" w:cs="Times New Roman"/>
          <w:b/>
          <w:bCs/>
          <w:sz w:val="28"/>
          <w:szCs w:val="28"/>
        </w:rPr>
        <w:t>India’s In-House Judicial Process: Mechanism or Mirage?</w:t>
      </w:r>
    </w:p>
    <w:p w14:paraId="5305302D" w14:textId="77777777" w:rsidR="00F10BC8" w:rsidRDefault="00F10BC8" w:rsidP="00F10BC8">
      <w:pPr>
        <w:spacing w:line="360" w:lineRule="auto"/>
        <w:jc w:val="both"/>
        <w:rPr>
          <w:rFonts w:ascii="Times New Roman" w:hAnsi="Times New Roman" w:cs="Times New Roman"/>
          <w:sz w:val="24"/>
          <w:szCs w:val="24"/>
        </w:rPr>
      </w:pPr>
      <w:r>
        <w:rPr>
          <w:rFonts w:ascii="Times New Roman" w:hAnsi="Times New Roman" w:cs="Times New Roman"/>
          <w:sz w:val="24"/>
          <w:szCs w:val="24"/>
        </w:rPr>
        <w:t>In response to the Veeraswami ruling, the Indian Judiciary developed a confidential “in-house procedure” to investigate misconduct among the High Court and Supreme Court Judges. This non statutory mechanism allows the CJI to initiate the internal inquiry by appointing the committee other judges when any allegations surface. Its intent is to safeguard judicial integrity without any external interference, balancing the judiciary’s independence with some degrees of oversight.</w:t>
      </w:r>
    </w:p>
    <w:p w14:paraId="687F5F2D" w14:textId="09860CA2" w:rsidR="00F10BC8" w:rsidRDefault="00F10BC8" w:rsidP="00F10BC8">
      <w:pPr>
        <w:spacing w:line="360" w:lineRule="auto"/>
        <w:jc w:val="both"/>
        <w:rPr>
          <w:rFonts w:ascii="Times New Roman" w:hAnsi="Times New Roman" w:cs="Times New Roman"/>
          <w:sz w:val="24"/>
          <w:szCs w:val="24"/>
        </w:rPr>
      </w:pPr>
      <w:r>
        <w:rPr>
          <w:rFonts w:ascii="Times New Roman" w:hAnsi="Times New Roman" w:cs="Times New Roman"/>
          <w:sz w:val="24"/>
          <w:szCs w:val="24"/>
        </w:rPr>
        <w:t>In the case of Justice Yashwant Varma, this system was activated t quickly following the discovery of unaccounted cash at his residence. A three-judge panel was formed and conducted a prompt review, ultimately recommending his removal. While the speed of the process was unprecedented, its opacity drew sharp criticism. The panel’s finding, though submitted to the executive for action, were note released to the public-leaving many to question whether internal scrutiny alone can uphold the confidence of the citizens of Indian in the Judiciary</w:t>
      </w:r>
      <w:r w:rsidR="00B006C2">
        <w:rPr>
          <w:rFonts w:ascii="Times New Roman" w:hAnsi="Times New Roman" w:cs="Times New Roman"/>
          <w:sz w:val="24"/>
          <w:szCs w:val="24"/>
        </w:rPr>
        <w:t>.</w:t>
      </w:r>
      <w:r w:rsidR="00B006C2">
        <w:rPr>
          <w:rStyle w:val="FootnoteReference"/>
          <w:rFonts w:ascii="Times New Roman" w:hAnsi="Times New Roman" w:cs="Times New Roman"/>
          <w:sz w:val="24"/>
          <w:szCs w:val="24"/>
        </w:rPr>
        <w:footnoteReference w:id="11"/>
      </w:r>
    </w:p>
    <w:p w14:paraId="79733A21" w14:textId="77777777" w:rsidR="00F10BC8" w:rsidRDefault="00F10BC8" w:rsidP="00F10BC8">
      <w:pPr>
        <w:spacing w:line="360" w:lineRule="auto"/>
        <w:jc w:val="both"/>
        <w:rPr>
          <w:rFonts w:ascii="Times New Roman" w:hAnsi="Times New Roman" w:cs="Times New Roman"/>
          <w:sz w:val="24"/>
          <w:szCs w:val="24"/>
        </w:rPr>
      </w:pPr>
      <w:r>
        <w:rPr>
          <w:rFonts w:ascii="Times New Roman" w:hAnsi="Times New Roman" w:cs="Times New Roman"/>
          <w:sz w:val="24"/>
          <w:szCs w:val="24"/>
        </w:rPr>
        <w:t>Supporters of the inhouse process argue that it maintains the decorum of the judiciary and avoids the premature reputational damage, and protect the judges form the political pressure or other situations which could affect the integrity of the judiciary and its independency. Unlike the statutory mechanisms. The inhouse procedure does not result in binding decisions, its conclusions are merely advisory and cannot mandate resignation or prosecution. Even when the findings the points to grave the misconduct, the path forward relies on political will to initiate impeachment, a process that is slow and rarely successful.</w:t>
      </w:r>
    </w:p>
    <w:p w14:paraId="5489FCB2" w14:textId="3D85332F" w:rsidR="00F10BC8" w:rsidRPr="00E97AC4" w:rsidRDefault="00F10BC8" w:rsidP="00F10BC8">
      <w:pPr>
        <w:spacing w:line="360" w:lineRule="auto"/>
        <w:jc w:val="both"/>
        <w:rPr>
          <w:rFonts w:ascii="Times New Roman" w:hAnsi="Times New Roman" w:cs="Times New Roman"/>
          <w:b/>
          <w:bCs/>
          <w:sz w:val="28"/>
          <w:szCs w:val="28"/>
        </w:rPr>
      </w:pPr>
      <w:r>
        <w:rPr>
          <w:rFonts w:ascii="Times New Roman" w:hAnsi="Times New Roman" w:cs="Times New Roman"/>
          <w:b/>
          <w:bCs/>
          <w:sz w:val="28"/>
          <w:szCs w:val="28"/>
        </w:rPr>
        <w:lastRenderedPageBreak/>
        <w:t>Executive vs Judiciary: Rising Tensions in a Constitutional Democracy</w:t>
      </w:r>
    </w:p>
    <w:p w14:paraId="4CB02A7B" w14:textId="7C2CDEC8" w:rsidR="00F10BC8" w:rsidRDefault="00F10BC8" w:rsidP="00F10BC8">
      <w:pPr>
        <w:spacing w:line="360" w:lineRule="auto"/>
        <w:jc w:val="both"/>
        <w:rPr>
          <w:rFonts w:ascii="Times New Roman" w:hAnsi="Times New Roman" w:cs="Times New Roman"/>
          <w:sz w:val="24"/>
          <w:szCs w:val="24"/>
        </w:rPr>
      </w:pPr>
      <w:r>
        <w:rPr>
          <w:rFonts w:ascii="Times New Roman" w:hAnsi="Times New Roman" w:cs="Times New Roman"/>
          <w:sz w:val="24"/>
          <w:szCs w:val="24"/>
        </w:rPr>
        <w:t>In addition to putting the internal workings of judicial accountability to the test, the Justice Yashwant Varma affair has provoked a heated debate among India’s constitutional institutions. Vice President Jagdeep Dhankhar made the most notable intervention when he openly denounced the ongoing the use of Veeraswami precedent. He demanded that a first information report (FIR) to be filed and that the 1991 ruling gives the CJI prosecution authority be reviewed, citing the finding of unaccounted cash at the official residence of Justice Yashwant Varma. With the declaration, a sitting constitutional authority made a rare scathing critique of judicial self-regulation.</w:t>
      </w:r>
      <w:r w:rsidR="00B006C2">
        <w:rPr>
          <w:rStyle w:val="FootnoteReference"/>
          <w:rFonts w:ascii="Times New Roman" w:hAnsi="Times New Roman" w:cs="Times New Roman"/>
          <w:sz w:val="24"/>
          <w:szCs w:val="24"/>
        </w:rPr>
        <w:footnoteReference w:id="12"/>
      </w:r>
    </w:p>
    <w:p w14:paraId="1D5A8727" w14:textId="77777777" w:rsidR="00F10BC8" w:rsidRDefault="00F10BC8" w:rsidP="00F10BC8">
      <w:pPr>
        <w:spacing w:line="360" w:lineRule="auto"/>
        <w:jc w:val="both"/>
        <w:rPr>
          <w:rFonts w:ascii="Times New Roman" w:hAnsi="Times New Roman" w:cs="Times New Roman"/>
          <w:sz w:val="24"/>
          <w:szCs w:val="24"/>
        </w:rPr>
      </w:pPr>
      <w:r>
        <w:rPr>
          <w:rFonts w:ascii="Times New Roman" w:hAnsi="Times New Roman" w:cs="Times New Roman"/>
          <w:sz w:val="24"/>
          <w:szCs w:val="24"/>
        </w:rPr>
        <w:t>Discussion over the boundaries of executive commentary in legal proceedings have been sparked by Vice President Dhankhar’s comment. Some observed that his intervention would violate the separation of power principle, while others saw it as a valid statement of concern. Though internal talks indicate unease with the executive’s direct intervention in this ongoing case under judicial investigation.</w:t>
      </w:r>
    </w:p>
    <w:p w14:paraId="5A507512" w14:textId="6AAF530D" w:rsidR="00F10BC8" w:rsidRDefault="00F10BC8" w:rsidP="00F10BC8">
      <w:pPr>
        <w:spacing w:line="360" w:lineRule="auto"/>
        <w:jc w:val="both"/>
        <w:rPr>
          <w:rFonts w:ascii="Times New Roman" w:hAnsi="Times New Roman" w:cs="Times New Roman"/>
          <w:sz w:val="24"/>
          <w:szCs w:val="24"/>
        </w:rPr>
      </w:pPr>
      <w:r>
        <w:rPr>
          <w:rFonts w:ascii="Times New Roman" w:hAnsi="Times New Roman" w:cs="Times New Roman"/>
          <w:sz w:val="24"/>
          <w:szCs w:val="24"/>
        </w:rPr>
        <w:t>This case reflects a broader unease: growing impatience within the political class over judicial insulation and the judiciary’s cautious approach to disciplinary transparency. It also encourages the contemplation of the fine line that separates institutional overreach from productive constitutional discourse. Public demands for casting the criminal prosecution, particularly without waiting for the results of the formal inquiries, might be viewed as pressuring an already overburdened system, even when criticism of court opacity is not unjustified. The Varma Case serves as an example for transparent procedure as well as reciprocal constitutional respect.</w:t>
      </w:r>
    </w:p>
    <w:p w14:paraId="4DD8747A" w14:textId="77777777" w:rsidR="00B006C2" w:rsidRDefault="00B006C2" w:rsidP="00B006C2">
      <w:pPr>
        <w:spacing w:line="360" w:lineRule="auto"/>
        <w:jc w:val="both"/>
        <w:rPr>
          <w:rFonts w:ascii="Times New Roman" w:hAnsi="Times New Roman" w:cs="Times New Roman"/>
          <w:bCs/>
          <w:sz w:val="24"/>
          <w:szCs w:val="24"/>
        </w:rPr>
      </w:pPr>
      <w:r w:rsidRPr="008C526A">
        <w:rPr>
          <w:rFonts w:ascii="Times New Roman" w:hAnsi="Times New Roman" w:cs="Times New Roman"/>
          <w:b/>
          <w:bCs/>
          <w:sz w:val="28"/>
          <w:szCs w:val="28"/>
        </w:rPr>
        <w:t>Media, Perception &amp; Public Trust</w:t>
      </w:r>
    </w:p>
    <w:p w14:paraId="03F93A66" w14:textId="643DD411" w:rsidR="00B006C2" w:rsidRDefault="00B006C2" w:rsidP="00B006C2">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The Yashwant Varma case quickly attracted public interest due to considerable media coverage that followed. Imaged and unofficial stories of burned unaccounted cash started making the rounds on news channels and social media within hours of the incident at official residence of Justice Yashwant Varma in Delhi. Long before any formal statement or court decision was made public, this quick release of the incomplete material aided in shaping the public narrative for the judiciary. This Problem was quickly sensationalized by the mainstream media. Headlines were dominated by phrases like “the burning bench” and “cash stash scandal”. Without knowing the whole details, the news debates conjectured about Justice Varma’s </w:t>
      </w:r>
      <w:r>
        <w:rPr>
          <w:rFonts w:ascii="Times New Roman" w:hAnsi="Times New Roman" w:cs="Times New Roman"/>
          <w:bCs/>
          <w:sz w:val="24"/>
          <w:szCs w:val="24"/>
        </w:rPr>
        <w:lastRenderedPageBreak/>
        <w:t>culpability, questioned the legitimacy of the judiciary and even questioned the jurisdiction of the inhouse committee.</w:t>
      </w:r>
    </w:p>
    <w:p w14:paraId="0B4218E0" w14:textId="77777777" w:rsidR="00B006C2" w:rsidRDefault="00B006C2" w:rsidP="00B006C2">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In democracy, public debate is essential, but it can be difficult to distinguish between openness and bias. In this instance, the media’s enthusiastic coverage ran the risk of compromising due process. Media trials have the potential to obscure legal nuances and undermine public confidence in institutional justice, particularly when they involve intricate constitutional procedures. Critics contend that media organizations exploited popularise and increased divisiveness and mistrust by putting ratings ahead of accountability.</w:t>
      </w:r>
    </w:p>
    <w:p w14:paraId="01C0F73C" w14:textId="206C2B50" w:rsidR="00B006C2" w:rsidRDefault="00B006C2" w:rsidP="00B006C2">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However, proponents of media activism contend that the system might have stagnated or chosen a tactful compromise of not heavy public pressure and scrutiny. They point out that results from Veeraswami and internal mechanism are rarely made public due to their procedurally opaque nature. According to this perspective, media attention compels institutions that would otherwise be reluctant to disclose to scrutiny.</w:t>
      </w:r>
      <w:r>
        <w:rPr>
          <w:rStyle w:val="FootnoteReference"/>
          <w:rFonts w:ascii="Times New Roman" w:hAnsi="Times New Roman" w:cs="Times New Roman"/>
          <w:bCs/>
          <w:sz w:val="24"/>
          <w:szCs w:val="24"/>
        </w:rPr>
        <w:footnoteReference w:id="13"/>
      </w:r>
    </w:p>
    <w:p w14:paraId="2F49BECB" w14:textId="1065D2A1" w:rsidR="00B006C2" w:rsidRDefault="00B006C2" w:rsidP="00B006C2">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Because of the dual realities, the judiciary must strike a challenging balance between maintain institutional dignity and satisfying public demands for accountability. The Justice Varma case serves as an example of how quickly perception may turn the procedure and how the media could set the narrative, can turn oversight into the overreach. Restoring public trust in a system that depends on credibility will necessitate both internal reform and a more conscientious media landscape that informs without inciting. </w:t>
      </w:r>
      <w:r w:rsidRPr="005071F4">
        <w:rPr>
          <w:rFonts w:ascii="Times New Roman" w:hAnsi="Times New Roman" w:cs="Times New Roman"/>
          <w:bCs/>
          <w:sz w:val="24"/>
          <w:szCs w:val="24"/>
        </w:rPr>
        <w:t>At stake in the Justice Varma episode is not merely the standing of a single individual, but the credibility of an entire constitutional institution. As media narratives unfold faster than official inquiries, the public is often left with perception rather than proof. Without established norms for how the judiciary communicates during crises, speculation can fill the vacuum, shaping opinion long before evidence is exam</w:t>
      </w:r>
      <w:r>
        <w:rPr>
          <w:rFonts w:ascii="Times New Roman" w:hAnsi="Times New Roman" w:cs="Times New Roman"/>
          <w:bCs/>
          <w:sz w:val="24"/>
          <w:szCs w:val="24"/>
        </w:rPr>
        <w:t>ined.</w:t>
      </w:r>
    </w:p>
    <w:p w14:paraId="1023F006" w14:textId="77777777" w:rsidR="00B006C2" w:rsidRDefault="00B006C2" w:rsidP="00B006C2">
      <w:pPr>
        <w:spacing w:line="360" w:lineRule="auto"/>
        <w:jc w:val="both"/>
        <w:rPr>
          <w:rFonts w:ascii="Times New Roman" w:hAnsi="Times New Roman" w:cs="Times New Roman"/>
          <w:b/>
          <w:sz w:val="28"/>
          <w:szCs w:val="28"/>
        </w:rPr>
      </w:pPr>
      <w:r w:rsidRPr="005071F4">
        <w:rPr>
          <w:rFonts w:ascii="Times New Roman" w:hAnsi="Times New Roman" w:cs="Times New Roman"/>
          <w:b/>
          <w:sz w:val="28"/>
          <w:szCs w:val="28"/>
        </w:rPr>
        <w:t>Bridging the Gap: Reforming Judicial Accountability in India</w:t>
      </w:r>
    </w:p>
    <w:p w14:paraId="4DBBDD49" w14:textId="77777777" w:rsidR="00B006C2" w:rsidRDefault="00B006C2" w:rsidP="00B006C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Justice Yashwant Varma controversy has brought into focus the urgent need to reimagine India’s framework of Judicial accountability. While the K. Veeraswami ruling provided a doctrinal basis that balanced judicial independence with internal oversight, recent episodes have exposed its practical deficiencies. The current system has drawn more criticism for its inability to guarantee prompt and open accountability because it is mostly reliant on an internal process that is unsupported by statues and on vague constitutional requirements for judicial </w:t>
      </w:r>
      <w:r>
        <w:rPr>
          <w:rFonts w:ascii="Times New Roman" w:hAnsi="Times New Roman" w:cs="Times New Roman"/>
          <w:sz w:val="24"/>
          <w:szCs w:val="24"/>
        </w:rPr>
        <w:lastRenderedPageBreak/>
        <w:t>misconduct. Scholars and officials are pressing for the significant reforms which could help to balance the need to protect the judicial independence with the necessity to check the judicial procedure as public trust in the court declines.</w:t>
      </w:r>
    </w:p>
    <w:p w14:paraId="3B2521D2" w14:textId="35FBC35E" w:rsidR="00B006C2" w:rsidRDefault="00B006C2" w:rsidP="00B006C2">
      <w:pPr>
        <w:spacing w:line="360" w:lineRule="auto"/>
        <w:jc w:val="both"/>
      </w:pPr>
      <w:r>
        <w:rPr>
          <w:rFonts w:ascii="Times New Roman" w:hAnsi="Times New Roman" w:cs="Times New Roman"/>
          <w:sz w:val="24"/>
          <w:szCs w:val="24"/>
        </w:rPr>
        <w:t xml:space="preserve">The creation of a formal </w:t>
      </w:r>
      <w:r w:rsidRPr="005033F7">
        <w:rPr>
          <w:rFonts w:ascii="Times New Roman" w:hAnsi="Times New Roman" w:cs="Times New Roman"/>
          <w:b/>
          <w:bCs/>
          <w:sz w:val="24"/>
          <w:szCs w:val="24"/>
        </w:rPr>
        <w:t>Judicial Conduct Commissio</w:t>
      </w:r>
      <w:r>
        <w:rPr>
          <w:rFonts w:ascii="Times New Roman" w:hAnsi="Times New Roman" w:cs="Times New Roman"/>
          <w:b/>
          <w:bCs/>
          <w:sz w:val="24"/>
          <w:szCs w:val="24"/>
        </w:rPr>
        <w:t>n</w:t>
      </w:r>
      <w:r>
        <w:rPr>
          <w:rFonts w:ascii="Times New Roman" w:hAnsi="Times New Roman" w:cs="Times New Roman"/>
          <w:sz w:val="24"/>
          <w:szCs w:val="24"/>
        </w:rPr>
        <w:t xml:space="preserve"> is a key reform initiative for maintain the transparency and accountability of the judiciary. Such a commission would be an independent entity with well-defined investigation powers to investigate complaints against the judges at High Court and Supreme Court levels, and it would be modelled after oversight agencies in other developed democracies. A statutory commission would to the opaque inhouse inquiry structure which is created at the Chief Justice of India’s sole discretion and sometimes shrouded in secret. To maintain a balance between professional insight and public accountability. Its membership may consist of retired judges, distinguished legal experts, and representatives from civil society. </w:t>
      </w:r>
      <w:r w:rsidRPr="005033F7">
        <w:t>Proponents argue that an independent commission could reduce perceptions of internal bias and restore public faith in the judiciary’s ability to police itself</w:t>
      </w:r>
      <w:r>
        <w:t>.</w:t>
      </w:r>
      <w:r>
        <w:rPr>
          <w:rStyle w:val="FootnoteReference"/>
        </w:rPr>
        <w:footnoteReference w:id="14"/>
      </w:r>
    </w:p>
    <w:p w14:paraId="1A8F4923" w14:textId="77777777" w:rsidR="00B006C2" w:rsidRDefault="00B006C2" w:rsidP="00B006C2">
      <w:pPr>
        <w:spacing w:line="360" w:lineRule="auto"/>
        <w:jc w:val="both"/>
        <w:rPr>
          <w:rFonts w:ascii="Times New Roman" w:hAnsi="Times New Roman" w:cs="Times New Roman"/>
          <w:sz w:val="24"/>
          <w:szCs w:val="24"/>
        </w:rPr>
      </w:pPr>
      <w:r w:rsidRPr="00366A30">
        <w:rPr>
          <w:rFonts w:ascii="Times New Roman" w:hAnsi="Times New Roman" w:cs="Times New Roman"/>
          <w:sz w:val="24"/>
          <w:szCs w:val="24"/>
        </w:rPr>
        <w:t xml:space="preserve">Alongside institutional reforms, there is a need to revisit the constitutional standards for the removal of judges. Presently, Articles 124(4) and 217(1)(b) </w:t>
      </w:r>
      <w:r>
        <w:rPr>
          <w:rFonts w:ascii="Times New Roman" w:hAnsi="Times New Roman" w:cs="Times New Roman"/>
          <w:sz w:val="24"/>
          <w:szCs w:val="24"/>
        </w:rPr>
        <w:t xml:space="preserve">of Constitution of India, </w:t>
      </w:r>
      <w:r w:rsidRPr="00366A30">
        <w:rPr>
          <w:rFonts w:ascii="Times New Roman" w:hAnsi="Times New Roman" w:cs="Times New Roman"/>
          <w:sz w:val="24"/>
          <w:szCs w:val="24"/>
        </w:rPr>
        <w:t xml:space="preserve">require an exceedingly high threshold of “proved misbehaviour” to initiate impeachment proceedings. While this safeguard is </w:t>
      </w:r>
      <w:r>
        <w:rPr>
          <w:rFonts w:ascii="Times New Roman" w:hAnsi="Times New Roman" w:cs="Times New Roman"/>
          <w:sz w:val="24"/>
          <w:szCs w:val="24"/>
        </w:rPr>
        <w:t>focused</w:t>
      </w:r>
      <w:r w:rsidRPr="00366A30">
        <w:rPr>
          <w:rFonts w:ascii="Times New Roman" w:hAnsi="Times New Roman" w:cs="Times New Roman"/>
          <w:sz w:val="24"/>
          <w:szCs w:val="24"/>
        </w:rPr>
        <w:t xml:space="preserve"> to protect judicial independence from </w:t>
      </w:r>
      <w:r>
        <w:rPr>
          <w:rFonts w:ascii="Times New Roman" w:hAnsi="Times New Roman" w:cs="Times New Roman"/>
          <w:sz w:val="24"/>
          <w:szCs w:val="24"/>
        </w:rPr>
        <w:t>will full</w:t>
      </w:r>
      <w:r w:rsidRPr="00366A30">
        <w:rPr>
          <w:rFonts w:ascii="Times New Roman" w:hAnsi="Times New Roman" w:cs="Times New Roman"/>
          <w:sz w:val="24"/>
          <w:szCs w:val="24"/>
        </w:rPr>
        <w:t xml:space="preserve"> political intervention, it has also effectively paralyzed any meaningful accountability in instances of moderate to severe ethical lapses. Critics contend that the current definition of “misbehaviour” is too narrow and ambiguous. They advocate for a broader</w:t>
      </w:r>
      <w:r>
        <w:rPr>
          <w:rFonts w:ascii="Times New Roman" w:hAnsi="Times New Roman" w:cs="Times New Roman"/>
          <w:sz w:val="24"/>
          <w:szCs w:val="24"/>
        </w:rPr>
        <w:t xml:space="preserve"> and</w:t>
      </w:r>
      <w:r w:rsidRPr="00366A30">
        <w:rPr>
          <w:rFonts w:ascii="Times New Roman" w:hAnsi="Times New Roman" w:cs="Times New Roman"/>
          <w:sz w:val="24"/>
          <w:szCs w:val="24"/>
        </w:rPr>
        <w:t xml:space="preserve"> more explicit interpretation that incorporates corruption, conflicts of interest, and consistent negligence. Such reinterpretation or legislative refinement could serve to misconduct and address public concerns without undermining the essential independence of the judiciary.</w:t>
      </w:r>
    </w:p>
    <w:p w14:paraId="2C9DC022" w14:textId="23FCF12C" w:rsidR="00B006C2" w:rsidRPr="00366A30" w:rsidRDefault="00B006C2" w:rsidP="00B006C2">
      <w:pPr>
        <w:spacing w:line="360" w:lineRule="auto"/>
        <w:jc w:val="both"/>
        <w:rPr>
          <w:rFonts w:ascii="Times New Roman" w:hAnsi="Times New Roman" w:cs="Times New Roman"/>
          <w:sz w:val="24"/>
          <w:szCs w:val="24"/>
        </w:rPr>
      </w:pPr>
      <w:r w:rsidRPr="00366A30">
        <w:rPr>
          <w:rFonts w:ascii="Times New Roman" w:hAnsi="Times New Roman" w:cs="Times New Roman"/>
          <w:sz w:val="24"/>
          <w:szCs w:val="24"/>
        </w:rPr>
        <w:t xml:space="preserve">Furthermore, the existing </w:t>
      </w:r>
      <w:r w:rsidRPr="00366A30">
        <w:rPr>
          <w:rFonts w:ascii="Times New Roman" w:hAnsi="Times New Roman" w:cs="Times New Roman"/>
          <w:b/>
          <w:bCs/>
          <w:sz w:val="24"/>
          <w:szCs w:val="24"/>
        </w:rPr>
        <w:t>in-house procedure</w:t>
      </w:r>
      <w:r w:rsidRPr="00366A30">
        <w:rPr>
          <w:rFonts w:ascii="Times New Roman" w:hAnsi="Times New Roman" w:cs="Times New Roman"/>
          <w:sz w:val="24"/>
          <w:szCs w:val="24"/>
        </w:rPr>
        <w:t xml:space="preserve"> warrants a comprehensive </w:t>
      </w:r>
      <w:r>
        <w:rPr>
          <w:rFonts w:ascii="Times New Roman" w:hAnsi="Times New Roman" w:cs="Times New Roman"/>
          <w:sz w:val="24"/>
          <w:szCs w:val="24"/>
        </w:rPr>
        <w:t>revision</w:t>
      </w:r>
      <w:r w:rsidRPr="00366A30">
        <w:rPr>
          <w:rFonts w:ascii="Times New Roman" w:hAnsi="Times New Roman" w:cs="Times New Roman"/>
          <w:sz w:val="24"/>
          <w:szCs w:val="24"/>
        </w:rPr>
        <w:t xml:space="preserve">. This mechanism, though intended as an expedient way to address allegations internally, is </w:t>
      </w:r>
      <w:r>
        <w:rPr>
          <w:rFonts w:ascii="Times New Roman" w:hAnsi="Times New Roman" w:cs="Times New Roman"/>
          <w:sz w:val="24"/>
          <w:szCs w:val="24"/>
        </w:rPr>
        <w:t xml:space="preserve">harmed </w:t>
      </w:r>
      <w:r w:rsidRPr="00366A30">
        <w:rPr>
          <w:rFonts w:ascii="Times New Roman" w:hAnsi="Times New Roman" w:cs="Times New Roman"/>
          <w:sz w:val="24"/>
          <w:szCs w:val="24"/>
        </w:rPr>
        <w:t xml:space="preserve">by its secretive nature and its reliance on subjective evaluations. A reformed in-house process should include clear procedural guidelines, guaranteed rights to a fair hearing for the accused, and the provision for an appeal where necessary. Enhanced transparency in these proceedings would help </w:t>
      </w:r>
      <w:r>
        <w:rPr>
          <w:rFonts w:ascii="Times New Roman" w:hAnsi="Times New Roman" w:cs="Times New Roman"/>
          <w:sz w:val="24"/>
          <w:szCs w:val="24"/>
        </w:rPr>
        <w:t>to clear</w:t>
      </w:r>
      <w:r w:rsidRPr="00366A30">
        <w:rPr>
          <w:rFonts w:ascii="Times New Roman" w:hAnsi="Times New Roman" w:cs="Times New Roman"/>
          <w:sz w:val="24"/>
          <w:szCs w:val="24"/>
        </w:rPr>
        <w:t xml:space="preserve"> the process for the public and strengthen the legitimacy of the judiciary’s self-regulatory efforts.</w:t>
      </w:r>
      <w:r>
        <w:rPr>
          <w:rStyle w:val="FootnoteReference"/>
          <w:rFonts w:ascii="Times New Roman" w:hAnsi="Times New Roman" w:cs="Times New Roman"/>
          <w:sz w:val="24"/>
          <w:szCs w:val="24"/>
        </w:rPr>
        <w:footnoteReference w:id="15"/>
      </w:r>
      <w:r w:rsidRPr="00366A30">
        <w:rPr>
          <w:rFonts w:ascii="Times New Roman" w:hAnsi="Times New Roman" w:cs="Times New Roman"/>
          <w:sz w:val="24"/>
          <w:szCs w:val="24"/>
        </w:rPr>
        <w:t xml:space="preserve"> Establishing time-bound protocols for sanction requests under the </w:t>
      </w:r>
      <w:r w:rsidRPr="00366A30">
        <w:rPr>
          <w:rFonts w:ascii="Times New Roman" w:hAnsi="Times New Roman" w:cs="Times New Roman"/>
          <w:sz w:val="24"/>
          <w:szCs w:val="24"/>
        </w:rPr>
        <w:lastRenderedPageBreak/>
        <w:t>Veeraswami framework is also essential to prevent delays that currently dilute the process's effectiveness.</w:t>
      </w:r>
    </w:p>
    <w:p w14:paraId="3AE0A5AE" w14:textId="77777777" w:rsidR="00B006C2" w:rsidRDefault="00B006C2" w:rsidP="00B006C2">
      <w:pPr>
        <w:spacing w:line="360" w:lineRule="auto"/>
        <w:jc w:val="both"/>
        <w:rPr>
          <w:rFonts w:ascii="Times New Roman" w:hAnsi="Times New Roman" w:cs="Times New Roman"/>
          <w:sz w:val="24"/>
          <w:szCs w:val="24"/>
        </w:rPr>
      </w:pPr>
      <w:r>
        <w:rPr>
          <w:rFonts w:ascii="Times New Roman" w:hAnsi="Times New Roman" w:cs="Times New Roman"/>
          <w:sz w:val="24"/>
          <w:szCs w:val="24"/>
        </w:rPr>
        <w:t>T</w:t>
      </w:r>
      <w:r w:rsidRPr="00366A30">
        <w:rPr>
          <w:rFonts w:ascii="Times New Roman" w:hAnsi="Times New Roman" w:cs="Times New Roman"/>
          <w:sz w:val="24"/>
          <w:szCs w:val="24"/>
        </w:rPr>
        <w:t xml:space="preserve">he Varma controversy underscores the urgent need to bridge the gap between institutional self-regulation and public accountability in India’s judicial system. Whether through creating an independent statutory commission, revising the constitutional criteria for judicial removal, or rigorously reforming internal procedures, meaningful changes are imperative for restoring credibility and trust in the judiciary. Only by adopting a balanced approach that upholds the principles of both </w:t>
      </w:r>
      <w:r>
        <w:rPr>
          <w:rFonts w:ascii="Times New Roman" w:hAnsi="Times New Roman" w:cs="Times New Roman"/>
          <w:sz w:val="24"/>
          <w:szCs w:val="24"/>
        </w:rPr>
        <w:t xml:space="preserve">the </w:t>
      </w:r>
      <w:r w:rsidRPr="00366A30">
        <w:rPr>
          <w:rFonts w:ascii="Times New Roman" w:hAnsi="Times New Roman" w:cs="Times New Roman"/>
          <w:sz w:val="24"/>
          <w:szCs w:val="24"/>
        </w:rPr>
        <w:t>accountability and independence</w:t>
      </w:r>
      <w:r>
        <w:rPr>
          <w:rFonts w:ascii="Times New Roman" w:hAnsi="Times New Roman" w:cs="Times New Roman"/>
          <w:sz w:val="24"/>
          <w:szCs w:val="24"/>
        </w:rPr>
        <w:t xml:space="preserve"> </w:t>
      </w:r>
      <w:r w:rsidRPr="00366A30">
        <w:rPr>
          <w:rFonts w:ascii="Times New Roman" w:hAnsi="Times New Roman" w:cs="Times New Roman"/>
          <w:sz w:val="24"/>
          <w:szCs w:val="24"/>
        </w:rPr>
        <w:t xml:space="preserve">can India ensure that its judicial institutions remain </w:t>
      </w:r>
      <w:r>
        <w:rPr>
          <w:rFonts w:ascii="Times New Roman" w:hAnsi="Times New Roman" w:cs="Times New Roman"/>
          <w:sz w:val="24"/>
          <w:szCs w:val="24"/>
        </w:rPr>
        <w:t>impartial</w:t>
      </w:r>
      <w:r w:rsidRPr="00366A30">
        <w:rPr>
          <w:rFonts w:ascii="Times New Roman" w:hAnsi="Times New Roman" w:cs="Times New Roman"/>
          <w:sz w:val="24"/>
          <w:szCs w:val="24"/>
        </w:rPr>
        <w:t xml:space="preserve"> and respected in the years to come.</w:t>
      </w:r>
    </w:p>
    <w:p w14:paraId="33FE1C71" w14:textId="77777777" w:rsidR="00B006C2" w:rsidRDefault="00B006C2" w:rsidP="00B006C2">
      <w:pPr>
        <w:spacing w:line="360" w:lineRule="auto"/>
        <w:jc w:val="both"/>
        <w:rPr>
          <w:rFonts w:ascii="Times New Roman" w:hAnsi="Times New Roman" w:cs="Times New Roman"/>
          <w:b/>
          <w:sz w:val="28"/>
          <w:szCs w:val="28"/>
        </w:rPr>
      </w:pPr>
      <w:r>
        <w:rPr>
          <w:rFonts w:ascii="Times New Roman" w:hAnsi="Times New Roman" w:cs="Times New Roman"/>
          <w:b/>
          <w:sz w:val="28"/>
          <w:szCs w:val="28"/>
        </w:rPr>
        <w:t>Conclusion</w:t>
      </w:r>
    </w:p>
    <w:p w14:paraId="3695F052" w14:textId="77777777" w:rsidR="00B006C2" w:rsidRDefault="00B006C2" w:rsidP="00B006C2">
      <w:pPr>
        <w:spacing w:line="360" w:lineRule="auto"/>
        <w:jc w:val="both"/>
        <w:rPr>
          <w:rFonts w:ascii="Times New Roman" w:hAnsi="Times New Roman" w:cs="Times New Roman"/>
          <w:bCs/>
          <w:sz w:val="24"/>
          <w:szCs w:val="24"/>
        </w:rPr>
      </w:pPr>
      <w:r w:rsidRPr="00E813A6">
        <w:rPr>
          <w:rFonts w:ascii="Times New Roman" w:hAnsi="Times New Roman" w:cs="Times New Roman"/>
          <w:bCs/>
          <w:sz w:val="24"/>
          <w:szCs w:val="24"/>
        </w:rPr>
        <w:t>The journey from the K. Veeraswami ruling to the recent Justice Yashwant Varma episode encapsulates India’s evolving struggle to achieve genuine judicial accountability while preserving the core principle of judicial independence. The historical framework</w:t>
      </w:r>
      <w:r>
        <w:rPr>
          <w:rFonts w:ascii="Times New Roman" w:hAnsi="Times New Roman" w:cs="Times New Roman"/>
          <w:bCs/>
          <w:sz w:val="24"/>
          <w:szCs w:val="24"/>
        </w:rPr>
        <w:t xml:space="preserve"> that </w:t>
      </w:r>
      <w:r w:rsidRPr="00E813A6">
        <w:rPr>
          <w:rFonts w:ascii="Times New Roman" w:hAnsi="Times New Roman" w:cs="Times New Roman"/>
          <w:bCs/>
          <w:sz w:val="24"/>
          <w:szCs w:val="24"/>
        </w:rPr>
        <w:t>established over three decades ago</w:t>
      </w:r>
      <w:r>
        <w:rPr>
          <w:rFonts w:ascii="Times New Roman" w:hAnsi="Times New Roman" w:cs="Times New Roman"/>
          <w:bCs/>
          <w:sz w:val="24"/>
          <w:szCs w:val="24"/>
        </w:rPr>
        <w:t xml:space="preserve"> in 1991</w:t>
      </w:r>
      <w:r w:rsidRPr="00E813A6">
        <w:rPr>
          <w:rFonts w:ascii="Times New Roman" w:hAnsi="Times New Roman" w:cs="Times New Roman"/>
          <w:bCs/>
          <w:sz w:val="24"/>
          <w:szCs w:val="24"/>
        </w:rPr>
        <w:t>, envisioned a balanced mechanism where</w:t>
      </w:r>
      <w:r>
        <w:rPr>
          <w:rFonts w:ascii="Times New Roman" w:hAnsi="Times New Roman" w:cs="Times New Roman"/>
          <w:bCs/>
          <w:sz w:val="24"/>
          <w:szCs w:val="24"/>
        </w:rPr>
        <w:t xml:space="preserve"> the </w:t>
      </w:r>
      <w:r w:rsidRPr="00E813A6">
        <w:rPr>
          <w:rFonts w:ascii="Times New Roman" w:hAnsi="Times New Roman" w:cs="Times New Roman"/>
          <w:bCs/>
          <w:sz w:val="24"/>
          <w:szCs w:val="24"/>
        </w:rPr>
        <w:t>judges were subject to scrutiny through an in-house procedure</w:t>
      </w:r>
      <w:r>
        <w:rPr>
          <w:rFonts w:ascii="Times New Roman" w:hAnsi="Times New Roman" w:cs="Times New Roman"/>
          <w:bCs/>
          <w:sz w:val="24"/>
          <w:szCs w:val="24"/>
        </w:rPr>
        <w:t>.</w:t>
      </w:r>
      <w:r w:rsidRPr="00E813A6">
        <w:rPr>
          <w:rFonts w:ascii="Times New Roman" w:hAnsi="Times New Roman" w:cs="Times New Roman"/>
          <w:bCs/>
          <w:sz w:val="24"/>
          <w:szCs w:val="24"/>
        </w:rPr>
        <w:t xml:space="preserve"> </w:t>
      </w:r>
      <w:r>
        <w:rPr>
          <w:rFonts w:ascii="Times New Roman" w:hAnsi="Times New Roman" w:cs="Times New Roman"/>
          <w:bCs/>
          <w:sz w:val="24"/>
          <w:szCs w:val="24"/>
        </w:rPr>
        <w:t>Y</w:t>
      </w:r>
      <w:r w:rsidRPr="00E813A6">
        <w:rPr>
          <w:rFonts w:ascii="Times New Roman" w:hAnsi="Times New Roman" w:cs="Times New Roman"/>
          <w:bCs/>
          <w:sz w:val="24"/>
          <w:szCs w:val="24"/>
        </w:rPr>
        <w:t>et shielded from arbitrary prosecution. However, the Varma controversy has highlighted significant gaps in this self-regulatory model by exposing its inherent opacity, procedural delays, and susceptibility to political and media pressures.</w:t>
      </w:r>
    </w:p>
    <w:p w14:paraId="0059C3FC" w14:textId="260E9428" w:rsidR="00B006C2" w:rsidRPr="00EC52CC" w:rsidRDefault="00B006C2" w:rsidP="00B006C2">
      <w:pPr>
        <w:spacing w:line="360" w:lineRule="auto"/>
        <w:jc w:val="both"/>
        <w:rPr>
          <w:rFonts w:ascii="Times New Roman" w:hAnsi="Times New Roman" w:cs="Times New Roman"/>
          <w:sz w:val="24"/>
          <w:szCs w:val="24"/>
        </w:rPr>
      </w:pPr>
      <w:r w:rsidRPr="00E813A6">
        <w:rPr>
          <w:rFonts w:ascii="Times New Roman" w:hAnsi="Times New Roman" w:cs="Times New Roman"/>
          <w:bCs/>
          <w:sz w:val="24"/>
          <w:szCs w:val="24"/>
        </w:rPr>
        <w:t>In the Varma case, the conflict between internal accountability and public transparency was brought to the for</w:t>
      </w:r>
      <w:r>
        <w:rPr>
          <w:rFonts w:ascii="Times New Roman" w:hAnsi="Times New Roman" w:cs="Times New Roman"/>
          <w:bCs/>
          <w:sz w:val="24"/>
          <w:szCs w:val="24"/>
        </w:rPr>
        <w:t>c</w:t>
      </w:r>
      <w:r w:rsidRPr="00E813A6">
        <w:rPr>
          <w:rFonts w:ascii="Times New Roman" w:hAnsi="Times New Roman" w:cs="Times New Roman"/>
          <w:bCs/>
          <w:sz w:val="24"/>
          <w:szCs w:val="24"/>
        </w:rPr>
        <w:t xml:space="preserve">e. The speedy activation of the in-house process underscored the judiciary’s willingness to address misconduct within its ranks, yet the secretive nature of the proceedings </w:t>
      </w:r>
      <w:r>
        <w:rPr>
          <w:rFonts w:ascii="Times New Roman" w:hAnsi="Times New Roman" w:cs="Times New Roman"/>
          <w:bCs/>
          <w:sz w:val="24"/>
          <w:szCs w:val="24"/>
        </w:rPr>
        <w:t>developed the</w:t>
      </w:r>
      <w:r w:rsidRPr="00E813A6">
        <w:rPr>
          <w:rFonts w:ascii="Times New Roman" w:hAnsi="Times New Roman" w:cs="Times New Roman"/>
          <w:bCs/>
          <w:sz w:val="24"/>
          <w:szCs w:val="24"/>
        </w:rPr>
        <w:t xml:space="preserve"> public distrust and ignited political commentary</w:t>
      </w:r>
      <w:r>
        <w:rPr>
          <w:rFonts w:ascii="Times New Roman" w:hAnsi="Times New Roman" w:cs="Times New Roman"/>
          <w:bCs/>
          <w:sz w:val="24"/>
          <w:szCs w:val="24"/>
        </w:rPr>
        <w:t xml:space="preserve"> in this case</w:t>
      </w:r>
      <w:r w:rsidRPr="00E813A6">
        <w:rPr>
          <w:rFonts w:ascii="Times New Roman" w:hAnsi="Times New Roman" w:cs="Times New Roman"/>
          <w:bCs/>
          <w:sz w:val="24"/>
          <w:szCs w:val="24"/>
        </w:rPr>
        <w:t>. The ensuing debates between the executive and the judiciary, augmented by sensational media coverage, have laid bare the limits of an insulated mechanism that fails to satisfy the modern demands for openness and swift justic</w:t>
      </w:r>
      <w:r>
        <w:rPr>
          <w:rFonts w:ascii="Times New Roman" w:hAnsi="Times New Roman" w:cs="Times New Roman"/>
          <w:bCs/>
          <w:sz w:val="24"/>
          <w:szCs w:val="24"/>
        </w:rPr>
        <w:t>e.</w:t>
      </w:r>
    </w:p>
    <w:p w14:paraId="5723F413" w14:textId="6FCBB7A8" w:rsidR="003F37EC" w:rsidRDefault="00B006C2" w:rsidP="00B006C2">
      <w:pPr>
        <w:spacing w:line="360" w:lineRule="auto"/>
        <w:jc w:val="both"/>
        <w:rPr>
          <w:rFonts w:ascii="Times New Roman" w:hAnsi="Times New Roman" w:cs="Times New Roman"/>
          <w:bCs/>
          <w:sz w:val="24"/>
          <w:szCs w:val="24"/>
        </w:rPr>
      </w:pPr>
      <w:r w:rsidRPr="00E813A6">
        <w:rPr>
          <w:rFonts w:ascii="Times New Roman" w:hAnsi="Times New Roman" w:cs="Times New Roman"/>
          <w:bCs/>
          <w:sz w:val="24"/>
          <w:szCs w:val="24"/>
        </w:rPr>
        <w:t>Reflective analysis of global oversight models reveals that while judicial independence remains paramount, it need not come at the cost of accountability. Reforms such as the establishment of a statutory Judicial Conduct Commission, clearer and broader definitions of “misbehaviour,” and codified procedures with time-bound protocols offer promising avenues to bridge the accountability gap.</w:t>
      </w:r>
    </w:p>
    <w:p w14:paraId="7BDBE24A" w14:textId="77777777" w:rsidR="00B006C2" w:rsidRPr="00B006C2" w:rsidRDefault="00B006C2" w:rsidP="00B006C2">
      <w:pPr>
        <w:spacing w:line="360" w:lineRule="auto"/>
        <w:jc w:val="both"/>
        <w:rPr>
          <w:rFonts w:ascii="Times New Roman" w:hAnsi="Times New Roman" w:cs="Times New Roman"/>
          <w:bCs/>
          <w:sz w:val="24"/>
          <w:szCs w:val="24"/>
        </w:rPr>
      </w:pPr>
    </w:p>
    <w:sectPr w:rsidR="00B006C2" w:rsidRPr="00B006C2" w:rsidSect="007205F5">
      <w:footerReference w:type="first" r:id="rId9"/>
      <w:pgSz w:w="11906" w:h="16838"/>
      <w:pgMar w:top="1440" w:right="1440" w:bottom="1440" w:left="144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35CEEC" w14:textId="77777777" w:rsidR="00750484" w:rsidRDefault="00750484" w:rsidP="00F10BC8">
      <w:pPr>
        <w:spacing w:after="0" w:line="240" w:lineRule="auto"/>
      </w:pPr>
      <w:r>
        <w:separator/>
      </w:r>
    </w:p>
  </w:endnote>
  <w:endnote w:type="continuationSeparator" w:id="0">
    <w:p w14:paraId="2D6B1180" w14:textId="77777777" w:rsidR="00750484" w:rsidRDefault="00750484" w:rsidP="00F10B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9093C0" w14:textId="77777777" w:rsidR="00F10BC8" w:rsidRPr="00FD3739" w:rsidRDefault="00F10BC8" w:rsidP="00F10BC8">
    <w:pPr>
      <w:pStyle w:val="Footer"/>
      <w:numPr>
        <w:ilvl w:val="0"/>
        <w:numId w:val="1"/>
      </w:numPr>
      <w:rPr>
        <w:rFonts w:ascii="Times New Roman" w:hAnsi="Times New Roman" w:cs="Times New Roman"/>
        <w:sz w:val="20"/>
        <w:szCs w:val="20"/>
      </w:rPr>
    </w:pPr>
    <w:r w:rsidRPr="00FD3739">
      <w:rPr>
        <w:rFonts w:ascii="Times New Roman" w:hAnsi="Times New Roman" w:cs="Times New Roman"/>
        <w:sz w:val="20"/>
        <w:szCs w:val="20"/>
      </w:rPr>
      <w:t>Case law: K. Veeraswami v. Union of India (1991)</w:t>
    </w:r>
  </w:p>
  <w:p w14:paraId="408108FD" w14:textId="77777777" w:rsidR="00F10BC8" w:rsidRPr="00FD3739" w:rsidRDefault="00F10BC8" w:rsidP="00F10BC8">
    <w:pPr>
      <w:pStyle w:val="Footer"/>
      <w:numPr>
        <w:ilvl w:val="0"/>
        <w:numId w:val="1"/>
      </w:numPr>
      <w:rPr>
        <w:rFonts w:ascii="Times New Roman" w:hAnsi="Times New Roman" w:cs="Times New Roman"/>
        <w:sz w:val="20"/>
        <w:szCs w:val="20"/>
      </w:rPr>
    </w:pPr>
    <w:r w:rsidRPr="00FD3739">
      <w:rPr>
        <w:rFonts w:ascii="Times New Roman" w:hAnsi="Times New Roman" w:cs="Times New Roman"/>
        <w:sz w:val="20"/>
        <w:szCs w:val="20"/>
      </w:rPr>
      <w:t>Prevention of Corruption Act, 194</w:t>
    </w:r>
    <w:r>
      <w:rPr>
        <w:rFonts w:ascii="Times New Roman" w:hAnsi="Times New Roman" w:cs="Times New Roman"/>
        <w:sz w:val="20"/>
        <w:szCs w:val="20"/>
      </w:rPr>
      <w:t>7</w:t>
    </w:r>
  </w:p>
  <w:p w14:paraId="31429C64" w14:textId="77777777" w:rsidR="00F10BC8" w:rsidRDefault="00F10BC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5B12D3" w14:textId="77777777" w:rsidR="00750484" w:rsidRDefault="00750484" w:rsidP="00F10BC8">
      <w:pPr>
        <w:spacing w:after="0" w:line="240" w:lineRule="auto"/>
      </w:pPr>
      <w:r>
        <w:separator/>
      </w:r>
    </w:p>
  </w:footnote>
  <w:footnote w:type="continuationSeparator" w:id="0">
    <w:p w14:paraId="7BB0B617" w14:textId="77777777" w:rsidR="00750484" w:rsidRDefault="00750484" w:rsidP="00F10BC8">
      <w:pPr>
        <w:spacing w:after="0" w:line="240" w:lineRule="auto"/>
      </w:pPr>
      <w:r>
        <w:continuationSeparator/>
      </w:r>
    </w:p>
  </w:footnote>
  <w:footnote w:id="1">
    <w:p w14:paraId="744C9FDB" w14:textId="653D654B" w:rsidR="00F10BC8" w:rsidRPr="00B006C2" w:rsidRDefault="00F10BC8">
      <w:pPr>
        <w:pStyle w:val="FootnoteText"/>
        <w:rPr>
          <w:rFonts w:ascii="Times New Roman" w:hAnsi="Times New Roman" w:cs="Times New Roman"/>
        </w:rPr>
      </w:pPr>
      <w:r w:rsidRPr="00B006C2">
        <w:rPr>
          <w:rStyle w:val="FootnoteReference"/>
          <w:rFonts w:ascii="Times New Roman" w:hAnsi="Times New Roman" w:cs="Times New Roman"/>
        </w:rPr>
        <w:footnoteRef/>
      </w:r>
      <w:r w:rsidRPr="00B006C2">
        <w:rPr>
          <w:rFonts w:ascii="Times New Roman" w:hAnsi="Times New Roman" w:cs="Times New Roman"/>
        </w:rPr>
        <w:t xml:space="preserve"> Landmark case of K. Veeraswami v. Union of India (1991)</w:t>
      </w:r>
    </w:p>
  </w:footnote>
  <w:footnote w:id="2">
    <w:p w14:paraId="2AA8AB1C" w14:textId="38285319" w:rsidR="00F10BC8" w:rsidRPr="00B006C2" w:rsidRDefault="00F10BC8">
      <w:pPr>
        <w:pStyle w:val="FootnoteText"/>
        <w:rPr>
          <w:rFonts w:ascii="Times New Roman" w:hAnsi="Times New Roman" w:cs="Times New Roman"/>
        </w:rPr>
      </w:pPr>
      <w:r w:rsidRPr="00B006C2">
        <w:rPr>
          <w:rStyle w:val="FootnoteReference"/>
          <w:rFonts w:ascii="Times New Roman" w:hAnsi="Times New Roman" w:cs="Times New Roman"/>
        </w:rPr>
        <w:footnoteRef/>
      </w:r>
      <w:r w:rsidRPr="00B006C2">
        <w:rPr>
          <w:rFonts w:ascii="Times New Roman" w:hAnsi="Times New Roman" w:cs="Times New Roman"/>
        </w:rPr>
        <w:t xml:space="preserve"> Prevention of Corruption Act, 1947</w:t>
      </w:r>
    </w:p>
  </w:footnote>
  <w:footnote w:id="3">
    <w:p w14:paraId="2E995212" w14:textId="04834259" w:rsidR="00F10BC8" w:rsidRPr="00B006C2" w:rsidRDefault="00F10BC8">
      <w:pPr>
        <w:pStyle w:val="FootnoteText"/>
        <w:rPr>
          <w:rFonts w:ascii="Times New Roman" w:hAnsi="Times New Roman" w:cs="Times New Roman"/>
        </w:rPr>
      </w:pPr>
      <w:r w:rsidRPr="00B006C2">
        <w:rPr>
          <w:rStyle w:val="FootnoteReference"/>
          <w:rFonts w:ascii="Times New Roman" w:hAnsi="Times New Roman" w:cs="Times New Roman"/>
        </w:rPr>
        <w:footnoteRef/>
      </w:r>
      <w:r w:rsidRPr="00B006C2">
        <w:rPr>
          <w:rFonts w:ascii="Times New Roman" w:hAnsi="Times New Roman" w:cs="Times New Roman"/>
        </w:rPr>
        <w:t xml:space="preserve"> K. Veeraswami v. Union of India, (1991) 3 SCC 655</w:t>
      </w:r>
    </w:p>
  </w:footnote>
  <w:footnote w:id="4">
    <w:p w14:paraId="29D661CC" w14:textId="2CCFFAB4" w:rsidR="00B006C2" w:rsidRDefault="00F10BC8">
      <w:pPr>
        <w:pStyle w:val="FootnoteText"/>
        <w:rPr>
          <w:rFonts w:ascii="Times New Roman" w:hAnsi="Times New Roman" w:cs="Times New Roman"/>
        </w:rPr>
      </w:pPr>
      <w:r w:rsidRPr="00B006C2">
        <w:rPr>
          <w:rStyle w:val="FootnoteReference"/>
          <w:rFonts w:ascii="Times New Roman" w:hAnsi="Times New Roman" w:cs="Times New Roman"/>
        </w:rPr>
        <w:footnoteRef/>
      </w:r>
      <w:r w:rsidRPr="00B006C2">
        <w:rPr>
          <w:rFonts w:ascii="Times New Roman" w:hAnsi="Times New Roman" w:cs="Times New Roman"/>
        </w:rPr>
        <w:t xml:space="preserve"> Id. 665-666</w:t>
      </w:r>
    </w:p>
    <w:p w14:paraId="5906AEE0" w14:textId="77777777" w:rsidR="00B006C2" w:rsidRDefault="00B006C2">
      <w:pPr>
        <w:pStyle w:val="FootnoteText"/>
        <w:rPr>
          <w:rFonts w:ascii="Times New Roman" w:hAnsi="Times New Roman" w:cs="Times New Roman"/>
        </w:rPr>
      </w:pPr>
    </w:p>
    <w:p w14:paraId="3AED7C63" w14:textId="77777777" w:rsidR="00227A09" w:rsidRPr="00B006C2" w:rsidRDefault="00227A09">
      <w:pPr>
        <w:pStyle w:val="FootnoteText"/>
        <w:rPr>
          <w:rFonts w:ascii="Times New Roman" w:hAnsi="Times New Roman" w:cs="Times New Roman"/>
        </w:rPr>
      </w:pPr>
    </w:p>
  </w:footnote>
  <w:footnote w:id="5">
    <w:p w14:paraId="753C18C0" w14:textId="520A0C06" w:rsidR="00F10BC8" w:rsidRPr="00B006C2" w:rsidRDefault="00F10BC8">
      <w:pPr>
        <w:pStyle w:val="FootnoteText"/>
        <w:rPr>
          <w:rFonts w:ascii="Times New Roman" w:hAnsi="Times New Roman" w:cs="Times New Roman"/>
        </w:rPr>
      </w:pPr>
      <w:r w:rsidRPr="00B006C2">
        <w:rPr>
          <w:rStyle w:val="FootnoteReference"/>
          <w:rFonts w:ascii="Times New Roman" w:hAnsi="Times New Roman" w:cs="Times New Roman"/>
        </w:rPr>
        <w:footnoteRef/>
      </w:r>
      <w:r w:rsidRPr="00B006C2">
        <w:rPr>
          <w:rFonts w:ascii="Times New Roman" w:hAnsi="Times New Roman" w:cs="Times New Roman"/>
        </w:rPr>
        <w:t xml:space="preserve"> Id. 667</w:t>
      </w:r>
    </w:p>
  </w:footnote>
  <w:footnote w:id="6">
    <w:p w14:paraId="0F82D751" w14:textId="07121912" w:rsidR="00F10BC8" w:rsidRPr="00B006C2" w:rsidRDefault="00F10BC8">
      <w:pPr>
        <w:pStyle w:val="FootnoteText"/>
        <w:rPr>
          <w:rFonts w:ascii="Times New Roman" w:hAnsi="Times New Roman" w:cs="Times New Roman"/>
        </w:rPr>
      </w:pPr>
      <w:r w:rsidRPr="00B006C2">
        <w:rPr>
          <w:rStyle w:val="FootnoteReference"/>
          <w:rFonts w:ascii="Times New Roman" w:hAnsi="Times New Roman" w:cs="Times New Roman"/>
        </w:rPr>
        <w:footnoteRef/>
      </w:r>
      <w:r w:rsidRPr="00B006C2">
        <w:rPr>
          <w:rFonts w:ascii="Times New Roman" w:hAnsi="Times New Roman" w:cs="Times New Roman"/>
        </w:rPr>
        <w:t xml:space="preserve"> “CJI Gogoi Sanction Against Justice S. N. Shukla.” </w:t>
      </w:r>
      <w:r w:rsidRPr="00B006C2">
        <w:rPr>
          <w:rFonts w:ascii="Times New Roman" w:hAnsi="Times New Roman" w:cs="Times New Roman"/>
          <w:i/>
          <w:iCs/>
        </w:rPr>
        <w:t>The Hindu, May 2019</w:t>
      </w:r>
    </w:p>
  </w:footnote>
  <w:footnote w:id="7">
    <w:p w14:paraId="62AED6FB" w14:textId="6C082969" w:rsidR="00F10BC8" w:rsidRPr="00B006C2" w:rsidRDefault="00F10BC8">
      <w:pPr>
        <w:pStyle w:val="FootnoteText"/>
        <w:rPr>
          <w:rFonts w:ascii="Times New Roman" w:hAnsi="Times New Roman" w:cs="Times New Roman"/>
        </w:rPr>
      </w:pPr>
      <w:r w:rsidRPr="00B006C2">
        <w:rPr>
          <w:rStyle w:val="FootnoteReference"/>
          <w:rFonts w:ascii="Times New Roman" w:hAnsi="Times New Roman" w:cs="Times New Roman"/>
        </w:rPr>
        <w:footnoteRef/>
      </w:r>
      <w:r w:rsidRPr="00B006C2">
        <w:rPr>
          <w:rFonts w:ascii="Times New Roman" w:hAnsi="Times New Roman" w:cs="Times New Roman"/>
        </w:rPr>
        <w:t xml:space="preserve"> “In-House Procedure for Judicial Misconduct” PSR Legislative Research (2020)</w:t>
      </w:r>
    </w:p>
  </w:footnote>
  <w:footnote w:id="8">
    <w:p w14:paraId="6902D854" w14:textId="397FC451" w:rsidR="00F10BC8" w:rsidRPr="00B006C2" w:rsidRDefault="00F10BC8">
      <w:pPr>
        <w:pStyle w:val="FootnoteText"/>
        <w:rPr>
          <w:rFonts w:ascii="Times New Roman" w:hAnsi="Times New Roman" w:cs="Times New Roman"/>
        </w:rPr>
      </w:pPr>
      <w:r w:rsidRPr="00B006C2">
        <w:rPr>
          <w:rStyle w:val="FootnoteReference"/>
          <w:rFonts w:ascii="Times New Roman" w:hAnsi="Times New Roman" w:cs="Times New Roman"/>
        </w:rPr>
        <w:footnoteRef/>
      </w:r>
      <w:r w:rsidRPr="00B006C2">
        <w:rPr>
          <w:rFonts w:ascii="Times New Roman" w:hAnsi="Times New Roman" w:cs="Times New Roman"/>
        </w:rPr>
        <w:t xml:space="preserve"> Prevention of Corruption Act, No. 2 of 1947. Section 6 (1) (c)</w:t>
      </w:r>
    </w:p>
  </w:footnote>
  <w:footnote w:id="9">
    <w:p w14:paraId="487FFAC3" w14:textId="52B10114" w:rsidR="00F10BC8" w:rsidRPr="00B006C2" w:rsidRDefault="00F10BC8">
      <w:pPr>
        <w:pStyle w:val="FootnoteText"/>
        <w:rPr>
          <w:rFonts w:ascii="Times New Roman" w:hAnsi="Times New Roman" w:cs="Times New Roman"/>
          <w:i/>
          <w:iCs/>
        </w:rPr>
      </w:pPr>
      <w:r w:rsidRPr="00B006C2">
        <w:rPr>
          <w:rStyle w:val="FootnoteReference"/>
          <w:rFonts w:ascii="Times New Roman" w:hAnsi="Times New Roman" w:cs="Times New Roman"/>
        </w:rPr>
        <w:footnoteRef/>
      </w:r>
      <w:r w:rsidRPr="00B006C2">
        <w:rPr>
          <w:rFonts w:ascii="Times New Roman" w:hAnsi="Times New Roman" w:cs="Times New Roman"/>
        </w:rPr>
        <w:t xml:space="preserve"> “Justice Varma’s Home Fire Uncovers Burnt Cash,” </w:t>
      </w:r>
      <w:r w:rsidRPr="00B006C2">
        <w:rPr>
          <w:rFonts w:ascii="Times New Roman" w:hAnsi="Times New Roman" w:cs="Times New Roman"/>
          <w:i/>
          <w:iCs/>
        </w:rPr>
        <w:t>The Hindu, March 16, 2025</w:t>
      </w:r>
    </w:p>
  </w:footnote>
  <w:footnote w:id="10">
    <w:p w14:paraId="512E75D7" w14:textId="1165F9CD" w:rsidR="00F10BC8" w:rsidRPr="00B006C2" w:rsidRDefault="00F10BC8">
      <w:pPr>
        <w:pStyle w:val="FootnoteText"/>
        <w:rPr>
          <w:rFonts w:ascii="Times New Roman" w:hAnsi="Times New Roman" w:cs="Times New Roman"/>
          <w:i/>
          <w:iCs/>
        </w:rPr>
      </w:pPr>
      <w:r w:rsidRPr="00B006C2">
        <w:rPr>
          <w:rStyle w:val="FootnoteReference"/>
          <w:rFonts w:ascii="Times New Roman" w:hAnsi="Times New Roman" w:cs="Times New Roman"/>
        </w:rPr>
        <w:footnoteRef/>
      </w:r>
      <w:r w:rsidRPr="00B006C2">
        <w:rPr>
          <w:rFonts w:ascii="Times New Roman" w:hAnsi="Times New Roman" w:cs="Times New Roman"/>
        </w:rPr>
        <w:t xml:space="preserve"> “Calls for Judicial Conduct Commission Grow After Varma’s Scandal,” </w:t>
      </w:r>
      <w:r w:rsidRPr="00B006C2">
        <w:rPr>
          <w:rFonts w:ascii="Times New Roman" w:hAnsi="Times New Roman" w:cs="Times New Roman"/>
          <w:i/>
          <w:iCs/>
        </w:rPr>
        <w:t>Indian Express, May 06, 2025</w:t>
      </w:r>
    </w:p>
  </w:footnote>
  <w:footnote w:id="11">
    <w:p w14:paraId="769F52F4" w14:textId="6D4E2CBB" w:rsidR="00B006C2" w:rsidRDefault="00B006C2">
      <w:pPr>
        <w:pStyle w:val="FootnoteText"/>
        <w:rPr>
          <w:rFonts w:ascii="Times New Roman" w:hAnsi="Times New Roman" w:cs="Times New Roman"/>
          <w:i/>
          <w:iCs/>
        </w:rPr>
      </w:pPr>
      <w:r w:rsidRPr="00B006C2">
        <w:rPr>
          <w:rStyle w:val="FootnoteReference"/>
          <w:rFonts w:ascii="Times New Roman" w:hAnsi="Times New Roman" w:cs="Times New Roman"/>
        </w:rPr>
        <w:footnoteRef/>
      </w:r>
      <w:r w:rsidRPr="00B006C2">
        <w:rPr>
          <w:rFonts w:ascii="Times New Roman" w:hAnsi="Times New Roman" w:cs="Times New Roman"/>
        </w:rPr>
        <w:t xml:space="preserve"> “Panel Recommends Removal of Justice Varma,” </w:t>
      </w:r>
      <w:r w:rsidRPr="00B006C2">
        <w:rPr>
          <w:rFonts w:ascii="Times New Roman" w:hAnsi="Times New Roman" w:cs="Times New Roman"/>
          <w:i/>
          <w:iCs/>
        </w:rPr>
        <w:t>Bar &amp; Bench, May 08, 2025</w:t>
      </w:r>
    </w:p>
    <w:p w14:paraId="067AB720" w14:textId="77777777" w:rsidR="00B006C2" w:rsidRDefault="00B006C2">
      <w:pPr>
        <w:pStyle w:val="FootnoteText"/>
        <w:rPr>
          <w:rFonts w:ascii="Times New Roman" w:hAnsi="Times New Roman" w:cs="Times New Roman"/>
          <w:i/>
          <w:iCs/>
        </w:rPr>
      </w:pPr>
    </w:p>
    <w:p w14:paraId="077F9606" w14:textId="77777777" w:rsidR="00B006C2" w:rsidRPr="00B006C2" w:rsidRDefault="00B006C2">
      <w:pPr>
        <w:pStyle w:val="FootnoteText"/>
        <w:rPr>
          <w:rFonts w:ascii="Times New Roman" w:hAnsi="Times New Roman" w:cs="Times New Roman"/>
          <w:i/>
          <w:iCs/>
        </w:rPr>
      </w:pPr>
    </w:p>
  </w:footnote>
  <w:footnote w:id="12">
    <w:p w14:paraId="606B93B1" w14:textId="6D9C3AB9" w:rsidR="00B006C2" w:rsidRPr="00B006C2" w:rsidRDefault="00B006C2">
      <w:pPr>
        <w:pStyle w:val="FootnoteText"/>
        <w:rPr>
          <w:rFonts w:ascii="Times New Roman" w:hAnsi="Times New Roman" w:cs="Times New Roman"/>
          <w:i/>
          <w:iCs/>
        </w:rPr>
      </w:pPr>
      <w:r w:rsidRPr="00B006C2">
        <w:rPr>
          <w:rStyle w:val="FootnoteReference"/>
          <w:rFonts w:ascii="Times New Roman" w:hAnsi="Times New Roman" w:cs="Times New Roman"/>
        </w:rPr>
        <w:footnoteRef/>
      </w:r>
      <w:r w:rsidRPr="00B006C2">
        <w:rPr>
          <w:rFonts w:ascii="Times New Roman" w:hAnsi="Times New Roman" w:cs="Times New Roman"/>
        </w:rPr>
        <w:t xml:space="preserve"> “Vice President calls for FIR in Justice Varma Case,” </w:t>
      </w:r>
      <w:r w:rsidRPr="00B006C2">
        <w:rPr>
          <w:rFonts w:ascii="Times New Roman" w:hAnsi="Times New Roman" w:cs="Times New Roman"/>
          <w:i/>
          <w:iCs/>
        </w:rPr>
        <w:t>Indian Express, April 17, 2025</w:t>
      </w:r>
    </w:p>
  </w:footnote>
  <w:footnote w:id="13">
    <w:p w14:paraId="70C65574" w14:textId="19D1FBDC" w:rsidR="00B006C2" w:rsidRPr="00B006C2" w:rsidRDefault="00B006C2">
      <w:pPr>
        <w:pStyle w:val="FootnoteText"/>
        <w:rPr>
          <w:rFonts w:ascii="Times New Roman" w:hAnsi="Times New Roman" w:cs="Times New Roman"/>
        </w:rPr>
      </w:pPr>
      <w:r w:rsidRPr="00B006C2">
        <w:rPr>
          <w:rStyle w:val="FootnoteReference"/>
          <w:rFonts w:ascii="Times New Roman" w:hAnsi="Times New Roman" w:cs="Times New Roman"/>
        </w:rPr>
        <w:footnoteRef/>
      </w:r>
      <w:r w:rsidRPr="00B006C2">
        <w:rPr>
          <w:rFonts w:ascii="Times New Roman" w:hAnsi="Times New Roman" w:cs="Times New Roman"/>
        </w:rPr>
        <w:t xml:space="preserve"> “Judging the Judges: Role of Media in Accountability,” </w:t>
      </w:r>
      <w:r w:rsidRPr="00B006C2">
        <w:rPr>
          <w:rFonts w:ascii="Times New Roman" w:hAnsi="Times New Roman" w:cs="Times New Roman"/>
          <w:i/>
          <w:iCs/>
        </w:rPr>
        <w:t>Scroll.in, March 22, 2025</w:t>
      </w:r>
    </w:p>
  </w:footnote>
  <w:footnote w:id="14">
    <w:p w14:paraId="1682C724" w14:textId="55482203" w:rsidR="00B006C2" w:rsidRPr="00B006C2" w:rsidRDefault="00B006C2">
      <w:pPr>
        <w:pStyle w:val="FootnoteText"/>
        <w:rPr>
          <w:rFonts w:ascii="Times New Roman" w:hAnsi="Times New Roman" w:cs="Times New Roman"/>
        </w:rPr>
      </w:pPr>
      <w:r w:rsidRPr="00B006C2">
        <w:rPr>
          <w:rStyle w:val="FootnoteReference"/>
          <w:rFonts w:ascii="Times New Roman" w:hAnsi="Times New Roman" w:cs="Times New Roman"/>
        </w:rPr>
        <w:footnoteRef/>
      </w:r>
      <w:r w:rsidRPr="00B006C2">
        <w:rPr>
          <w:rFonts w:ascii="Times New Roman" w:hAnsi="Times New Roman" w:cs="Times New Roman"/>
        </w:rPr>
        <w:t xml:space="preserve"> Law Commission of India, 230</w:t>
      </w:r>
      <w:r w:rsidRPr="00B006C2">
        <w:rPr>
          <w:rFonts w:ascii="Times New Roman" w:hAnsi="Times New Roman" w:cs="Times New Roman"/>
          <w:vertAlign w:val="superscript"/>
        </w:rPr>
        <w:t>th</w:t>
      </w:r>
      <w:r w:rsidRPr="00B006C2">
        <w:rPr>
          <w:rFonts w:ascii="Times New Roman" w:hAnsi="Times New Roman" w:cs="Times New Roman"/>
        </w:rPr>
        <w:t xml:space="preserve"> Report on “Reforms in the Judiciary” (2009)</w:t>
      </w:r>
    </w:p>
  </w:footnote>
  <w:footnote w:id="15">
    <w:p w14:paraId="39BCDFF4" w14:textId="18E64740" w:rsidR="00B006C2" w:rsidRPr="00B006C2" w:rsidRDefault="00B006C2">
      <w:pPr>
        <w:pStyle w:val="FootnoteText"/>
        <w:rPr>
          <w:rFonts w:ascii="Times New Roman" w:hAnsi="Times New Roman" w:cs="Times New Roman"/>
        </w:rPr>
      </w:pPr>
      <w:r w:rsidRPr="00B006C2">
        <w:rPr>
          <w:rStyle w:val="FootnoteReference"/>
          <w:rFonts w:ascii="Times New Roman" w:hAnsi="Times New Roman" w:cs="Times New Roman"/>
        </w:rPr>
        <w:footnoteRef/>
      </w:r>
      <w:r w:rsidRPr="00B006C2">
        <w:rPr>
          <w:rFonts w:ascii="Times New Roman" w:hAnsi="Times New Roman" w:cs="Times New Roman"/>
        </w:rPr>
        <w:t xml:space="preserve"> “Judicial Accountability and the Need for Institutional Reforms,” Vidhi Centre for Legal Policy, White Papers (2023)</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D431254"/>
    <w:multiLevelType w:val="hybridMultilevel"/>
    <w:tmpl w:val="F6FE3000"/>
    <w:lvl w:ilvl="0" w:tplc="5DC25DD0">
      <w:start w:val="1"/>
      <w:numFmt w:val="decimal"/>
      <w:lvlText w:val="%1."/>
      <w:lvlJc w:val="left"/>
      <w:pPr>
        <w:ind w:left="720" w:hanging="360"/>
      </w:pPr>
      <w:rPr>
        <w:rFonts w:ascii="Times New Roman" w:eastAsiaTheme="minorHAnsi" w:hAnsi="Times New Roman" w:cs="Times New Roman"/>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2089092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37EC"/>
    <w:rsid w:val="00051548"/>
    <w:rsid w:val="00184BBC"/>
    <w:rsid w:val="00227A09"/>
    <w:rsid w:val="0038776F"/>
    <w:rsid w:val="003F37EC"/>
    <w:rsid w:val="004216F4"/>
    <w:rsid w:val="00592726"/>
    <w:rsid w:val="00641FC6"/>
    <w:rsid w:val="006A5970"/>
    <w:rsid w:val="007205F5"/>
    <w:rsid w:val="00750484"/>
    <w:rsid w:val="007C158C"/>
    <w:rsid w:val="00867FFE"/>
    <w:rsid w:val="00B006C2"/>
    <w:rsid w:val="00BE585A"/>
    <w:rsid w:val="00DB04E1"/>
    <w:rsid w:val="00DE1539"/>
    <w:rsid w:val="00F10BC8"/>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55AD7A"/>
  <w15:chartTrackingRefBased/>
  <w15:docId w15:val="{E5A8E3CD-32E1-42F7-88D6-E2733F2A2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37EC"/>
  </w:style>
  <w:style w:type="paragraph" w:styleId="Heading1">
    <w:name w:val="heading 1"/>
    <w:basedOn w:val="Normal"/>
    <w:next w:val="Normal"/>
    <w:link w:val="Heading1Char"/>
    <w:uiPriority w:val="9"/>
    <w:qFormat/>
    <w:rsid w:val="003F37E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F37E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F37E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F37E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F37E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F37E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F37E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F37E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F37E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37E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F37E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F37E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F37E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F37E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F37E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F37E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F37E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F37EC"/>
    <w:rPr>
      <w:rFonts w:eastAsiaTheme="majorEastAsia" w:cstheme="majorBidi"/>
      <w:color w:val="272727" w:themeColor="text1" w:themeTint="D8"/>
    </w:rPr>
  </w:style>
  <w:style w:type="paragraph" w:styleId="Title">
    <w:name w:val="Title"/>
    <w:basedOn w:val="Normal"/>
    <w:next w:val="Normal"/>
    <w:link w:val="TitleChar"/>
    <w:uiPriority w:val="10"/>
    <w:qFormat/>
    <w:rsid w:val="003F37E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F37E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F37E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F37E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F37EC"/>
    <w:pPr>
      <w:spacing w:before="160"/>
      <w:jc w:val="center"/>
    </w:pPr>
    <w:rPr>
      <w:i/>
      <w:iCs/>
      <w:color w:val="404040" w:themeColor="text1" w:themeTint="BF"/>
    </w:rPr>
  </w:style>
  <w:style w:type="character" w:customStyle="1" w:styleId="QuoteChar">
    <w:name w:val="Quote Char"/>
    <w:basedOn w:val="DefaultParagraphFont"/>
    <w:link w:val="Quote"/>
    <w:uiPriority w:val="29"/>
    <w:rsid w:val="003F37EC"/>
    <w:rPr>
      <w:i/>
      <w:iCs/>
      <w:color w:val="404040" w:themeColor="text1" w:themeTint="BF"/>
    </w:rPr>
  </w:style>
  <w:style w:type="paragraph" w:styleId="ListParagraph">
    <w:name w:val="List Paragraph"/>
    <w:basedOn w:val="Normal"/>
    <w:uiPriority w:val="34"/>
    <w:qFormat/>
    <w:rsid w:val="003F37EC"/>
    <w:pPr>
      <w:ind w:left="720"/>
      <w:contextualSpacing/>
    </w:pPr>
  </w:style>
  <w:style w:type="character" w:styleId="IntenseEmphasis">
    <w:name w:val="Intense Emphasis"/>
    <w:basedOn w:val="DefaultParagraphFont"/>
    <w:uiPriority w:val="21"/>
    <w:qFormat/>
    <w:rsid w:val="003F37EC"/>
    <w:rPr>
      <w:i/>
      <w:iCs/>
      <w:color w:val="2F5496" w:themeColor="accent1" w:themeShade="BF"/>
    </w:rPr>
  </w:style>
  <w:style w:type="paragraph" w:styleId="IntenseQuote">
    <w:name w:val="Intense Quote"/>
    <w:basedOn w:val="Normal"/>
    <w:next w:val="Normal"/>
    <w:link w:val="IntenseQuoteChar"/>
    <w:uiPriority w:val="30"/>
    <w:qFormat/>
    <w:rsid w:val="003F37E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F37EC"/>
    <w:rPr>
      <w:i/>
      <w:iCs/>
      <w:color w:val="2F5496" w:themeColor="accent1" w:themeShade="BF"/>
    </w:rPr>
  </w:style>
  <w:style w:type="character" w:styleId="IntenseReference">
    <w:name w:val="Intense Reference"/>
    <w:basedOn w:val="DefaultParagraphFont"/>
    <w:uiPriority w:val="32"/>
    <w:qFormat/>
    <w:rsid w:val="003F37EC"/>
    <w:rPr>
      <w:b/>
      <w:bCs/>
      <w:smallCaps/>
      <w:color w:val="2F5496" w:themeColor="accent1" w:themeShade="BF"/>
      <w:spacing w:val="5"/>
    </w:rPr>
  </w:style>
  <w:style w:type="paragraph" w:styleId="FootnoteText">
    <w:name w:val="footnote text"/>
    <w:basedOn w:val="Normal"/>
    <w:link w:val="FootnoteTextChar"/>
    <w:uiPriority w:val="99"/>
    <w:semiHidden/>
    <w:unhideWhenUsed/>
    <w:rsid w:val="00F10BC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10BC8"/>
    <w:rPr>
      <w:sz w:val="20"/>
      <w:szCs w:val="20"/>
    </w:rPr>
  </w:style>
  <w:style w:type="character" w:styleId="FootnoteReference">
    <w:name w:val="footnote reference"/>
    <w:basedOn w:val="DefaultParagraphFont"/>
    <w:uiPriority w:val="99"/>
    <w:semiHidden/>
    <w:unhideWhenUsed/>
    <w:rsid w:val="00F10BC8"/>
    <w:rPr>
      <w:vertAlign w:val="superscript"/>
    </w:rPr>
  </w:style>
  <w:style w:type="paragraph" w:styleId="Footer">
    <w:name w:val="footer"/>
    <w:basedOn w:val="Normal"/>
    <w:link w:val="FooterChar"/>
    <w:uiPriority w:val="99"/>
    <w:unhideWhenUsed/>
    <w:rsid w:val="00F10BC8"/>
    <w:pPr>
      <w:tabs>
        <w:tab w:val="center" w:pos="4513"/>
        <w:tab w:val="right" w:pos="9026"/>
      </w:tabs>
      <w:spacing w:after="0" w:line="240" w:lineRule="auto"/>
    </w:pPr>
  </w:style>
  <w:style w:type="character" w:customStyle="1" w:styleId="FooterChar">
    <w:name w:val="Footer Char"/>
    <w:basedOn w:val="DefaultParagraphFont"/>
    <w:link w:val="Footer"/>
    <w:uiPriority w:val="99"/>
    <w:rsid w:val="00F10BC8"/>
  </w:style>
  <w:style w:type="paragraph" w:styleId="Header">
    <w:name w:val="header"/>
    <w:basedOn w:val="Normal"/>
    <w:link w:val="HeaderChar"/>
    <w:uiPriority w:val="99"/>
    <w:unhideWhenUsed/>
    <w:rsid w:val="007205F5"/>
    <w:pPr>
      <w:tabs>
        <w:tab w:val="center" w:pos="4513"/>
        <w:tab w:val="right" w:pos="9026"/>
      </w:tabs>
      <w:spacing w:after="0" w:line="240" w:lineRule="auto"/>
    </w:pPr>
  </w:style>
  <w:style w:type="character" w:customStyle="1" w:styleId="HeaderChar">
    <w:name w:val="Header Char"/>
    <w:basedOn w:val="DefaultParagraphFont"/>
    <w:link w:val="Header"/>
    <w:uiPriority w:val="99"/>
    <w:rsid w:val="007205F5"/>
  </w:style>
  <w:style w:type="paragraph" w:styleId="NoSpacing">
    <w:name w:val="No Spacing"/>
    <w:link w:val="NoSpacingChar"/>
    <w:uiPriority w:val="1"/>
    <w:qFormat/>
    <w:rsid w:val="007205F5"/>
    <w:pPr>
      <w:spacing w:after="0" w:line="240" w:lineRule="auto"/>
    </w:pPr>
    <w:rPr>
      <w:rFonts w:eastAsiaTheme="minorEastAsia"/>
      <w:kern w:val="0"/>
      <w:lang w:val="en-US"/>
      <w14:ligatures w14:val="none"/>
    </w:rPr>
  </w:style>
  <w:style w:type="character" w:customStyle="1" w:styleId="NoSpacingChar">
    <w:name w:val="No Spacing Char"/>
    <w:basedOn w:val="DefaultParagraphFont"/>
    <w:link w:val="NoSpacing"/>
    <w:uiPriority w:val="1"/>
    <w:rsid w:val="007205F5"/>
    <w:rPr>
      <w:rFonts w:eastAsiaTheme="minorEastAsia"/>
      <w:kern w:val="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Law college Dehradun, Uttaranchal university</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5E46416-35CB-40D3-A765-1398DE22C1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11</Pages>
  <Words>3364</Words>
  <Characters>19175</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2nd Year Student</Company>
  <LinksUpToDate>false</LinksUpToDate>
  <CharactersWithSpaces>22495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Judicial Accountability and Veeraswami Ruling</dc:title>
  <dc:subject>Understanding the Judicial Accountability with the help of Present ScenArios</dc:subject>
  <dc:creator>Abhay Pratap Singh</dc:creator>
  <cp:keywords/>
  <dc:description/>
  <cp:lastModifiedBy>Abhay Pratap Singh</cp:lastModifiedBy>
  <cp:revision>6</cp:revision>
  <dcterms:created xsi:type="dcterms:W3CDTF">2025-06-24T13:52:00Z</dcterms:created>
  <dcterms:modified xsi:type="dcterms:W3CDTF">2025-06-24T15:12:00Z</dcterms:modified>
</cp:coreProperties>
</file>