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DDEE6" w14:textId="1F4DCA36" w:rsidR="00552CB1" w:rsidRPr="00552CB1" w:rsidRDefault="006D68B3" w:rsidP="002C446A">
      <w:pPr>
        <w:spacing w:line="360" w:lineRule="auto"/>
        <w:jc w:val="center"/>
        <w:rPr>
          <w:rFonts w:ascii="Times New Roman" w:hAnsi="Times New Roman" w:cs="Times New Roman"/>
          <w:b/>
          <w:bCs/>
          <w:sz w:val="24"/>
          <w:szCs w:val="24"/>
        </w:rPr>
      </w:pPr>
      <w:r w:rsidRPr="00552CB1">
        <w:rPr>
          <w:rFonts w:ascii="Times New Roman" w:hAnsi="Times New Roman" w:cs="Times New Roman"/>
          <w:b/>
          <w:bCs/>
          <w:sz w:val="24"/>
          <w:szCs w:val="24"/>
        </w:rPr>
        <w:t>FREEDOM OF EXPRESSION VS OTT OBSCENITY: AN ANALYSIS OF OTT REGULATIONS IN INDIA</w:t>
      </w:r>
    </w:p>
    <w:p w14:paraId="5BD1D795" w14:textId="6933435D" w:rsidR="00DF212A" w:rsidRPr="00B85040" w:rsidRDefault="00DF212A" w:rsidP="00552CB1">
      <w:pPr>
        <w:pStyle w:val="ListParagraph"/>
        <w:spacing w:line="360" w:lineRule="auto"/>
        <w:ind w:left="284" w:hanging="284"/>
        <w:jc w:val="both"/>
        <w:rPr>
          <w:rFonts w:ascii="Times New Roman" w:hAnsi="Times New Roman" w:cs="Times New Roman"/>
          <w:b/>
          <w:bCs/>
          <w:sz w:val="24"/>
          <w:szCs w:val="24"/>
        </w:rPr>
      </w:pPr>
      <w:r w:rsidRPr="00B85040">
        <w:rPr>
          <w:rFonts w:ascii="Times New Roman" w:hAnsi="Times New Roman" w:cs="Times New Roman"/>
          <w:b/>
          <w:bCs/>
          <w:sz w:val="24"/>
          <w:szCs w:val="24"/>
        </w:rPr>
        <w:t>INTRODUCTION</w:t>
      </w:r>
    </w:p>
    <w:p w14:paraId="11535338" w14:textId="4C3A813B" w:rsidR="003B1350" w:rsidRPr="00081CCE" w:rsidRDefault="5B6F2C50" w:rsidP="5B6F2C50">
      <w:pPr>
        <w:spacing w:line="360" w:lineRule="auto"/>
        <w:jc w:val="both"/>
        <w:rPr>
          <w:rFonts w:ascii="Times New Roman" w:hAnsi="Times New Roman" w:cs="Times New Roman"/>
          <w:sz w:val="24"/>
          <w:szCs w:val="24"/>
        </w:rPr>
      </w:pPr>
      <w:r w:rsidRPr="5B6F2C50">
        <w:rPr>
          <w:rFonts w:ascii="Times New Roman" w:hAnsi="Times New Roman" w:cs="Times New Roman"/>
          <w:sz w:val="24"/>
          <w:szCs w:val="24"/>
        </w:rPr>
        <w:t xml:space="preserve">Upon the onset of rapid digitalization in India, the country witnessed </w:t>
      </w:r>
      <w:r w:rsidR="14F16780" w:rsidRPr="14F16780">
        <w:rPr>
          <w:rFonts w:ascii="Times New Roman" w:hAnsi="Times New Roman" w:cs="Times New Roman"/>
          <w:sz w:val="24"/>
          <w:szCs w:val="24"/>
        </w:rPr>
        <w:t>an extraordinary growth</w:t>
      </w:r>
      <w:r w:rsidRPr="5B6F2C50">
        <w:rPr>
          <w:rFonts w:ascii="Times New Roman" w:hAnsi="Times New Roman" w:cs="Times New Roman"/>
          <w:sz w:val="24"/>
          <w:szCs w:val="24"/>
        </w:rPr>
        <w:t xml:space="preserve"> in the field of internet and most specifically </w:t>
      </w:r>
      <w:r w:rsidR="14F16780" w:rsidRPr="14F16780">
        <w:rPr>
          <w:rFonts w:ascii="Times New Roman" w:hAnsi="Times New Roman" w:cs="Times New Roman"/>
          <w:sz w:val="24"/>
          <w:szCs w:val="24"/>
        </w:rPr>
        <w:t>digital</w:t>
      </w:r>
      <w:r w:rsidRPr="5B6F2C50">
        <w:rPr>
          <w:rFonts w:ascii="Times New Roman" w:hAnsi="Times New Roman" w:cs="Times New Roman"/>
          <w:sz w:val="24"/>
          <w:szCs w:val="24"/>
        </w:rPr>
        <w:t xml:space="preserve"> entertainment. The field, that was originally just confined to traditional cable network system and a limited number of television channels, had eventually become a means of visual entertainment that was readily available on personal computers, smart televisions and even smart phones. This technological advancement was commonly referred as Over</w:t>
      </w:r>
      <w:r w:rsidR="14F16780" w:rsidRPr="14F16780">
        <w:rPr>
          <w:rFonts w:ascii="Times New Roman" w:hAnsi="Times New Roman" w:cs="Times New Roman"/>
          <w:sz w:val="24"/>
          <w:szCs w:val="24"/>
        </w:rPr>
        <w:t xml:space="preserve"> </w:t>
      </w:r>
      <w:r w:rsidRPr="5B6F2C50">
        <w:rPr>
          <w:rFonts w:ascii="Times New Roman" w:hAnsi="Times New Roman" w:cs="Times New Roman"/>
          <w:sz w:val="24"/>
          <w:szCs w:val="24"/>
        </w:rPr>
        <w:t>the</w:t>
      </w:r>
      <w:r w:rsidR="14F16780" w:rsidRPr="14F16780">
        <w:rPr>
          <w:rFonts w:ascii="Times New Roman" w:hAnsi="Times New Roman" w:cs="Times New Roman"/>
          <w:sz w:val="24"/>
          <w:szCs w:val="24"/>
        </w:rPr>
        <w:t xml:space="preserve"> </w:t>
      </w:r>
      <w:r w:rsidRPr="5B6F2C50">
        <w:rPr>
          <w:rFonts w:ascii="Times New Roman" w:hAnsi="Times New Roman" w:cs="Times New Roman"/>
          <w:sz w:val="24"/>
          <w:szCs w:val="24"/>
        </w:rPr>
        <w:t>Top (OTT) Platforms.</w:t>
      </w:r>
    </w:p>
    <w:p w14:paraId="33E773F6" w14:textId="5111F2E9" w:rsidR="580A618D" w:rsidRPr="00081CCE" w:rsidRDefault="003B1350" w:rsidP="00623E39">
      <w:pPr>
        <w:spacing w:line="360" w:lineRule="auto"/>
        <w:jc w:val="both"/>
      </w:pPr>
      <w:r>
        <w:rPr>
          <w:rFonts w:ascii="Times New Roman" w:hAnsi="Times New Roman" w:cs="Times New Roman"/>
          <w:sz w:val="24"/>
          <w:szCs w:val="24"/>
        </w:rPr>
        <w:t xml:space="preserve">Developed in nearly last 20 years, </w:t>
      </w:r>
      <w:r w:rsidR="00623E39" w:rsidRPr="00623E39">
        <w:rPr>
          <w:rFonts w:ascii="Times New Roman" w:hAnsi="Times New Roman" w:cs="Times New Roman"/>
          <w:sz w:val="24"/>
          <w:szCs w:val="24"/>
        </w:rPr>
        <w:t>OTT platforms have emerged as digital distribution services that deliver content using internet infrastructure rather than relying on traditional modes like cable or satellite networks</w:t>
      </w:r>
      <w:r>
        <w:rPr>
          <w:rFonts w:ascii="Times New Roman" w:hAnsi="Times New Roman" w:cs="Times New Roman"/>
          <w:sz w:val="24"/>
          <w:szCs w:val="24"/>
        </w:rPr>
        <w:t>.</w:t>
      </w:r>
      <w:r w:rsidRPr="003B1350">
        <w:rPr>
          <w:rFonts w:ascii="Times New Roman" w:hAnsi="Times New Roman" w:cs="Times New Roman"/>
          <w:sz w:val="24"/>
          <w:szCs w:val="24"/>
        </w:rPr>
        <w:t xml:space="preserve"> </w:t>
      </w:r>
      <w:r w:rsidRPr="00081CCE">
        <w:rPr>
          <w:rFonts w:ascii="Times New Roman" w:hAnsi="Times New Roman" w:cs="Times New Roman"/>
          <w:sz w:val="24"/>
          <w:szCs w:val="24"/>
        </w:rPr>
        <w:t>Several attempts at defining OTT platforms have been made over the years, the simplest one being “video, voice and other services provided over the Internet rather than solely over the provider’s own managed network</w:t>
      </w:r>
      <w:r>
        <w:rPr>
          <w:rFonts w:ascii="Times New Roman" w:hAnsi="Times New Roman" w:cs="Times New Roman"/>
          <w:sz w:val="24"/>
          <w:szCs w:val="24"/>
        </w:rPr>
        <w:t>”</w:t>
      </w:r>
      <w:r w:rsidR="00F30C87">
        <w:rPr>
          <w:rStyle w:val="FootnoteReference"/>
          <w:rFonts w:ascii="Times New Roman" w:hAnsi="Times New Roman" w:cs="Times New Roman"/>
          <w:sz w:val="24"/>
          <w:szCs w:val="24"/>
        </w:rPr>
        <w:footnoteReference w:id="1"/>
      </w:r>
      <w:r w:rsidR="00093010">
        <w:rPr>
          <w:rFonts w:ascii="Times New Roman" w:hAnsi="Times New Roman" w:cs="Times New Roman"/>
          <w:sz w:val="24"/>
          <w:szCs w:val="24"/>
        </w:rPr>
        <w:t>.</w:t>
      </w:r>
      <w:r w:rsidR="00A003A7">
        <w:rPr>
          <w:rFonts w:ascii="Times New Roman" w:hAnsi="Times New Roman" w:cs="Times New Roman"/>
          <w:sz w:val="24"/>
          <w:szCs w:val="24"/>
        </w:rPr>
        <w:t xml:space="preserve"> </w:t>
      </w:r>
      <w:r w:rsidR="00093010">
        <w:rPr>
          <w:rFonts w:ascii="Times New Roman" w:hAnsi="Times New Roman" w:cs="Times New Roman"/>
          <w:sz w:val="24"/>
          <w:szCs w:val="24"/>
        </w:rPr>
        <w:t>“Some popular OTT Platforms in India include Netflix, Amazon Prime Video, Disney+ Hotstar, SonyLIV, etc.”</w:t>
      </w:r>
      <w:r w:rsidRPr="7154B6FF">
        <w:rPr>
          <w:rStyle w:val="FootnoteReference"/>
          <w:rFonts w:ascii="Times New Roman" w:hAnsi="Times New Roman" w:cs="Times New Roman"/>
          <w:sz w:val="24"/>
          <w:szCs w:val="24"/>
        </w:rPr>
        <w:footnoteReference w:id="2"/>
      </w:r>
    </w:p>
    <w:p w14:paraId="4D852C6F" w14:textId="1DEC7877" w:rsidR="00B241C6" w:rsidRDefault="00093010" w:rsidP="6820E6AC">
      <w:pPr>
        <w:spacing w:line="360" w:lineRule="auto"/>
        <w:jc w:val="both"/>
        <w:rPr>
          <w:rFonts w:ascii="Times New Roman" w:hAnsi="Times New Roman" w:cs="Times New Roman"/>
          <w:sz w:val="24"/>
          <w:szCs w:val="24"/>
        </w:rPr>
      </w:pPr>
      <w:r>
        <w:rPr>
          <w:rFonts w:ascii="Times New Roman" w:hAnsi="Times New Roman" w:cs="Times New Roman"/>
          <w:sz w:val="24"/>
          <w:szCs w:val="24"/>
        </w:rPr>
        <w:t>Whereas, “Obscenity”</w:t>
      </w:r>
      <w:r w:rsidR="00FE4796">
        <w:rPr>
          <w:rFonts w:ascii="Times New Roman" w:hAnsi="Times New Roman" w:cs="Times New Roman"/>
          <w:sz w:val="24"/>
          <w:szCs w:val="24"/>
        </w:rPr>
        <w:t>,</w:t>
      </w:r>
      <w:r>
        <w:rPr>
          <w:rFonts w:ascii="Times New Roman" w:hAnsi="Times New Roman" w:cs="Times New Roman"/>
          <w:sz w:val="24"/>
          <w:szCs w:val="24"/>
        </w:rPr>
        <w:t xml:space="preserve"> </w:t>
      </w:r>
      <w:r w:rsidR="00C93DB8">
        <w:rPr>
          <w:rFonts w:ascii="Times New Roman" w:hAnsi="Times New Roman" w:cs="Times New Roman"/>
          <w:sz w:val="24"/>
          <w:szCs w:val="24"/>
        </w:rPr>
        <w:t>i</w:t>
      </w:r>
      <w:r>
        <w:rPr>
          <w:rFonts w:ascii="Times New Roman" w:hAnsi="Times New Roman" w:cs="Times New Roman"/>
          <w:sz w:val="24"/>
          <w:szCs w:val="24"/>
        </w:rPr>
        <w:t>n India where we have diverse cultures and several taboos existing in a single society</w:t>
      </w:r>
      <w:r w:rsidR="00A90D9C">
        <w:rPr>
          <w:rFonts w:ascii="Times New Roman" w:hAnsi="Times New Roman" w:cs="Times New Roman"/>
          <w:sz w:val="24"/>
          <w:szCs w:val="24"/>
        </w:rPr>
        <w:t xml:space="preserve">, </w:t>
      </w:r>
      <w:r w:rsidR="004E5EDC">
        <w:rPr>
          <w:rFonts w:ascii="Times New Roman" w:hAnsi="Times New Roman" w:cs="Times New Roman"/>
          <w:sz w:val="24"/>
          <w:szCs w:val="24"/>
        </w:rPr>
        <w:t>has attracted</w:t>
      </w:r>
      <w:r>
        <w:rPr>
          <w:rFonts w:ascii="Times New Roman" w:hAnsi="Times New Roman" w:cs="Times New Roman"/>
          <w:sz w:val="24"/>
          <w:szCs w:val="24"/>
        </w:rPr>
        <w:t xml:space="preserve"> </w:t>
      </w:r>
      <w:r w:rsidRPr="0E24B3BD">
        <w:rPr>
          <w:rFonts w:ascii="Times New Roman" w:hAnsi="Times New Roman" w:cs="Times New Roman"/>
          <w:i/>
          <w:iCs/>
          <w:sz w:val="24"/>
          <w:szCs w:val="24"/>
        </w:rPr>
        <w:t xml:space="preserve">ab-hors </w:t>
      </w:r>
      <w:r>
        <w:rPr>
          <w:rFonts w:ascii="Times New Roman" w:hAnsi="Times New Roman" w:cs="Times New Roman"/>
          <w:sz w:val="24"/>
          <w:szCs w:val="24"/>
        </w:rPr>
        <w:t>public reactions</w:t>
      </w:r>
      <w:r w:rsidR="003B060B">
        <w:rPr>
          <w:rFonts w:ascii="Times New Roman" w:hAnsi="Times New Roman" w:cs="Times New Roman"/>
          <w:sz w:val="24"/>
          <w:szCs w:val="24"/>
        </w:rPr>
        <w:t xml:space="preserve"> and recurring controversies</w:t>
      </w:r>
      <w:r>
        <w:rPr>
          <w:rFonts w:ascii="Times New Roman" w:hAnsi="Times New Roman" w:cs="Times New Roman"/>
          <w:sz w:val="24"/>
          <w:szCs w:val="24"/>
        </w:rPr>
        <w:t xml:space="preserve"> </w:t>
      </w:r>
      <w:r w:rsidR="009C2631">
        <w:rPr>
          <w:rFonts w:ascii="Times New Roman" w:hAnsi="Times New Roman" w:cs="Times New Roman"/>
          <w:sz w:val="24"/>
          <w:szCs w:val="24"/>
        </w:rPr>
        <w:t>against</w:t>
      </w:r>
      <w:r>
        <w:rPr>
          <w:rFonts w:ascii="Times New Roman" w:hAnsi="Times New Roman" w:cs="Times New Roman"/>
          <w:sz w:val="24"/>
          <w:szCs w:val="24"/>
        </w:rPr>
        <w:t xml:space="preserve"> explicit and obscene content being provided on the OTT Platforms</w:t>
      </w:r>
      <w:r w:rsidR="009A16B1">
        <w:rPr>
          <w:rStyle w:val="FootnoteReference"/>
          <w:rFonts w:ascii="Times New Roman" w:hAnsi="Times New Roman" w:cs="Times New Roman"/>
          <w:sz w:val="24"/>
          <w:szCs w:val="24"/>
        </w:rPr>
        <w:footnoteReference w:id="3"/>
      </w:r>
      <w:r w:rsidR="00E9498F">
        <w:rPr>
          <w:rFonts w:ascii="Times New Roman" w:hAnsi="Times New Roman" w:cs="Times New Roman"/>
          <w:sz w:val="24"/>
          <w:szCs w:val="24"/>
        </w:rPr>
        <w:t xml:space="preserve">, </w:t>
      </w:r>
      <w:r w:rsidR="003716AF">
        <w:rPr>
          <w:rFonts w:ascii="Times New Roman" w:hAnsi="Times New Roman" w:cs="Times New Roman"/>
          <w:sz w:val="24"/>
          <w:szCs w:val="24"/>
        </w:rPr>
        <w:t>that may attract legal scrutiny under obscenity- related laws.</w:t>
      </w:r>
      <w:r w:rsidR="00D44FD9">
        <w:rPr>
          <w:rFonts w:ascii="Times New Roman" w:hAnsi="Times New Roman" w:cs="Times New Roman"/>
          <w:sz w:val="24"/>
          <w:szCs w:val="24"/>
        </w:rPr>
        <w:t xml:space="preserve"> </w:t>
      </w:r>
      <w:r w:rsidR="007F368D" w:rsidRPr="007F368D">
        <w:rPr>
          <w:rFonts w:ascii="Times New Roman" w:hAnsi="Times New Roman" w:cs="Times New Roman"/>
          <w:sz w:val="24"/>
          <w:szCs w:val="24"/>
        </w:rPr>
        <w:t xml:space="preserve">The nature of content shared through digital media often invites debates around individual liberties and the extent to which the State can impose restrictions. This brings us to the broader constitutional question: </w:t>
      </w:r>
      <w:r w:rsidR="007F368D">
        <w:rPr>
          <w:rFonts w:ascii="Times New Roman" w:hAnsi="Times New Roman" w:cs="Times New Roman"/>
          <w:sz w:val="24"/>
          <w:szCs w:val="24"/>
        </w:rPr>
        <w:t>H</w:t>
      </w:r>
      <w:r w:rsidR="007F368D" w:rsidRPr="007F368D">
        <w:rPr>
          <w:rFonts w:ascii="Times New Roman" w:hAnsi="Times New Roman" w:cs="Times New Roman"/>
          <w:sz w:val="24"/>
          <w:szCs w:val="24"/>
        </w:rPr>
        <w:t xml:space="preserve">ow does the Indian legal system reconcile the freedom of expression with the need for regulatory oversight? To explore this balance, it is essential to first understand the scope and significance of Article 19 of the Indian Constitution. </w:t>
      </w:r>
    </w:p>
    <w:p w14:paraId="3FB3A65E" w14:textId="77777777" w:rsidR="002C446A" w:rsidRPr="00B241C6" w:rsidRDefault="002C446A" w:rsidP="6820E6AC">
      <w:pPr>
        <w:spacing w:line="360" w:lineRule="auto"/>
        <w:jc w:val="both"/>
        <w:rPr>
          <w:rFonts w:ascii="Times New Roman" w:hAnsi="Times New Roman" w:cs="Times New Roman"/>
          <w:b/>
          <w:bCs/>
          <w:sz w:val="24"/>
          <w:szCs w:val="24"/>
        </w:rPr>
      </w:pPr>
    </w:p>
    <w:p w14:paraId="2095EFAB" w14:textId="652E0B40" w:rsidR="00B241C6" w:rsidRPr="00B241C6" w:rsidRDefault="6820E6AC" w:rsidP="00552CB1">
      <w:pPr>
        <w:spacing w:line="360" w:lineRule="auto"/>
        <w:rPr>
          <w:rFonts w:ascii="Times New Roman" w:hAnsi="Times New Roman" w:cs="Times New Roman"/>
          <w:b/>
          <w:bCs/>
          <w:sz w:val="24"/>
          <w:szCs w:val="24"/>
        </w:rPr>
      </w:pPr>
      <w:r w:rsidRPr="6820E6AC">
        <w:rPr>
          <w:rFonts w:ascii="Times New Roman" w:hAnsi="Times New Roman" w:cs="Times New Roman"/>
          <w:b/>
          <w:bCs/>
          <w:sz w:val="24"/>
          <w:szCs w:val="24"/>
        </w:rPr>
        <w:t xml:space="preserve">CONSTITUTIONAL FRAMEWORK: ARTICLE 19(1)(a) </w:t>
      </w:r>
      <w:r w:rsidR="00006E66">
        <w:rPr>
          <w:rFonts w:ascii="Times New Roman" w:hAnsi="Times New Roman" w:cs="Times New Roman"/>
          <w:b/>
          <w:bCs/>
          <w:sz w:val="24"/>
          <w:szCs w:val="24"/>
        </w:rPr>
        <w:t>&amp;</w:t>
      </w:r>
      <w:r w:rsidRPr="6820E6AC">
        <w:rPr>
          <w:rFonts w:ascii="Times New Roman" w:hAnsi="Times New Roman" w:cs="Times New Roman"/>
          <w:b/>
          <w:bCs/>
          <w:sz w:val="24"/>
          <w:szCs w:val="24"/>
        </w:rPr>
        <w:t xml:space="preserve"> 19(2)</w:t>
      </w:r>
    </w:p>
    <w:p w14:paraId="184CFCA3" w14:textId="6F98027A" w:rsidR="00866522" w:rsidRDefault="7856224C" w:rsidP="00623E39">
      <w:pPr>
        <w:spacing w:line="360" w:lineRule="auto"/>
        <w:jc w:val="both"/>
        <w:rPr>
          <w:rFonts w:ascii="Times New Roman" w:hAnsi="Times New Roman" w:cs="Times New Roman"/>
          <w:sz w:val="24"/>
          <w:szCs w:val="24"/>
        </w:rPr>
      </w:pPr>
      <w:r w:rsidRPr="7856224C">
        <w:rPr>
          <w:rFonts w:ascii="Times New Roman" w:hAnsi="Times New Roman" w:cs="Times New Roman"/>
          <w:sz w:val="24"/>
          <w:szCs w:val="24"/>
        </w:rPr>
        <w:lastRenderedPageBreak/>
        <w:t xml:space="preserve">Article 19(1)(a) vests protection to the Indian Citizens pertaining to their speech and expression. </w:t>
      </w:r>
      <w:r w:rsidR="3CE7828E" w:rsidRPr="3CE7828E">
        <w:rPr>
          <w:rFonts w:ascii="Times New Roman" w:hAnsi="Times New Roman" w:cs="Times New Roman"/>
          <w:sz w:val="24"/>
          <w:szCs w:val="24"/>
        </w:rPr>
        <w:t>Article 19(1)(a) states that “All citizens shall have the right to freedom of speech and expression."</w:t>
      </w:r>
      <w:r w:rsidR="00692A27" w:rsidRPr="24E3C247">
        <w:rPr>
          <w:rStyle w:val="FootnoteReference"/>
          <w:rFonts w:ascii="Times New Roman" w:hAnsi="Times New Roman" w:cs="Times New Roman"/>
          <w:sz w:val="24"/>
          <w:szCs w:val="24"/>
        </w:rPr>
        <w:footnoteReference w:id="4"/>
      </w:r>
      <w:r w:rsidR="00623E39">
        <w:rPr>
          <w:rFonts w:ascii="Times New Roman" w:hAnsi="Times New Roman" w:cs="Times New Roman"/>
          <w:sz w:val="24"/>
          <w:szCs w:val="24"/>
        </w:rPr>
        <w:t xml:space="preserve"> </w:t>
      </w:r>
      <w:r w:rsidR="00623E39" w:rsidRPr="00623E39">
        <w:rPr>
          <w:rFonts w:ascii="Times New Roman" w:hAnsi="Times New Roman" w:cs="Times New Roman"/>
          <w:sz w:val="24"/>
          <w:szCs w:val="24"/>
        </w:rPr>
        <w:t>providing individuals the liberty to express their ideas, thoughts, and opinions across various mediums</w:t>
      </w:r>
      <w:r w:rsidR="00CD6EBC">
        <w:rPr>
          <w:rFonts w:ascii="Times New Roman" w:hAnsi="Times New Roman" w:cs="Times New Roman"/>
          <w:sz w:val="24"/>
          <w:szCs w:val="24"/>
        </w:rPr>
        <w:t>.</w:t>
      </w:r>
      <w:r w:rsidR="00AE01CA">
        <w:rPr>
          <w:rStyle w:val="FootnoteReference"/>
          <w:rFonts w:ascii="Times New Roman" w:hAnsi="Times New Roman" w:cs="Times New Roman"/>
          <w:sz w:val="24"/>
          <w:szCs w:val="24"/>
        </w:rPr>
        <w:footnoteReference w:id="5"/>
      </w:r>
      <w:r w:rsidR="3CE7828E" w:rsidRPr="3CE7828E">
        <w:rPr>
          <w:rFonts w:ascii="Times New Roman" w:hAnsi="Times New Roman" w:cs="Times New Roman"/>
          <w:sz w:val="24"/>
          <w:szCs w:val="24"/>
        </w:rPr>
        <w:t xml:space="preserve"> </w:t>
      </w:r>
    </w:p>
    <w:p w14:paraId="685AB140" w14:textId="323C13B7" w:rsidR="00866522" w:rsidRDefault="0E24B3BD" w:rsidP="007F368D">
      <w:pPr>
        <w:spacing w:line="360" w:lineRule="auto"/>
        <w:jc w:val="both"/>
        <w:rPr>
          <w:rFonts w:ascii="Times New Roman" w:hAnsi="Times New Roman" w:cs="Times New Roman"/>
          <w:sz w:val="24"/>
          <w:szCs w:val="24"/>
        </w:rPr>
      </w:pPr>
      <w:r w:rsidRPr="0E24B3BD">
        <w:rPr>
          <w:rFonts w:ascii="Times New Roman" w:hAnsi="Times New Roman" w:cs="Times New Roman"/>
          <w:sz w:val="24"/>
          <w:szCs w:val="24"/>
        </w:rPr>
        <w:t xml:space="preserve">It is pertinent to mention that alongside securing Freedom of Speech and Expression to facilitate the democratic structure of the country, imposition of certain restrictions also stands essential, to ensure social order is maintained and the right is not misused by any individual of the country, in any possible manner. Therefore, this freedom is not absolute by nature rather it is subjected to reasonable restrictions provided under article 19(2) of the Indian Constitution. </w:t>
      </w:r>
    </w:p>
    <w:p w14:paraId="0DAB24E8" w14:textId="6B45D5F6" w:rsidR="005A111D" w:rsidRDefault="005A111D" w:rsidP="007F368D">
      <w:pPr>
        <w:spacing w:line="360" w:lineRule="auto"/>
        <w:jc w:val="both"/>
        <w:rPr>
          <w:rFonts w:ascii="Times New Roman" w:hAnsi="Times New Roman" w:cs="Times New Roman"/>
          <w:sz w:val="24"/>
          <w:szCs w:val="24"/>
        </w:rPr>
      </w:pPr>
      <w:r>
        <w:rPr>
          <w:rFonts w:ascii="Times New Roman" w:hAnsi="Times New Roman" w:cs="Times New Roman"/>
          <w:sz w:val="24"/>
          <w:szCs w:val="24"/>
        </w:rPr>
        <w:t>Article 19(2) of the Constitution of India explicitly mentions that “</w:t>
      </w:r>
      <w:r w:rsidRPr="005A111D">
        <w:rPr>
          <w:rFonts w:ascii="Times New Roman" w:hAnsi="Times New Roman" w:cs="Times New Roman"/>
          <w:sz w:val="24"/>
          <w:szCs w:val="24"/>
        </w:rPr>
        <w:t>Nothing in sub-clause (a) of clause (1) shall affect the operation of any existing law, or prevent the State from making any law, in so far as such law imposes reasonable restrictions on the exercise of the right conferred by the said sub-clause in the interests of the sovereignty and integrity of India</w:t>
      </w:r>
      <w:r w:rsidR="307A642D" w:rsidRPr="307A642D">
        <w:rPr>
          <w:rFonts w:ascii="Times New Roman" w:hAnsi="Times New Roman" w:cs="Times New Roman"/>
          <w:sz w:val="24"/>
          <w:szCs w:val="24"/>
        </w:rPr>
        <w:t xml:space="preserve"> ,</w:t>
      </w:r>
      <w:r w:rsidRPr="005A111D">
        <w:rPr>
          <w:rFonts w:ascii="Times New Roman" w:hAnsi="Times New Roman" w:cs="Times New Roman"/>
          <w:sz w:val="24"/>
          <w:szCs w:val="24"/>
        </w:rPr>
        <w:t xml:space="preserve"> the security of the State, friendly relations with foreign States, public order, </w:t>
      </w:r>
      <w:r w:rsidRPr="0E24B3BD">
        <w:rPr>
          <w:rFonts w:ascii="Times New Roman" w:hAnsi="Times New Roman" w:cs="Times New Roman"/>
          <w:b/>
          <w:bCs/>
          <w:sz w:val="24"/>
          <w:szCs w:val="24"/>
        </w:rPr>
        <w:t>decency or morality</w:t>
      </w:r>
      <w:r w:rsidRPr="005A111D">
        <w:rPr>
          <w:rFonts w:ascii="Times New Roman" w:hAnsi="Times New Roman" w:cs="Times New Roman"/>
          <w:sz w:val="24"/>
          <w:szCs w:val="24"/>
        </w:rPr>
        <w:t>, or in relation to contempt of court, defamation or incitement to an offence</w:t>
      </w:r>
      <w:r>
        <w:rPr>
          <w:rFonts w:ascii="Times New Roman" w:hAnsi="Times New Roman" w:cs="Times New Roman"/>
          <w:sz w:val="24"/>
          <w:szCs w:val="24"/>
        </w:rPr>
        <w:t>.</w:t>
      </w:r>
      <w:r w:rsidR="0064272D">
        <w:rPr>
          <w:rFonts w:ascii="Times New Roman" w:hAnsi="Times New Roman" w:cs="Times New Roman"/>
          <w:sz w:val="24"/>
          <w:szCs w:val="24"/>
        </w:rPr>
        <w:t>”</w:t>
      </w:r>
      <w:r w:rsidR="00312D7A">
        <w:rPr>
          <w:rStyle w:val="FootnoteReference"/>
          <w:rFonts w:ascii="Times New Roman" w:hAnsi="Times New Roman" w:cs="Times New Roman"/>
          <w:sz w:val="24"/>
          <w:szCs w:val="24"/>
        </w:rPr>
        <w:footnoteReference w:id="6"/>
      </w:r>
    </w:p>
    <w:p w14:paraId="2C6F394B" w14:textId="7813CD94" w:rsidR="00F54ACC" w:rsidRDefault="00F54ACC" w:rsidP="00623E39">
      <w:pPr>
        <w:spacing w:line="360" w:lineRule="auto"/>
        <w:jc w:val="both"/>
        <w:rPr>
          <w:rFonts w:ascii="Times New Roman" w:hAnsi="Times New Roman" w:cs="Times New Roman"/>
          <w:sz w:val="24"/>
          <w:szCs w:val="24"/>
        </w:rPr>
      </w:pPr>
      <w:r w:rsidRPr="00F54ACC">
        <w:rPr>
          <w:rFonts w:ascii="Times New Roman" w:hAnsi="Times New Roman" w:cs="Times New Roman"/>
          <w:sz w:val="24"/>
          <w:szCs w:val="24"/>
        </w:rPr>
        <w:t xml:space="preserve">In Shreya Singhal v Union </w:t>
      </w:r>
      <w:r w:rsidR="7441BA3B" w:rsidRPr="7441BA3B">
        <w:rPr>
          <w:rFonts w:ascii="Times New Roman" w:hAnsi="Times New Roman" w:cs="Times New Roman"/>
          <w:sz w:val="24"/>
          <w:szCs w:val="24"/>
        </w:rPr>
        <w:t>of</w:t>
      </w:r>
      <w:r w:rsidRPr="00F54ACC">
        <w:rPr>
          <w:rFonts w:ascii="Times New Roman" w:hAnsi="Times New Roman" w:cs="Times New Roman"/>
          <w:sz w:val="24"/>
          <w:szCs w:val="24"/>
        </w:rPr>
        <w:t xml:space="preserve"> India</w:t>
      </w:r>
      <w:r w:rsidRPr="7441BA3B">
        <w:rPr>
          <w:rStyle w:val="FootnoteReference"/>
          <w:rFonts w:ascii="Times New Roman" w:hAnsi="Times New Roman" w:cs="Times New Roman"/>
          <w:sz w:val="24"/>
          <w:szCs w:val="24"/>
        </w:rPr>
        <w:footnoteReference w:id="7"/>
      </w:r>
      <w:r w:rsidR="00623E39">
        <w:rPr>
          <w:rFonts w:ascii="Times New Roman" w:hAnsi="Times New Roman" w:cs="Times New Roman"/>
          <w:sz w:val="24"/>
          <w:szCs w:val="24"/>
        </w:rPr>
        <w:t>,</w:t>
      </w:r>
      <w:r w:rsidR="000149AA">
        <w:rPr>
          <w:rFonts w:ascii="Times New Roman" w:hAnsi="Times New Roman" w:cs="Times New Roman"/>
          <w:sz w:val="24"/>
          <w:szCs w:val="24"/>
        </w:rPr>
        <w:t xml:space="preserve"> The Supreme Court of India</w:t>
      </w:r>
      <w:r w:rsidR="000E65E9">
        <w:rPr>
          <w:rFonts w:ascii="Times New Roman" w:hAnsi="Times New Roman" w:cs="Times New Roman"/>
          <w:sz w:val="24"/>
          <w:szCs w:val="24"/>
        </w:rPr>
        <w:t xml:space="preserve"> examined the intri</w:t>
      </w:r>
      <w:r w:rsidR="00ED5BCF">
        <w:rPr>
          <w:rFonts w:ascii="Times New Roman" w:hAnsi="Times New Roman" w:cs="Times New Roman"/>
          <w:sz w:val="24"/>
          <w:szCs w:val="24"/>
        </w:rPr>
        <w:t>cacies of Article 19(1)(a)</w:t>
      </w:r>
      <w:r w:rsidR="001C1C8B">
        <w:rPr>
          <w:rFonts w:ascii="Times New Roman" w:hAnsi="Times New Roman" w:cs="Times New Roman"/>
          <w:sz w:val="24"/>
          <w:szCs w:val="24"/>
        </w:rPr>
        <w:t xml:space="preserve"> and its subsequent development in the Information Technology sector</w:t>
      </w:r>
      <w:r w:rsidR="00ED5BCF">
        <w:rPr>
          <w:rFonts w:ascii="Times New Roman" w:hAnsi="Times New Roman" w:cs="Times New Roman"/>
          <w:sz w:val="24"/>
          <w:szCs w:val="24"/>
        </w:rPr>
        <w:t xml:space="preserve">. </w:t>
      </w:r>
      <w:r w:rsidR="00623E39" w:rsidRPr="00623E39">
        <w:rPr>
          <w:rFonts w:ascii="Times New Roman" w:hAnsi="Times New Roman" w:cs="Times New Roman"/>
          <w:sz w:val="24"/>
          <w:szCs w:val="24"/>
        </w:rPr>
        <w:t>the Supreme Court struck down Section 66A of the IT Act, holding it unconstitutional for being vague and disproportionately infringing on free speech rights under Article 19(1)(a)</w:t>
      </w:r>
      <w:r w:rsidR="00DF4A62">
        <w:rPr>
          <w:rFonts w:ascii="Times New Roman" w:hAnsi="Times New Roman" w:cs="Times New Roman"/>
          <w:sz w:val="24"/>
          <w:szCs w:val="24"/>
        </w:rPr>
        <w:t>.</w:t>
      </w:r>
      <w:r w:rsidR="004A290F">
        <w:rPr>
          <w:rFonts w:ascii="Times New Roman" w:hAnsi="Times New Roman" w:cs="Times New Roman"/>
          <w:sz w:val="24"/>
          <w:szCs w:val="24"/>
        </w:rPr>
        <w:t xml:space="preserve"> </w:t>
      </w:r>
      <w:r w:rsidR="388D3E81" w:rsidRPr="388D3E81">
        <w:rPr>
          <w:rFonts w:ascii="Times New Roman" w:hAnsi="Times New Roman" w:cs="Times New Roman"/>
          <w:sz w:val="24"/>
          <w:szCs w:val="24"/>
        </w:rPr>
        <w:t>Consequently, the court laid down a very structured framework, defining the three tiers of speech, namely: “</w:t>
      </w:r>
      <w:r w:rsidR="388D3E81" w:rsidRPr="0E24B3BD">
        <w:rPr>
          <w:rFonts w:ascii="Times New Roman" w:hAnsi="Times New Roman" w:cs="Times New Roman"/>
          <w:i/>
          <w:iCs/>
          <w:sz w:val="24"/>
          <w:szCs w:val="24"/>
        </w:rPr>
        <w:t>Discussion, Advocacy and Incitement.”</w:t>
      </w:r>
      <w:r w:rsidRPr="0E24B3BD">
        <w:rPr>
          <w:rStyle w:val="FootnoteReference"/>
          <w:rFonts w:ascii="Times New Roman" w:hAnsi="Times New Roman" w:cs="Times New Roman"/>
          <w:i/>
          <w:iCs/>
          <w:sz w:val="24"/>
          <w:szCs w:val="24"/>
        </w:rPr>
        <w:footnoteReference w:id="8"/>
      </w:r>
      <w:r w:rsidR="388D3E81" w:rsidRPr="0E24B3BD">
        <w:rPr>
          <w:rFonts w:ascii="Times New Roman" w:hAnsi="Times New Roman" w:cs="Times New Roman"/>
          <w:i/>
          <w:iCs/>
          <w:sz w:val="24"/>
          <w:szCs w:val="24"/>
        </w:rPr>
        <w:t xml:space="preserve"> </w:t>
      </w:r>
      <w:r w:rsidR="388D3E81" w:rsidRPr="388D3E81">
        <w:rPr>
          <w:rFonts w:ascii="Times New Roman" w:hAnsi="Times New Roman" w:cs="Times New Roman"/>
          <w:sz w:val="24"/>
          <w:szCs w:val="24"/>
        </w:rPr>
        <w:t>It was held that while discussion and advocacy stood constitutionally protected, incitement signified potential and clear danger to public order, security or morality, all the factors that constitute as reasonable restriction under Article 19(2) of the Constitution. This classification, to a significant extent</w:t>
      </w:r>
      <w:r w:rsidR="000B02CF">
        <w:rPr>
          <w:rFonts w:ascii="Times New Roman" w:hAnsi="Times New Roman" w:cs="Times New Roman"/>
          <w:sz w:val="24"/>
          <w:szCs w:val="24"/>
        </w:rPr>
        <w:t xml:space="preserve">, </w:t>
      </w:r>
      <w:r w:rsidR="388D3E81" w:rsidRPr="388D3E81">
        <w:rPr>
          <w:rFonts w:ascii="Times New Roman" w:hAnsi="Times New Roman" w:cs="Times New Roman"/>
          <w:sz w:val="24"/>
          <w:szCs w:val="24"/>
        </w:rPr>
        <w:t xml:space="preserve">drew a boundary between permissible and legitimate speech and punishable or offense attracting articulations. </w:t>
      </w:r>
    </w:p>
    <w:p w14:paraId="5439E8D5" w14:textId="77777777" w:rsidR="00623E39" w:rsidRDefault="0E24B3BD" w:rsidP="00623E39">
      <w:pPr>
        <w:spacing w:line="360" w:lineRule="auto"/>
        <w:jc w:val="both"/>
        <w:rPr>
          <w:rFonts w:ascii="Times New Roman" w:hAnsi="Times New Roman" w:cs="Times New Roman"/>
          <w:sz w:val="24"/>
          <w:szCs w:val="24"/>
        </w:rPr>
      </w:pPr>
      <w:r w:rsidRPr="0E24B3BD">
        <w:rPr>
          <w:rFonts w:ascii="Times New Roman" w:hAnsi="Times New Roman" w:cs="Times New Roman"/>
          <w:sz w:val="24"/>
          <w:szCs w:val="24"/>
        </w:rPr>
        <w:lastRenderedPageBreak/>
        <w:t xml:space="preserve">Additionally, the court casted a mandate for constitutional supervision of every speech or expression backed by Article 19(1)(a) requiring it to withstand the test of reasonableness under </w:t>
      </w:r>
      <w:r w:rsidR="00623E39" w:rsidRPr="00623E39">
        <w:rPr>
          <w:rFonts w:ascii="Times New Roman" w:hAnsi="Times New Roman" w:cs="Times New Roman"/>
          <w:sz w:val="24"/>
          <w:szCs w:val="24"/>
        </w:rPr>
        <w:t>Article 19(2) of the Indian Constitution permits the State to impose reasonable limitations on free speech to safeguard national sovereignty, public order, security, morality, decency, and prevent contempt of court, defamation, or incitement to offences. These constraints equally apply to digital platforms and the broader information technology ecosystem.</w:t>
      </w:r>
    </w:p>
    <w:p w14:paraId="42F77A19" w14:textId="4F859F37" w:rsidR="00B34DC4" w:rsidRPr="00AB134F" w:rsidRDefault="00B34DC4" w:rsidP="00623E39">
      <w:pPr>
        <w:spacing w:line="360" w:lineRule="auto"/>
        <w:jc w:val="both"/>
        <w:rPr>
          <w:rFonts w:ascii="Times New Roman" w:hAnsi="Times New Roman" w:cs="Times New Roman"/>
          <w:b/>
        </w:rPr>
      </w:pPr>
      <w:r w:rsidRPr="00AB134F">
        <w:rPr>
          <w:rFonts w:ascii="Times New Roman" w:hAnsi="Times New Roman" w:cs="Times New Roman"/>
          <w:b/>
          <w:bCs/>
          <w:sz w:val="24"/>
          <w:szCs w:val="24"/>
        </w:rPr>
        <w:t>EVOLUTION AND INFLUENCE OF OTT PLATFORMS</w:t>
      </w:r>
    </w:p>
    <w:p w14:paraId="3DDD6F76" w14:textId="59E7DC66" w:rsidR="00B34DC4" w:rsidRDefault="0083134E" w:rsidP="00B34DC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Over-The-Top (OTT) Platforms, </w:t>
      </w:r>
      <w:r w:rsidR="007E6233">
        <w:rPr>
          <w:rFonts w:ascii="Times New Roman" w:hAnsi="Times New Roman" w:cs="Times New Roman"/>
          <w:sz w:val="24"/>
          <w:szCs w:val="24"/>
        </w:rPr>
        <w:t xml:space="preserve">well known for their wireless audio and video </w:t>
      </w:r>
      <w:r w:rsidR="004C7637">
        <w:rPr>
          <w:rFonts w:ascii="Times New Roman" w:hAnsi="Times New Roman" w:cs="Times New Roman"/>
          <w:sz w:val="24"/>
          <w:szCs w:val="24"/>
        </w:rPr>
        <w:t>hosting and streaming services, were introduced in India back in 2008</w:t>
      </w:r>
      <w:r w:rsidR="00461CEA">
        <w:rPr>
          <w:rFonts w:ascii="Times New Roman" w:hAnsi="Times New Roman" w:cs="Times New Roman"/>
          <w:sz w:val="24"/>
          <w:szCs w:val="24"/>
        </w:rPr>
        <w:t xml:space="preserve"> with BigFlix by Reliance.</w:t>
      </w:r>
      <w:r w:rsidR="00CC72F0">
        <w:rPr>
          <w:rFonts w:ascii="Times New Roman" w:hAnsi="Times New Roman" w:cs="Times New Roman"/>
          <w:sz w:val="24"/>
          <w:szCs w:val="24"/>
        </w:rPr>
        <w:t xml:space="preserve"> </w:t>
      </w:r>
      <w:r w:rsidR="00BB0E7B">
        <w:rPr>
          <w:rFonts w:ascii="Times New Roman" w:hAnsi="Times New Roman" w:cs="Times New Roman"/>
          <w:sz w:val="24"/>
          <w:szCs w:val="24"/>
        </w:rPr>
        <w:t xml:space="preserve">The first OTT mobile App was </w:t>
      </w:r>
      <w:r w:rsidR="007F70CA">
        <w:rPr>
          <w:rFonts w:ascii="Times New Roman" w:hAnsi="Times New Roman" w:cs="Times New Roman"/>
          <w:sz w:val="24"/>
          <w:szCs w:val="24"/>
        </w:rPr>
        <w:t xml:space="preserve">DigiVive nextGTV in 2010 </w:t>
      </w:r>
      <w:r w:rsidR="00B059F1">
        <w:rPr>
          <w:rFonts w:ascii="Times New Roman" w:hAnsi="Times New Roman" w:cs="Times New Roman"/>
          <w:sz w:val="24"/>
          <w:szCs w:val="24"/>
        </w:rPr>
        <w:t xml:space="preserve">which used to stream live IPL matches. </w:t>
      </w:r>
      <w:r w:rsidR="00BD49A5">
        <w:rPr>
          <w:rFonts w:ascii="Times New Roman" w:hAnsi="Times New Roman" w:cs="Times New Roman"/>
          <w:sz w:val="24"/>
          <w:szCs w:val="24"/>
        </w:rPr>
        <w:t>Several platforms followed eventually leading to the</w:t>
      </w:r>
      <w:r w:rsidR="00F40EAB">
        <w:rPr>
          <w:rFonts w:ascii="Times New Roman" w:hAnsi="Times New Roman" w:cs="Times New Roman"/>
          <w:sz w:val="24"/>
          <w:szCs w:val="24"/>
        </w:rPr>
        <w:t xml:space="preserve"> rapid growth of this sector, both at Indian as well as Global level.</w:t>
      </w:r>
      <w:r w:rsidR="0082124F">
        <w:rPr>
          <w:rStyle w:val="FootnoteReference"/>
          <w:rFonts w:ascii="Times New Roman" w:hAnsi="Times New Roman" w:cs="Times New Roman"/>
          <w:sz w:val="24"/>
          <w:szCs w:val="24"/>
        </w:rPr>
        <w:footnoteReference w:id="9"/>
      </w:r>
      <w:r w:rsidR="00F40EAB">
        <w:rPr>
          <w:rFonts w:ascii="Times New Roman" w:hAnsi="Times New Roman" w:cs="Times New Roman"/>
          <w:sz w:val="24"/>
          <w:szCs w:val="24"/>
        </w:rPr>
        <w:t xml:space="preserve"> </w:t>
      </w:r>
      <w:r w:rsidR="00366BE0">
        <w:rPr>
          <w:rFonts w:ascii="Times New Roman" w:hAnsi="Times New Roman" w:cs="Times New Roman"/>
          <w:sz w:val="24"/>
          <w:szCs w:val="24"/>
        </w:rPr>
        <w:t>A variety of factors including internet access, increased smartphone usage,</w:t>
      </w:r>
      <w:r w:rsidR="00CC72F0">
        <w:rPr>
          <w:rFonts w:ascii="Times New Roman" w:hAnsi="Times New Roman" w:cs="Times New Roman"/>
          <w:sz w:val="24"/>
          <w:szCs w:val="24"/>
        </w:rPr>
        <w:t xml:space="preserve"> </w:t>
      </w:r>
      <w:r w:rsidR="007D1AD5">
        <w:rPr>
          <w:rFonts w:ascii="Times New Roman" w:hAnsi="Times New Roman" w:cs="Times New Roman"/>
          <w:sz w:val="24"/>
          <w:szCs w:val="24"/>
        </w:rPr>
        <w:t xml:space="preserve">and youth viewership contribute significantly to this </w:t>
      </w:r>
      <w:r w:rsidR="00FB4835">
        <w:rPr>
          <w:rFonts w:ascii="Times New Roman" w:hAnsi="Times New Roman" w:cs="Times New Roman"/>
          <w:sz w:val="24"/>
          <w:szCs w:val="24"/>
        </w:rPr>
        <w:t xml:space="preserve">accelerated growth of this </w:t>
      </w:r>
      <w:r w:rsidR="00CC72F0">
        <w:rPr>
          <w:rFonts w:ascii="Times New Roman" w:hAnsi="Times New Roman" w:cs="Times New Roman"/>
          <w:sz w:val="24"/>
          <w:szCs w:val="24"/>
        </w:rPr>
        <w:t xml:space="preserve">digital domain. </w:t>
      </w:r>
      <w:r w:rsidR="00002A07">
        <w:rPr>
          <w:rFonts w:ascii="Times New Roman" w:hAnsi="Times New Roman" w:cs="Times New Roman"/>
          <w:sz w:val="24"/>
          <w:szCs w:val="24"/>
        </w:rPr>
        <w:t xml:space="preserve">In addition to </w:t>
      </w:r>
      <w:r w:rsidR="00864567">
        <w:rPr>
          <w:rFonts w:ascii="Times New Roman" w:hAnsi="Times New Roman" w:cs="Times New Roman"/>
          <w:sz w:val="24"/>
          <w:szCs w:val="24"/>
        </w:rPr>
        <w:t>providing innovative and cost</w:t>
      </w:r>
      <w:r w:rsidR="75B3DBD1" w:rsidRPr="75B3DBD1">
        <w:rPr>
          <w:rFonts w:ascii="Times New Roman" w:hAnsi="Times New Roman" w:cs="Times New Roman"/>
          <w:sz w:val="24"/>
          <w:szCs w:val="24"/>
        </w:rPr>
        <w:t>-</w:t>
      </w:r>
      <w:r w:rsidR="00864567">
        <w:rPr>
          <w:rFonts w:ascii="Times New Roman" w:hAnsi="Times New Roman" w:cs="Times New Roman"/>
          <w:sz w:val="24"/>
          <w:szCs w:val="24"/>
        </w:rPr>
        <w:t>effective content</w:t>
      </w:r>
      <w:r w:rsidR="000F6058">
        <w:rPr>
          <w:rFonts w:ascii="Times New Roman" w:hAnsi="Times New Roman" w:cs="Times New Roman"/>
          <w:sz w:val="24"/>
          <w:szCs w:val="24"/>
        </w:rPr>
        <w:t xml:space="preserve">, </w:t>
      </w:r>
      <w:r w:rsidR="005715B9">
        <w:rPr>
          <w:rFonts w:ascii="Times New Roman" w:hAnsi="Times New Roman" w:cs="Times New Roman"/>
          <w:sz w:val="24"/>
          <w:szCs w:val="24"/>
        </w:rPr>
        <w:t xml:space="preserve">these platforms contribute to development of </w:t>
      </w:r>
      <w:r w:rsidR="004A6781">
        <w:rPr>
          <w:rFonts w:ascii="Times New Roman" w:hAnsi="Times New Roman" w:cs="Times New Roman"/>
          <w:sz w:val="24"/>
          <w:szCs w:val="24"/>
        </w:rPr>
        <w:t>binge</w:t>
      </w:r>
      <w:r w:rsidR="00FD1EF6">
        <w:rPr>
          <w:rFonts w:ascii="Times New Roman" w:hAnsi="Times New Roman" w:cs="Times New Roman"/>
          <w:sz w:val="24"/>
          <w:szCs w:val="24"/>
        </w:rPr>
        <w:t>-</w:t>
      </w:r>
      <w:r w:rsidR="004A6781">
        <w:rPr>
          <w:rFonts w:ascii="Times New Roman" w:hAnsi="Times New Roman" w:cs="Times New Roman"/>
          <w:sz w:val="24"/>
          <w:szCs w:val="24"/>
        </w:rPr>
        <w:t xml:space="preserve">watching culture, on demand content, content on the go and most importantly shifting focus of younger generations from tradition </w:t>
      </w:r>
      <w:r w:rsidR="008460C6">
        <w:rPr>
          <w:rFonts w:ascii="Times New Roman" w:hAnsi="Times New Roman" w:cs="Times New Roman"/>
          <w:sz w:val="24"/>
          <w:szCs w:val="24"/>
        </w:rPr>
        <w:t>television.</w:t>
      </w:r>
      <w:r w:rsidR="000F6058">
        <w:rPr>
          <w:rStyle w:val="FootnoteReference"/>
          <w:rFonts w:ascii="Times New Roman" w:hAnsi="Times New Roman" w:cs="Times New Roman"/>
          <w:sz w:val="24"/>
          <w:szCs w:val="24"/>
        </w:rPr>
        <w:footnoteReference w:id="10"/>
      </w:r>
      <w:r w:rsidR="008460C6">
        <w:rPr>
          <w:rFonts w:ascii="Times New Roman" w:hAnsi="Times New Roman" w:cs="Times New Roman"/>
          <w:sz w:val="24"/>
          <w:szCs w:val="24"/>
        </w:rPr>
        <w:t xml:space="preserve"> </w:t>
      </w:r>
      <w:r w:rsidR="004F0664">
        <w:rPr>
          <w:rFonts w:ascii="Times New Roman" w:hAnsi="Times New Roman" w:cs="Times New Roman"/>
          <w:sz w:val="24"/>
          <w:szCs w:val="24"/>
        </w:rPr>
        <w:t xml:space="preserve">Specially in the Indian context, where film stars are idolized </w:t>
      </w:r>
      <w:r w:rsidR="00A9234C">
        <w:rPr>
          <w:rFonts w:ascii="Times New Roman" w:hAnsi="Times New Roman" w:cs="Times New Roman"/>
          <w:sz w:val="24"/>
          <w:szCs w:val="24"/>
        </w:rPr>
        <w:t>by substantial chunk of the population</w:t>
      </w:r>
      <w:r w:rsidR="00BF25CB">
        <w:rPr>
          <w:rFonts w:ascii="Times New Roman" w:hAnsi="Times New Roman" w:cs="Times New Roman"/>
          <w:sz w:val="24"/>
          <w:szCs w:val="24"/>
        </w:rPr>
        <w:t xml:space="preserve"> and </w:t>
      </w:r>
      <w:r w:rsidR="006E0330">
        <w:rPr>
          <w:rFonts w:ascii="Times New Roman" w:hAnsi="Times New Roman" w:cs="Times New Roman"/>
          <w:sz w:val="24"/>
          <w:szCs w:val="24"/>
        </w:rPr>
        <w:t xml:space="preserve">youth is most susceptible to adoption of </w:t>
      </w:r>
      <w:r w:rsidR="0061344E">
        <w:rPr>
          <w:rFonts w:ascii="Times New Roman" w:hAnsi="Times New Roman" w:cs="Times New Roman"/>
          <w:sz w:val="24"/>
          <w:szCs w:val="24"/>
        </w:rPr>
        <w:t>this digital media quickly.</w:t>
      </w:r>
      <w:r w:rsidR="005854F8">
        <w:rPr>
          <w:rFonts w:ascii="Times New Roman" w:hAnsi="Times New Roman" w:cs="Times New Roman"/>
          <w:sz w:val="24"/>
          <w:szCs w:val="24"/>
        </w:rPr>
        <w:t xml:space="preserve"> </w:t>
      </w:r>
      <w:r w:rsidR="00FB33C6">
        <w:rPr>
          <w:rFonts w:ascii="Times New Roman" w:hAnsi="Times New Roman" w:cs="Times New Roman"/>
          <w:sz w:val="24"/>
          <w:szCs w:val="24"/>
        </w:rPr>
        <w:t xml:space="preserve">These platforms are not only responsible for perception changing of the people, but they </w:t>
      </w:r>
      <w:r w:rsidR="007A6563">
        <w:rPr>
          <w:rFonts w:ascii="Times New Roman" w:hAnsi="Times New Roman" w:cs="Times New Roman"/>
          <w:sz w:val="24"/>
          <w:szCs w:val="24"/>
        </w:rPr>
        <w:t>also influence their thoughts on many positive and negative topics.</w:t>
      </w:r>
      <w:r w:rsidR="00AC33F5">
        <w:rPr>
          <w:rStyle w:val="FootnoteReference"/>
          <w:rFonts w:ascii="Times New Roman" w:hAnsi="Times New Roman" w:cs="Times New Roman"/>
          <w:sz w:val="24"/>
          <w:szCs w:val="24"/>
        </w:rPr>
        <w:footnoteReference w:id="11"/>
      </w:r>
      <w:r w:rsidR="006779BB">
        <w:rPr>
          <w:rFonts w:ascii="Times New Roman" w:hAnsi="Times New Roman" w:cs="Times New Roman"/>
          <w:sz w:val="24"/>
          <w:szCs w:val="24"/>
        </w:rPr>
        <w:t xml:space="preserve"> </w:t>
      </w:r>
    </w:p>
    <w:p w14:paraId="7C43B2C6" w14:textId="1C2E7DB0" w:rsidR="002B729E" w:rsidRDefault="4C8A2ED1" w:rsidP="002B729E">
      <w:pPr>
        <w:tabs>
          <w:tab w:val="left" w:pos="6453"/>
        </w:tabs>
        <w:spacing w:line="360" w:lineRule="auto"/>
        <w:jc w:val="both"/>
        <w:rPr>
          <w:rFonts w:ascii="Times New Roman" w:hAnsi="Times New Roman" w:cs="Times New Roman"/>
          <w:sz w:val="24"/>
          <w:szCs w:val="24"/>
        </w:rPr>
      </w:pPr>
      <w:r w:rsidRPr="4C8A2ED1">
        <w:rPr>
          <w:rFonts w:ascii="Times New Roman" w:hAnsi="Times New Roman" w:cs="Times New Roman"/>
          <w:sz w:val="24"/>
          <w:szCs w:val="24"/>
        </w:rPr>
        <w:t>“Pataal Lok” on Amazon Prime faced debates and controversies for its specific scenes hurting the emotions of Sikh and Gorkha Community.</w:t>
      </w:r>
      <w:r w:rsidR="00F20DF1">
        <w:rPr>
          <w:rStyle w:val="FootnoteReference"/>
          <w:rFonts w:ascii="Times New Roman" w:hAnsi="Times New Roman" w:cs="Times New Roman"/>
          <w:sz w:val="24"/>
          <w:szCs w:val="24"/>
        </w:rPr>
        <w:footnoteReference w:id="12"/>
      </w:r>
      <w:r w:rsidRPr="4C8A2ED1">
        <w:rPr>
          <w:rFonts w:ascii="Times New Roman" w:hAnsi="Times New Roman" w:cs="Times New Roman"/>
          <w:sz w:val="24"/>
          <w:szCs w:val="24"/>
        </w:rPr>
        <w:t xml:space="preserve"> </w:t>
      </w:r>
      <w:r w:rsidR="002E6B42">
        <w:rPr>
          <w:rFonts w:ascii="Times New Roman" w:hAnsi="Times New Roman" w:cs="Times New Roman"/>
          <w:sz w:val="24"/>
          <w:szCs w:val="24"/>
        </w:rPr>
        <w:t>In Aparna Purohit v</w:t>
      </w:r>
      <w:r w:rsidR="00485155">
        <w:rPr>
          <w:rFonts w:ascii="Times New Roman" w:hAnsi="Times New Roman" w:cs="Times New Roman"/>
          <w:sz w:val="24"/>
          <w:szCs w:val="24"/>
        </w:rPr>
        <w:t xml:space="preserve"> State of </w:t>
      </w:r>
      <w:r w:rsidR="002C001F">
        <w:rPr>
          <w:rFonts w:ascii="Times New Roman" w:hAnsi="Times New Roman" w:cs="Times New Roman"/>
          <w:sz w:val="24"/>
          <w:szCs w:val="24"/>
        </w:rPr>
        <w:t>Uttar Pradesh</w:t>
      </w:r>
      <w:r w:rsidR="002C001F">
        <w:rPr>
          <w:rStyle w:val="FootnoteReference"/>
          <w:rFonts w:ascii="Times New Roman" w:hAnsi="Times New Roman" w:cs="Times New Roman"/>
          <w:sz w:val="24"/>
          <w:szCs w:val="24"/>
        </w:rPr>
        <w:footnoteReference w:id="13"/>
      </w:r>
      <w:r w:rsidR="00442F38">
        <w:rPr>
          <w:rFonts w:ascii="Times New Roman" w:hAnsi="Times New Roman" w:cs="Times New Roman"/>
          <w:sz w:val="24"/>
          <w:szCs w:val="24"/>
        </w:rPr>
        <w:t xml:space="preserve">, concerns regarding </w:t>
      </w:r>
      <w:r w:rsidR="00ED5E5A">
        <w:rPr>
          <w:rFonts w:ascii="Times New Roman" w:hAnsi="Times New Roman" w:cs="Times New Roman"/>
          <w:sz w:val="24"/>
          <w:szCs w:val="24"/>
        </w:rPr>
        <w:t xml:space="preserve">web series on Amazon Prime, “Tandav” were raised, </w:t>
      </w:r>
      <w:r w:rsidR="00D71090">
        <w:rPr>
          <w:rFonts w:ascii="Times New Roman" w:hAnsi="Times New Roman" w:cs="Times New Roman"/>
          <w:sz w:val="24"/>
          <w:szCs w:val="24"/>
        </w:rPr>
        <w:t xml:space="preserve">the series allegedly hurt religious sentiments, and </w:t>
      </w:r>
      <w:r w:rsidR="00EC3A23">
        <w:rPr>
          <w:rFonts w:ascii="Times New Roman" w:hAnsi="Times New Roman" w:cs="Times New Roman"/>
          <w:sz w:val="24"/>
          <w:szCs w:val="24"/>
        </w:rPr>
        <w:t>the portrayal of Hindu Deities was deemed offensive by</w:t>
      </w:r>
      <w:r w:rsidR="00F20DF1">
        <w:rPr>
          <w:rFonts w:ascii="Times New Roman" w:hAnsi="Times New Roman" w:cs="Times New Roman"/>
          <w:sz w:val="24"/>
          <w:szCs w:val="24"/>
        </w:rPr>
        <w:t xml:space="preserve"> some groups.</w:t>
      </w:r>
      <w:r w:rsidR="00F84C98">
        <w:rPr>
          <w:rStyle w:val="FootnoteReference"/>
          <w:rFonts w:ascii="Times New Roman" w:hAnsi="Times New Roman" w:cs="Times New Roman"/>
          <w:sz w:val="24"/>
          <w:szCs w:val="24"/>
        </w:rPr>
        <w:footnoteReference w:id="14"/>
      </w:r>
      <w:r w:rsidR="00F20DF1">
        <w:rPr>
          <w:rFonts w:ascii="Times New Roman" w:hAnsi="Times New Roman" w:cs="Times New Roman"/>
          <w:sz w:val="24"/>
          <w:szCs w:val="24"/>
        </w:rPr>
        <w:t xml:space="preserve"> </w:t>
      </w:r>
      <w:r w:rsidR="00F20DF1" w:rsidRPr="4C8A2ED1">
        <w:rPr>
          <w:rFonts w:ascii="Times New Roman" w:hAnsi="Times New Roman" w:cs="Times New Roman"/>
          <w:sz w:val="24"/>
          <w:szCs w:val="24"/>
        </w:rPr>
        <w:t xml:space="preserve">Such films/series incites discussion over applicability of pre-censorship measures on online OTT-Platforms for scrutinizing expressions in consonance </w:t>
      </w:r>
      <w:r w:rsidR="00D95DAF">
        <w:rPr>
          <w:rFonts w:ascii="Times New Roman" w:hAnsi="Times New Roman" w:cs="Times New Roman"/>
          <w:sz w:val="24"/>
          <w:szCs w:val="24"/>
        </w:rPr>
        <w:t>with</w:t>
      </w:r>
      <w:r w:rsidR="00F20DF1" w:rsidRPr="4C8A2ED1">
        <w:rPr>
          <w:rFonts w:ascii="Times New Roman" w:hAnsi="Times New Roman" w:cs="Times New Roman"/>
          <w:sz w:val="24"/>
          <w:szCs w:val="24"/>
        </w:rPr>
        <w:t xml:space="preserve"> Article 19(2) to eliminate obscenity and morality concerns.</w:t>
      </w:r>
    </w:p>
    <w:p w14:paraId="28469D60" w14:textId="0D8A5F0B" w:rsidR="002B729E" w:rsidRPr="00552CB1" w:rsidRDefault="002B729E" w:rsidP="00552CB1">
      <w:pPr>
        <w:tabs>
          <w:tab w:val="left" w:pos="6453"/>
        </w:tabs>
        <w:spacing w:line="360" w:lineRule="auto"/>
        <w:rPr>
          <w:rFonts w:ascii="Times New Roman" w:hAnsi="Times New Roman" w:cs="Times New Roman"/>
          <w:b/>
          <w:bCs/>
          <w:sz w:val="24"/>
          <w:szCs w:val="24"/>
        </w:rPr>
      </w:pPr>
      <w:r w:rsidRPr="00552CB1">
        <w:rPr>
          <w:rFonts w:ascii="Times New Roman" w:hAnsi="Times New Roman" w:cs="Times New Roman"/>
          <w:b/>
          <w:bCs/>
          <w:sz w:val="24"/>
          <w:szCs w:val="24"/>
        </w:rPr>
        <w:t>OBSCENITY AND MORALITY CONCERNS ON OTT PLATFORMS</w:t>
      </w:r>
    </w:p>
    <w:p w14:paraId="3FF79284" w14:textId="2576C6ED" w:rsidR="00517677" w:rsidRDefault="00E27A9A" w:rsidP="002B729E">
      <w:pPr>
        <w:tabs>
          <w:tab w:val="left" w:pos="6453"/>
        </w:tabs>
        <w:spacing w:line="360" w:lineRule="auto"/>
        <w:jc w:val="both"/>
        <w:rPr>
          <w:rFonts w:ascii="Times New Roman" w:hAnsi="Times New Roman" w:cs="Times New Roman"/>
          <w:sz w:val="24"/>
          <w:szCs w:val="24"/>
        </w:rPr>
      </w:pPr>
      <w:r>
        <w:rPr>
          <w:rFonts w:ascii="Times New Roman" w:hAnsi="Times New Roman" w:cs="Times New Roman"/>
          <w:sz w:val="24"/>
          <w:szCs w:val="24"/>
        </w:rPr>
        <w:t>Obscenity, a word derived from the Latin</w:t>
      </w:r>
      <w:r w:rsidR="0052452A">
        <w:rPr>
          <w:rFonts w:ascii="Times New Roman" w:hAnsi="Times New Roman" w:cs="Times New Roman"/>
          <w:sz w:val="24"/>
          <w:szCs w:val="24"/>
        </w:rPr>
        <w:t xml:space="preserve"> term ‘</w:t>
      </w:r>
      <w:r w:rsidR="0052452A" w:rsidRPr="0E24B3BD">
        <w:rPr>
          <w:rFonts w:ascii="Times New Roman" w:hAnsi="Times New Roman" w:cs="Times New Roman"/>
          <w:i/>
          <w:iCs/>
          <w:sz w:val="24"/>
          <w:szCs w:val="24"/>
        </w:rPr>
        <w:t>obs</w:t>
      </w:r>
      <w:r w:rsidR="00853AD5" w:rsidRPr="0E24B3BD">
        <w:rPr>
          <w:rFonts w:ascii="Times New Roman" w:hAnsi="Times New Roman" w:cs="Times New Roman"/>
          <w:i/>
          <w:iCs/>
          <w:sz w:val="24"/>
          <w:szCs w:val="24"/>
        </w:rPr>
        <w:t>caena’</w:t>
      </w:r>
      <w:r w:rsidR="00853AD5">
        <w:rPr>
          <w:rFonts w:ascii="Times New Roman" w:hAnsi="Times New Roman" w:cs="Times New Roman"/>
          <w:sz w:val="24"/>
          <w:szCs w:val="24"/>
        </w:rPr>
        <w:t xml:space="preserve"> </w:t>
      </w:r>
      <w:r w:rsidR="00CE13FD">
        <w:rPr>
          <w:rFonts w:ascii="Times New Roman" w:hAnsi="Times New Roman" w:cs="Times New Roman"/>
          <w:sz w:val="24"/>
          <w:szCs w:val="24"/>
        </w:rPr>
        <w:t xml:space="preserve">meaning offstage, is a </w:t>
      </w:r>
      <w:r w:rsidR="00A42245">
        <w:rPr>
          <w:rFonts w:ascii="Times New Roman" w:hAnsi="Times New Roman" w:cs="Times New Roman"/>
          <w:sz w:val="24"/>
          <w:szCs w:val="24"/>
        </w:rPr>
        <w:t xml:space="preserve">very </w:t>
      </w:r>
      <w:r w:rsidR="00FE13C9">
        <w:rPr>
          <w:rFonts w:ascii="Times New Roman" w:hAnsi="Times New Roman" w:cs="Times New Roman"/>
          <w:sz w:val="24"/>
          <w:szCs w:val="24"/>
        </w:rPr>
        <w:t xml:space="preserve">abstract concept </w:t>
      </w:r>
      <w:r w:rsidR="00CE13FD">
        <w:rPr>
          <w:rFonts w:ascii="Times New Roman" w:hAnsi="Times New Roman" w:cs="Times New Roman"/>
          <w:sz w:val="24"/>
          <w:szCs w:val="24"/>
        </w:rPr>
        <w:t xml:space="preserve">with no specified definition associated with itself, </w:t>
      </w:r>
      <w:r w:rsidR="00584A1D">
        <w:rPr>
          <w:rFonts w:ascii="Times New Roman" w:hAnsi="Times New Roman" w:cs="Times New Roman"/>
          <w:sz w:val="24"/>
          <w:szCs w:val="24"/>
        </w:rPr>
        <w:t>varying nation to nation and even having different implications within different societies</w:t>
      </w:r>
      <w:r w:rsidR="00732B89">
        <w:rPr>
          <w:rFonts w:ascii="Times New Roman" w:hAnsi="Times New Roman" w:cs="Times New Roman"/>
          <w:sz w:val="24"/>
          <w:szCs w:val="24"/>
        </w:rPr>
        <w:t>, characterized by subjective traits</w:t>
      </w:r>
      <w:r w:rsidR="00C50F65">
        <w:rPr>
          <w:rFonts w:ascii="Times New Roman" w:hAnsi="Times New Roman" w:cs="Times New Roman"/>
          <w:sz w:val="24"/>
          <w:szCs w:val="24"/>
        </w:rPr>
        <w:t xml:space="preserve"> having cultural, moral and ethical influence</w:t>
      </w:r>
      <w:r w:rsidR="0019216B">
        <w:rPr>
          <w:rFonts w:ascii="Times New Roman" w:hAnsi="Times New Roman" w:cs="Times New Roman"/>
          <w:sz w:val="24"/>
          <w:szCs w:val="24"/>
        </w:rPr>
        <w:t xml:space="preserve"> of that epochs</w:t>
      </w:r>
      <w:r w:rsidR="00D565F0">
        <w:rPr>
          <w:rFonts w:ascii="Times New Roman" w:hAnsi="Times New Roman" w:cs="Times New Roman"/>
          <w:sz w:val="24"/>
          <w:szCs w:val="24"/>
        </w:rPr>
        <w:t xml:space="preserve">. </w:t>
      </w:r>
      <w:r w:rsidR="00D67AF4">
        <w:rPr>
          <w:rFonts w:ascii="Times New Roman" w:hAnsi="Times New Roman" w:cs="Times New Roman"/>
          <w:sz w:val="24"/>
          <w:szCs w:val="24"/>
        </w:rPr>
        <w:t xml:space="preserve">Obscenity can be </w:t>
      </w:r>
      <w:r w:rsidR="00B64DAA">
        <w:rPr>
          <w:rFonts w:ascii="Times New Roman" w:hAnsi="Times New Roman" w:cs="Times New Roman"/>
          <w:sz w:val="24"/>
          <w:szCs w:val="24"/>
        </w:rPr>
        <w:t>understood</w:t>
      </w:r>
      <w:r w:rsidR="00D67AF4">
        <w:rPr>
          <w:rFonts w:ascii="Times New Roman" w:hAnsi="Times New Roman" w:cs="Times New Roman"/>
          <w:sz w:val="24"/>
          <w:szCs w:val="24"/>
        </w:rPr>
        <w:t xml:space="preserve"> as “a statement or act which offends the moral standards of </w:t>
      </w:r>
      <w:r w:rsidR="00526270">
        <w:rPr>
          <w:rFonts w:ascii="Times New Roman" w:hAnsi="Times New Roman" w:cs="Times New Roman"/>
          <w:sz w:val="24"/>
          <w:szCs w:val="24"/>
        </w:rPr>
        <w:t xml:space="preserve">any community. It can be in the form of </w:t>
      </w:r>
      <w:r w:rsidR="4C8A2ED1" w:rsidRPr="4C8A2ED1">
        <w:rPr>
          <w:rFonts w:ascii="Times New Roman" w:hAnsi="Times New Roman" w:cs="Times New Roman"/>
          <w:sz w:val="24"/>
          <w:szCs w:val="24"/>
        </w:rPr>
        <w:t>an act, statement,</w:t>
      </w:r>
      <w:r w:rsidR="00526270">
        <w:rPr>
          <w:rFonts w:ascii="Times New Roman" w:hAnsi="Times New Roman" w:cs="Times New Roman"/>
          <w:sz w:val="24"/>
          <w:szCs w:val="24"/>
        </w:rPr>
        <w:t xml:space="preserve"> video, picture, </w:t>
      </w:r>
      <w:r w:rsidR="00F002A0">
        <w:rPr>
          <w:rFonts w:ascii="Times New Roman" w:hAnsi="Times New Roman" w:cs="Times New Roman"/>
          <w:sz w:val="24"/>
          <w:szCs w:val="24"/>
        </w:rPr>
        <w:t>article, figure, or write up against acceptable social and ethical standards.”</w:t>
      </w:r>
      <w:r w:rsidR="00596187">
        <w:rPr>
          <w:rStyle w:val="FootnoteReference"/>
          <w:rFonts w:ascii="Times New Roman" w:hAnsi="Times New Roman" w:cs="Times New Roman"/>
          <w:sz w:val="24"/>
          <w:szCs w:val="24"/>
        </w:rPr>
        <w:footnoteReference w:id="15"/>
      </w:r>
      <w:r w:rsidR="00596187">
        <w:rPr>
          <w:rFonts w:ascii="Times New Roman" w:hAnsi="Times New Roman" w:cs="Times New Roman"/>
          <w:sz w:val="24"/>
          <w:szCs w:val="24"/>
        </w:rPr>
        <w:t xml:space="preserve"> </w:t>
      </w:r>
    </w:p>
    <w:p w14:paraId="304202AF" w14:textId="06EDAAEB" w:rsidR="7856224C" w:rsidRDefault="7856224C" w:rsidP="0E24B3BD">
      <w:pPr>
        <w:tabs>
          <w:tab w:val="left" w:pos="6453"/>
        </w:tabs>
        <w:spacing w:line="360" w:lineRule="auto"/>
        <w:jc w:val="both"/>
        <w:rPr>
          <w:rFonts w:ascii="Times New Roman" w:eastAsia="Calibri" w:hAnsi="Times New Roman" w:cs="Times New Roman"/>
          <w:sz w:val="24"/>
          <w:szCs w:val="24"/>
        </w:rPr>
      </w:pPr>
      <w:r w:rsidRPr="7856224C">
        <w:rPr>
          <w:rFonts w:ascii="Times New Roman" w:eastAsia="Times New Roman" w:hAnsi="Times New Roman" w:cs="Times New Roman"/>
          <w:sz w:val="24"/>
          <w:szCs w:val="24"/>
        </w:rPr>
        <w:t xml:space="preserve">Since there's no fixed definition of obscenity in India, courts have used certain legal tests to decide what counts as obscene. One of the earliest and most influential was the “Hicklin Test” from an old English case, </w:t>
      </w:r>
      <w:r w:rsidRPr="0E24B3BD">
        <w:rPr>
          <w:rFonts w:ascii="Times New Roman" w:hAnsi="Times New Roman" w:cs="Times New Roman"/>
          <w:i/>
          <w:iCs/>
          <w:sz w:val="24"/>
          <w:szCs w:val="24"/>
        </w:rPr>
        <w:t>Regina v. Hicklin</w:t>
      </w:r>
      <w:r w:rsidRPr="0E24B3BD">
        <w:rPr>
          <w:rStyle w:val="FootnoteReference"/>
          <w:rFonts w:ascii="Times New Roman" w:hAnsi="Times New Roman" w:cs="Times New Roman"/>
          <w:i/>
          <w:iCs/>
          <w:sz w:val="24"/>
          <w:szCs w:val="24"/>
        </w:rPr>
        <w:footnoteReference w:id="16"/>
      </w:r>
      <w:r w:rsidRPr="7856224C">
        <w:rPr>
          <w:rFonts w:ascii="Times New Roman" w:eastAsia="Times New Roman" w:hAnsi="Times New Roman" w:cs="Times New Roman"/>
          <w:sz w:val="24"/>
          <w:szCs w:val="24"/>
        </w:rPr>
        <w:t xml:space="preserve">. It judged content based on whether it could morally harm or corrupt people, especially if it might reach children or those easily influenced. </w:t>
      </w:r>
      <w:r w:rsidRPr="7856224C">
        <w:rPr>
          <w:rFonts w:ascii="Times New Roman" w:eastAsia="Calibri" w:hAnsi="Times New Roman" w:cs="Times New Roman"/>
          <w:sz w:val="24"/>
          <w:szCs w:val="24"/>
        </w:rPr>
        <w:t xml:space="preserve">Later, in the case of </w:t>
      </w:r>
      <w:r w:rsidR="0E24B3BD" w:rsidRPr="0E24B3BD">
        <w:rPr>
          <w:rFonts w:ascii="Times New Roman" w:hAnsi="Times New Roman" w:cs="Times New Roman"/>
          <w:i/>
          <w:iCs/>
          <w:sz w:val="24"/>
          <w:szCs w:val="24"/>
        </w:rPr>
        <w:t>Aveek Sarkar vs. State of West Bengal</w:t>
      </w:r>
      <w:r w:rsidRPr="0E24B3BD">
        <w:rPr>
          <w:rStyle w:val="FootnoteReference"/>
          <w:rFonts w:ascii="Times New Roman" w:eastAsia="Calibri" w:hAnsi="Times New Roman" w:cs="Times New Roman"/>
          <w:sz w:val="24"/>
          <w:szCs w:val="24"/>
        </w:rPr>
        <w:footnoteReference w:id="17"/>
      </w:r>
      <w:r w:rsidRPr="7856224C">
        <w:rPr>
          <w:rFonts w:ascii="Times New Roman" w:eastAsia="Calibri" w:hAnsi="Times New Roman" w:cs="Times New Roman"/>
          <w:sz w:val="24"/>
          <w:szCs w:val="24"/>
        </w:rPr>
        <w:t xml:space="preserve">, the “Community Standard Test” replaced the </w:t>
      </w:r>
      <w:r w:rsidR="00B64DAA">
        <w:rPr>
          <w:rFonts w:ascii="Times New Roman" w:eastAsia="Calibri" w:hAnsi="Times New Roman" w:cs="Times New Roman"/>
          <w:sz w:val="24"/>
          <w:szCs w:val="24"/>
        </w:rPr>
        <w:t>“</w:t>
      </w:r>
      <w:r w:rsidRPr="00B64DAA">
        <w:rPr>
          <w:rFonts w:ascii="Times New Roman" w:eastAsia="Calibri" w:hAnsi="Times New Roman" w:cs="Times New Roman"/>
          <w:i/>
          <w:iCs/>
          <w:sz w:val="24"/>
          <w:szCs w:val="24"/>
        </w:rPr>
        <w:t>Hicklin Test</w:t>
      </w:r>
      <w:r w:rsidR="00B64DAA">
        <w:rPr>
          <w:rFonts w:ascii="Times New Roman" w:eastAsia="Calibri" w:hAnsi="Times New Roman" w:cs="Times New Roman"/>
          <w:sz w:val="24"/>
          <w:szCs w:val="24"/>
        </w:rPr>
        <w:t>”</w:t>
      </w:r>
      <w:r w:rsidRPr="7856224C">
        <w:rPr>
          <w:rFonts w:ascii="Times New Roman" w:eastAsia="Calibri" w:hAnsi="Times New Roman" w:cs="Times New Roman"/>
          <w:sz w:val="24"/>
          <w:szCs w:val="24"/>
        </w:rPr>
        <w:t xml:space="preserve"> and became the new standard for deciding what is obscene. Th</w:t>
      </w:r>
      <w:r w:rsidR="0E24B3BD" w:rsidRPr="0E24B3BD">
        <w:rPr>
          <w:rFonts w:ascii="Times New Roman" w:eastAsia="Calibri" w:hAnsi="Times New Roman" w:cs="Times New Roman"/>
          <w:sz w:val="24"/>
          <w:szCs w:val="24"/>
        </w:rPr>
        <w:t>e Court held that: -</w:t>
      </w:r>
    </w:p>
    <w:p w14:paraId="7DE9599A" w14:textId="7A5EEF19" w:rsidR="7856224C" w:rsidRPr="002C446A" w:rsidRDefault="0E24B3BD" w:rsidP="0E24B3BD">
      <w:pPr>
        <w:tabs>
          <w:tab w:val="left" w:pos="6453"/>
        </w:tabs>
        <w:spacing w:after="0" w:line="360" w:lineRule="auto"/>
        <w:ind w:left="1440"/>
        <w:jc w:val="both"/>
        <w:rPr>
          <w:rFonts w:ascii="Times New Roman" w:eastAsia="Times New Roman" w:hAnsi="Times New Roman" w:cs="Times New Roman"/>
          <w:i/>
          <w:iCs/>
          <w:color w:val="000000" w:themeColor="text1"/>
          <w:sz w:val="24"/>
          <w:szCs w:val="24"/>
          <w:u w:val="single"/>
        </w:rPr>
      </w:pPr>
      <w:r w:rsidRPr="0E24B3BD">
        <w:rPr>
          <w:rFonts w:ascii="Times New Roman" w:eastAsia="Times New Roman" w:hAnsi="Times New Roman" w:cs="Times New Roman"/>
          <w:color w:val="000000" w:themeColor="text1"/>
          <w:sz w:val="24"/>
          <w:szCs w:val="24"/>
        </w:rPr>
        <w:t>“</w:t>
      </w:r>
      <w:r w:rsidRPr="002C446A">
        <w:rPr>
          <w:rFonts w:ascii="Times New Roman" w:eastAsia="Times New Roman" w:hAnsi="Times New Roman" w:cs="Times New Roman"/>
          <w:i/>
          <w:iCs/>
          <w:color w:val="000000" w:themeColor="text1"/>
          <w:sz w:val="24"/>
          <w:szCs w:val="24"/>
        </w:rPr>
        <w:t xml:space="preserve">24. We are also of the view that Hicklin test is not the correct test to be applied to determine “what is obscenity”. </w:t>
      </w:r>
      <w:r w:rsidRPr="002C446A">
        <w:rPr>
          <w:rFonts w:ascii="Times New Roman" w:eastAsia="Times New Roman" w:hAnsi="Times New Roman" w:cs="Times New Roman"/>
          <w:i/>
          <w:iCs/>
          <w:sz w:val="24"/>
          <w:szCs w:val="24"/>
        </w:rPr>
        <w:t>Section 292</w:t>
      </w:r>
      <w:r w:rsidRPr="002C446A">
        <w:rPr>
          <w:rFonts w:ascii="Times New Roman" w:eastAsia="Times New Roman" w:hAnsi="Times New Roman" w:cs="Times New Roman"/>
          <w:i/>
          <w:iCs/>
          <w:color w:val="000000" w:themeColor="text1"/>
          <w:sz w:val="24"/>
          <w:szCs w:val="24"/>
        </w:rPr>
        <w:t xml:space="preserve"> of the Indian Penal Code, of course, uses the expression ‘lascivious and prurient interests’ or its effect. Later, it has also been indicated in the said Section of the applicability of the effect and the necessity of taking the items as a whole and on that foundation where such items would tend to deprave and corrupt persons who are likely, having regard to all the relevant circumstances, to read, see or hear the matter contained or embodied in it. </w:t>
      </w:r>
      <w:r w:rsidRPr="002C446A">
        <w:rPr>
          <w:rFonts w:ascii="Times New Roman" w:eastAsia="Times New Roman" w:hAnsi="Times New Roman" w:cs="Times New Roman"/>
          <w:b/>
          <w:bCs/>
          <w:i/>
          <w:iCs/>
          <w:color w:val="000000" w:themeColor="text1"/>
          <w:sz w:val="24"/>
          <w:szCs w:val="24"/>
        </w:rPr>
        <w:t>We have, therefore, to apply the “community standard test” rather than “Hicklin test” to determine what is “obscenity”.</w:t>
      </w:r>
      <w:r w:rsidRPr="002C446A">
        <w:rPr>
          <w:rFonts w:ascii="Times New Roman" w:eastAsia="Times New Roman" w:hAnsi="Times New Roman" w:cs="Times New Roman"/>
          <w:i/>
          <w:iCs/>
          <w:color w:val="000000" w:themeColor="text1"/>
          <w:sz w:val="24"/>
          <w:szCs w:val="24"/>
        </w:rPr>
        <w:t xml:space="preserve"> A bare reading of Sub-section </w:t>
      </w:r>
      <w:r w:rsidRPr="002C446A">
        <w:rPr>
          <w:rFonts w:ascii="Times New Roman" w:eastAsia="Times New Roman" w:hAnsi="Times New Roman" w:cs="Times New Roman"/>
          <w:i/>
          <w:iCs/>
          <w:color w:val="000000" w:themeColor="text1"/>
          <w:sz w:val="24"/>
          <w:szCs w:val="24"/>
          <w:u w:val="single"/>
        </w:rPr>
        <w:t>(1) of Section 292 makes clear that a picture or article shall be deemed to be obscene</w:t>
      </w:r>
    </w:p>
    <w:p w14:paraId="42850DA9" w14:textId="53F71107" w:rsidR="7856224C" w:rsidRPr="002C446A" w:rsidRDefault="0E24B3BD" w:rsidP="0E24B3BD">
      <w:pPr>
        <w:tabs>
          <w:tab w:val="left" w:pos="6453"/>
        </w:tabs>
        <w:spacing w:after="0" w:line="360" w:lineRule="auto"/>
        <w:ind w:left="1440"/>
        <w:jc w:val="both"/>
        <w:rPr>
          <w:rFonts w:ascii="Times New Roman" w:eastAsia="Times New Roman" w:hAnsi="Times New Roman" w:cs="Times New Roman"/>
          <w:i/>
          <w:iCs/>
          <w:color w:val="000000" w:themeColor="text1"/>
          <w:sz w:val="24"/>
          <w:szCs w:val="24"/>
          <w:u w:val="single"/>
        </w:rPr>
      </w:pPr>
      <w:r w:rsidRPr="002C446A">
        <w:rPr>
          <w:rFonts w:ascii="Times New Roman" w:eastAsia="Times New Roman" w:hAnsi="Times New Roman" w:cs="Times New Roman"/>
          <w:i/>
          <w:iCs/>
          <w:color w:val="000000" w:themeColor="text1"/>
          <w:sz w:val="24"/>
          <w:szCs w:val="24"/>
          <w:u w:val="single"/>
        </w:rPr>
        <w:t xml:space="preserve">(i) if it is lascivious; </w:t>
      </w:r>
    </w:p>
    <w:p w14:paraId="60DD2EEE" w14:textId="01B891BF" w:rsidR="7856224C" w:rsidRPr="002C446A" w:rsidRDefault="0E24B3BD" w:rsidP="0E24B3BD">
      <w:pPr>
        <w:tabs>
          <w:tab w:val="left" w:pos="6453"/>
        </w:tabs>
        <w:spacing w:after="0" w:line="360" w:lineRule="auto"/>
        <w:ind w:left="1440"/>
        <w:jc w:val="both"/>
        <w:rPr>
          <w:rFonts w:ascii="Times New Roman" w:eastAsia="Times New Roman" w:hAnsi="Times New Roman" w:cs="Times New Roman"/>
          <w:i/>
          <w:iCs/>
          <w:color w:val="000000" w:themeColor="text1"/>
          <w:sz w:val="24"/>
          <w:szCs w:val="24"/>
          <w:u w:val="single"/>
        </w:rPr>
      </w:pPr>
      <w:r w:rsidRPr="002C446A">
        <w:rPr>
          <w:rFonts w:ascii="Times New Roman" w:eastAsia="Times New Roman" w:hAnsi="Times New Roman" w:cs="Times New Roman"/>
          <w:i/>
          <w:iCs/>
          <w:color w:val="000000" w:themeColor="text1"/>
          <w:sz w:val="24"/>
          <w:szCs w:val="24"/>
          <w:u w:val="single"/>
        </w:rPr>
        <w:t xml:space="preserve">(ii) it appeals to the prurient interest, and </w:t>
      </w:r>
    </w:p>
    <w:p w14:paraId="5BCF7C7F" w14:textId="11522702" w:rsidR="7856224C" w:rsidRPr="002C446A" w:rsidRDefault="0E24B3BD" w:rsidP="0E24B3BD">
      <w:pPr>
        <w:tabs>
          <w:tab w:val="left" w:pos="6453"/>
        </w:tabs>
        <w:spacing w:after="0" w:line="360" w:lineRule="auto"/>
        <w:ind w:left="1440"/>
        <w:jc w:val="both"/>
        <w:rPr>
          <w:rFonts w:ascii="Times New Roman" w:eastAsia="Times New Roman" w:hAnsi="Times New Roman" w:cs="Times New Roman"/>
          <w:i/>
          <w:iCs/>
          <w:color w:val="000000" w:themeColor="text1"/>
          <w:sz w:val="24"/>
          <w:szCs w:val="24"/>
          <w:u w:val="single"/>
        </w:rPr>
      </w:pPr>
      <w:r w:rsidRPr="002C446A">
        <w:rPr>
          <w:rFonts w:ascii="Times New Roman" w:eastAsia="Times New Roman" w:hAnsi="Times New Roman" w:cs="Times New Roman"/>
          <w:i/>
          <w:iCs/>
          <w:color w:val="000000" w:themeColor="text1"/>
          <w:sz w:val="24"/>
          <w:szCs w:val="24"/>
          <w:u w:val="single"/>
        </w:rPr>
        <w:t xml:space="preserve">(iii) it tends to deprave and corrupt persons who are likely to read, see or hear the matter, alleged to be obscene. </w:t>
      </w:r>
    </w:p>
    <w:p w14:paraId="0A9F6472" w14:textId="30819490" w:rsidR="7856224C" w:rsidRDefault="0E24B3BD" w:rsidP="0E24B3BD">
      <w:pPr>
        <w:tabs>
          <w:tab w:val="left" w:pos="6453"/>
        </w:tabs>
        <w:spacing w:after="0" w:line="360" w:lineRule="auto"/>
        <w:ind w:left="1440"/>
        <w:jc w:val="both"/>
        <w:rPr>
          <w:rFonts w:ascii="Times New Roman" w:eastAsia="Times New Roman" w:hAnsi="Times New Roman" w:cs="Times New Roman"/>
          <w:color w:val="000000" w:themeColor="text1"/>
          <w:sz w:val="24"/>
          <w:szCs w:val="24"/>
        </w:rPr>
      </w:pPr>
      <w:r w:rsidRPr="002C446A">
        <w:rPr>
          <w:rFonts w:ascii="Times New Roman" w:eastAsia="Times New Roman" w:hAnsi="Times New Roman" w:cs="Times New Roman"/>
          <w:i/>
          <w:iCs/>
          <w:color w:val="000000" w:themeColor="text1"/>
          <w:sz w:val="24"/>
          <w:szCs w:val="24"/>
        </w:rPr>
        <w:t>Once the matter is found to be obscene, the question may arise as to whether the impugned matter falls within any of the exceptions contained in Section.</w:t>
      </w:r>
      <w:r w:rsidRPr="0E24B3BD">
        <w:rPr>
          <w:rFonts w:ascii="Times New Roman" w:eastAsia="Times New Roman" w:hAnsi="Times New Roman" w:cs="Times New Roman"/>
          <w:color w:val="000000" w:themeColor="text1"/>
          <w:sz w:val="24"/>
          <w:szCs w:val="24"/>
        </w:rPr>
        <w:t>”</w:t>
      </w:r>
      <w:r w:rsidR="7856224C" w:rsidRPr="0E24B3BD">
        <w:rPr>
          <w:rStyle w:val="FootnoteReference"/>
          <w:rFonts w:ascii="Times New Roman" w:eastAsia="Times New Roman" w:hAnsi="Times New Roman" w:cs="Times New Roman"/>
          <w:color w:val="000000" w:themeColor="text1"/>
          <w:sz w:val="24"/>
          <w:szCs w:val="24"/>
        </w:rPr>
        <w:footnoteReference w:id="18"/>
      </w:r>
    </w:p>
    <w:p w14:paraId="20321A09" w14:textId="53800628" w:rsidR="0E24B3BD" w:rsidRDefault="0E24B3BD" w:rsidP="0E24B3BD">
      <w:pPr>
        <w:tabs>
          <w:tab w:val="left" w:pos="6453"/>
        </w:tabs>
        <w:spacing w:after="0" w:line="360" w:lineRule="auto"/>
        <w:ind w:left="1440"/>
        <w:jc w:val="both"/>
        <w:rPr>
          <w:rFonts w:ascii="Times New Roman" w:eastAsia="Times New Roman" w:hAnsi="Times New Roman" w:cs="Times New Roman"/>
          <w:color w:val="000000" w:themeColor="text1"/>
          <w:sz w:val="26"/>
          <w:szCs w:val="26"/>
        </w:rPr>
      </w:pPr>
    </w:p>
    <w:p w14:paraId="54CE06EE" w14:textId="595FF26E" w:rsidR="009377A9" w:rsidRDefault="7856224C" w:rsidP="7856224C">
      <w:pPr>
        <w:spacing w:line="360" w:lineRule="auto"/>
        <w:jc w:val="both"/>
        <w:rPr>
          <w:rFonts w:ascii="Times New Roman" w:eastAsia="Calibri" w:hAnsi="Times New Roman" w:cs="Times New Roman"/>
          <w:sz w:val="24"/>
          <w:szCs w:val="24"/>
        </w:rPr>
      </w:pPr>
      <w:r w:rsidRPr="7856224C">
        <w:rPr>
          <w:rFonts w:ascii="Times New Roman" w:eastAsia="Calibri" w:hAnsi="Times New Roman" w:cs="Times New Roman"/>
          <w:sz w:val="24"/>
          <w:szCs w:val="24"/>
        </w:rPr>
        <w:t>While court decision ha</w:t>
      </w:r>
      <w:r w:rsidR="002C446A">
        <w:rPr>
          <w:rFonts w:ascii="Times New Roman" w:eastAsia="Calibri" w:hAnsi="Times New Roman" w:cs="Times New Roman"/>
          <w:sz w:val="24"/>
          <w:szCs w:val="24"/>
        </w:rPr>
        <w:t>s</w:t>
      </w:r>
      <w:r w:rsidRPr="7856224C">
        <w:rPr>
          <w:rFonts w:ascii="Times New Roman" w:eastAsia="Calibri" w:hAnsi="Times New Roman" w:cs="Times New Roman"/>
          <w:sz w:val="24"/>
          <w:szCs w:val="24"/>
        </w:rPr>
        <w:t xml:space="preserve"> helped us </w:t>
      </w:r>
      <w:r w:rsidR="002C446A">
        <w:rPr>
          <w:rFonts w:ascii="Times New Roman" w:eastAsia="Calibri" w:hAnsi="Times New Roman" w:cs="Times New Roman"/>
          <w:sz w:val="24"/>
          <w:szCs w:val="24"/>
        </w:rPr>
        <w:t xml:space="preserve">to </w:t>
      </w:r>
      <w:r w:rsidRPr="7856224C">
        <w:rPr>
          <w:rFonts w:ascii="Times New Roman" w:eastAsia="Calibri" w:hAnsi="Times New Roman" w:cs="Times New Roman"/>
          <w:sz w:val="24"/>
          <w:szCs w:val="24"/>
        </w:rPr>
        <w:t>understand what counts as obscenity, it's just as important to look at the actual laws that deal with it. The Bharatiya Nyaya Sanhita, 2023,</w:t>
      </w:r>
      <w:r w:rsidR="00B64DAA">
        <w:rPr>
          <w:rFonts w:ascii="Times New Roman" w:eastAsia="Calibri" w:hAnsi="Times New Roman" w:cs="Times New Roman"/>
          <w:sz w:val="24"/>
          <w:szCs w:val="24"/>
        </w:rPr>
        <w:t xml:space="preserve"> [BNS]</w:t>
      </w:r>
      <w:r w:rsidRPr="7856224C">
        <w:rPr>
          <w:rFonts w:ascii="Times New Roman" w:eastAsia="Calibri" w:hAnsi="Times New Roman" w:cs="Times New Roman"/>
          <w:sz w:val="24"/>
          <w:szCs w:val="24"/>
        </w:rPr>
        <w:t xml:space="preserve"> which replaced the Indian Penal Code,</w:t>
      </w:r>
      <w:r w:rsidR="00B64DAA">
        <w:rPr>
          <w:rFonts w:ascii="Times New Roman" w:eastAsia="Calibri" w:hAnsi="Times New Roman" w:cs="Times New Roman"/>
          <w:sz w:val="24"/>
          <w:szCs w:val="24"/>
        </w:rPr>
        <w:t xml:space="preserve"> </w:t>
      </w:r>
      <w:r w:rsidRPr="7856224C">
        <w:rPr>
          <w:rFonts w:ascii="Times New Roman" w:eastAsia="Calibri" w:hAnsi="Times New Roman" w:cs="Times New Roman"/>
          <w:sz w:val="24"/>
          <w:szCs w:val="24"/>
        </w:rPr>
        <w:t xml:space="preserve">1860 </w:t>
      </w:r>
      <w:r w:rsidR="00B64DAA">
        <w:rPr>
          <w:rFonts w:ascii="Times New Roman" w:eastAsia="Calibri" w:hAnsi="Times New Roman" w:cs="Times New Roman"/>
          <w:sz w:val="24"/>
          <w:szCs w:val="24"/>
        </w:rPr>
        <w:t xml:space="preserve">[IPC] </w:t>
      </w:r>
      <w:r w:rsidRPr="7856224C">
        <w:rPr>
          <w:rFonts w:ascii="Times New Roman" w:eastAsia="Calibri" w:hAnsi="Times New Roman" w:cs="Times New Roman"/>
          <w:sz w:val="24"/>
          <w:szCs w:val="24"/>
        </w:rPr>
        <w:t>still includes rules against spreading or showing obscene content. Section 294</w:t>
      </w:r>
      <w:r w:rsidR="009377A9" w:rsidRPr="7856224C">
        <w:rPr>
          <w:rStyle w:val="FootnoteReference"/>
          <w:rFonts w:ascii="Times New Roman" w:eastAsia="Calibri" w:hAnsi="Times New Roman" w:cs="Times New Roman"/>
          <w:sz w:val="24"/>
          <w:szCs w:val="24"/>
        </w:rPr>
        <w:footnoteReference w:id="19"/>
      </w:r>
      <w:r w:rsidRPr="7856224C">
        <w:rPr>
          <w:rFonts w:ascii="Times New Roman" w:eastAsia="Calibri" w:hAnsi="Times New Roman" w:cs="Times New Roman"/>
          <w:sz w:val="24"/>
          <w:szCs w:val="24"/>
        </w:rPr>
        <w:t xml:space="preserve"> makes it a crime to sell, share, or publicly display anything that is sexually inciteful or likely to corrupt a person’s mind. But the law also makes space for creativity i.e. if the content has artistic, literary, scientific, or religious value, it will not be punishable under such offense</w:t>
      </w:r>
      <w:r w:rsidR="009377A9" w:rsidRPr="7856224C">
        <w:rPr>
          <w:rStyle w:val="FootnoteReference"/>
          <w:rFonts w:ascii="Times New Roman" w:eastAsia="Calibri" w:hAnsi="Times New Roman" w:cs="Times New Roman"/>
          <w:sz w:val="24"/>
          <w:szCs w:val="24"/>
        </w:rPr>
        <w:footnoteReference w:id="20"/>
      </w:r>
      <w:r w:rsidRPr="7856224C">
        <w:rPr>
          <w:rFonts w:ascii="Times New Roman" w:eastAsia="Calibri" w:hAnsi="Times New Roman" w:cs="Times New Roman"/>
          <w:sz w:val="24"/>
          <w:szCs w:val="24"/>
        </w:rPr>
        <w:t>. This shows an effort to balance personal freedom with public morals.</w:t>
      </w:r>
    </w:p>
    <w:p w14:paraId="7AE197F7" w14:textId="63AA7BC8" w:rsidR="009377A9" w:rsidRDefault="7856224C" w:rsidP="7856224C">
      <w:pPr>
        <w:spacing w:line="360" w:lineRule="auto"/>
        <w:jc w:val="both"/>
        <w:rPr>
          <w:rFonts w:ascii="Times New Roman" w:eastAsia="Calibri" w:hAnsi="Times New Roman" w:cs="Times New Roman"/>
          <w:sz w:val="24"/>
          <w:szCs w:val="24"/>
        </w:rPr>
      </w:pPr>
      <w:r w:rsidRPr="7856224C">
        <w:rPr>
          <w:rFonts w:ascii="Times New Roman" w:eastAsia="Calibri" w:hAnsi="Times New Roman" w:cs="Times New Roman"/>
          <w:sz w:val="24"/>
          <w:szCs w:val="24"/>
        </w:rPr>
        <w:t xml:space="preserve">The Indecent Representation of Women (Prohibition) Act, 1986, </w:t>
      </w:r>
      <w:r w:rsidR="00B64DAA">
        <w:rPr>
          <w:rFonts w:ascii="Times New Roman" w:eastAsia="Calibri" w:hAnsi="Times New Roman" w:cs="Times New Roman"/>
          <w:sz w:val="24"/>
          <w:szCs w:val="24"/>
        </w:rPr>
        <w:t xml:space="preserve">[IRWP] </w:t>
      </w:r>
      <w:r w:rsidRPr="7856224C">
        <w:rPr>
          <w:rFonts w:ascii="Times New Roman" w:eastAsia="Calibri" w:hAnsi="Times New Roman" w:cs="Times New Roman"/>
          <w:sz w:val="24"/>
          <w:szCs w:val="24"/>
        </w:rPr>
        <w:t>which makes it a punishable offense to disrespectfully or offensively portray women in media such as in advertisement, magazines, films, or paintings.</w:t>
      </w:r>
      <w:r w:rsidR="009377A9" w:rsidRPr="541CDDC2">
        <w:rPr>
          <w:rStyle w:val="FootnoteReference"/>
          <w:rFonts w:ascii="Times New Roman" w:eastAsia="Calibri" w:hAnsi="Times New Roman" w:cs="Times New Roman"/>
          <w:sz w:val="24"/>
          <w:szCs w:val="24"/>
        </w:rPr>
        <w:footnoteReference w:id="21"/>
      </w:r>
      <w:r w:rsidRPr="7856224C">
        <w:rPr>
          <w:rFonts w:ascii="Times New Roman" w:eastAsia="Calibri" w:hAnsi="Times New Roman" w:cs="Times New Roman"/>
          <w:sz w:val="24"/>
          <w:szCs w:val="24"/>
        </w:rPr>
        <w:t xml:space="preserve"> Though this law was made before the digital age, it's still very relevant today as OTT platforms often experiment with bold and modern storytelling. As more content pushes boundaries, it's becoming harder to draw the line between meaningful creative expression and what might be considered inappropriate.</w:t>
      </w:r>
    </w:p>
    <w:p w14:paraId="4E0F3832" w14:textId="1F669860" w:rsidR="00F76F63" w:rsidRPr="005C4F31" w:rsidRDefault="003F602C" w:rsidP="00A81B1E">
      <w:pPr>
        <w:spacing w:line="360" w:lineRule="auto"/>
        <w:jc w:val="both"/>
        <w:rPr>
          <w:rFonts w:ascii="Times New Roman" w:hAnsi="Times New Roman" w:cs="Times New Roman"/>
          <w:sz w:val="24"/>
          <w:szCs w:val="24"/>
        </w:rPr>
      </w:pPr>
      <w:r>
        <w:rPr>
          <w:rFonts w:ascii="Times New Roman" w:hAnsi="Times New Roman" w:cs="Times New Roman"/>
          <w:sz w:val="24"/>
          <w:szCs w:val="24"/>
        </w:rPr>
        <w:t>In sum, the concept of obscenity in India remains rather fluid, sh</w:t>
      </w:r>
      <w:r w:rsidR="007546D6">
        <w:rPr>
          <w:rFonts w:ascii="Times New Roman" w:hAnsi="Times New Roman" w:cs="Times New Roman"/>
          <w:sz w:val="24"/>
          <w:szCs w:val="24"/>
        </w:rPr>
        <w:t>a</w:t>
      </w:r>
      <w:r>
        <w:rPr>
          <w:rFonts w:ascii="Times New Roman" w:hAnsi="Times New Roman" w:cs="Times New Roman"/>
          <w:sz w:val="24"/>
          <w:szCs w:val="24"/>
        </w:rPr>
        <w:t xml:space="preserve">ped by </w:t>
      </w:r>
      <w:r w:rsidR="00187365">
        <w:rPr>
          <w:rFonts w:ascii="Times New Roman" w:hAnsi="Times New Roman" w:cs="Times New Roman"/>
          <w:sz w:val="24"/>
          <w:szCs w:val="24"/>
        </w:rPr>
        <w:t xml:space="preserve">judicially evolving standards alongside the existing </w:t>
      </w:r>
      <w:r w:rsidR="009F6F03">
        <w:rPr>
          <w:rFonts w:ascii="Times New Roman" w:hAnsi="Times New Roman" w:cs="Times New Roman"/>
          <w:sz w:val="24"/>
          <w:szCs w:val="24"/>
        </w:rPr>
        <w:t>statutory legal framework of the country.</w:t>
      </w:r>
      <w:r w:rsidR="00742151">
        <w:rPr>
          <w:rFonts w:ascii="Times New Roman" w:hAnsi="Times New Roman" w:cs="Times New Roman"/>
          <w:sz w:val="24"/>
          <w:szCs w:val="24"/>
        </w:rPr>
        <w:t xml:space="preserve"> </w:t>
      </w:r>
      <w:r w:rsidR="00DC57EB" w:rsidRPr="4629AB00">
        <w:rPr>
          <w:rFonts w:ascii="Times New Roman" w:hAnsi="Times New Roman" w:cs="Times New Roman"/>
          <w:sz w:val="24"/>
          <w:szCs w:val="24"/>
        </w:rPr>
        <w:t>While these laws aim to protect public morality, their application in digital media is complex, demanding a closer look at OTT-specific legal and regulatory frameworks where traditional ideas of obscenity are often contested.</w:t>
      </w:r>
    </w:p>
    <w:p w14:paraId="3A29E9C2" w14:textId="56377C19" w:rsidR="00A3752E" w:rsidRDefault="007D340A" w:rsidP="6E37593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LEGAL AND REGULATORY FRAMEWORK FOR OTT</w:t>
      </w:r>
    </w:p>
    <w:p w14:paraId="399FA330" w14:textId="2205AB83" w:rsidR="00566798" w:rsidRDefault="006C7AC4" w:rsidP="524D7D9A">
      <w:pPr>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Pr="006C7AC4">
        <w:rPr>
          <w:rFonts w:ascii="Times New Roman" w:hAnsi="Times New Roman" w:cs="Times New Roman"/>
          <w:sz w:val="24"/>
          <w:szCs w:val="24"/>
        </w:rPr>
        <w:t xml:space="preserve">n India, statutory content regulation rules exist for all types of parallel visual media prevalent in India, including </w:t>
      </w:r>
      <w:r w:rsidR="00976B06">
        <w:rPr>
          <w:rFonts w:ascii="Times New Roman" w:hAnsi="Times New Roman" w:cs="Times New Roman"/>
          <w:sz w:val="24"/>
          <w:szCs w:val="24"/>
        </w:rPr>
        <w:t>C</w:t>
      </w:r>
      <w:r w:rsidRPr="006C7AC4">
        <w:rPr>
          <w:rFonts w:ascii="Times New Roman" w:hAnsi="Times New Roman" w:cs="Times New Roman"/>
          <w:sz w:val="24"/>
          <w:szCs w:val="24"/>
        </w:rPr>
        <w:t>inema</w:t>
      </w:r>
      <w:r w:rsidR="00976B06">
        <w:rPr>
          <w:rStyle w:val="FootnoteReference"/>
          <w:rFonts w:ascii="Times New Roman" w:hAnsi="Times New Roman" w:cs="Times New Roman"/>
          <w:sz w:val="24"/>
          <w:szCs w:val="24"/>
        </w:rPr>
        <w:footnoteReference w:id="22"/>
      </w:r>
      <w:r w:rsidRPr="006C7AC4">
        <w:rPr>
          <w:rFonts w:ascii="Times New Roman" w:hAnsi="Times New Roman" w:cs="Times New Roman"/>
          <w:sz w:val="24"/>
          <w:szCs w:val="24"/>
        </w:rPr>
        <w:t xml:space="preserve"> and </w:t>
      </w:r>
      <w:r w:rsidR="00976B06">
        <w:rPr>
          <w:rFonts w:ascii="Times New Roman" w:hAnsi="Times New Roman" w:cs="Times New Roman"/>
          <w:sz w:val="24"/>
          <w:szCs w:val="24"/>
        </w:rPr>
        <w:t>Te</w:t>
      </w:r>
      <w:r w:rsidRPr="006C7AC4">
        <w:rPr>
          <w:rFonts w:ascii="Times New Roman" w:hAnsi="Times New Roman" w:cs="Times New Roman"/>
          <w:sz w:val="24"/>
          <w:szCs w:val="24"/>
        </w:rPr>
        <w:t>levision</w:t>
      </w:r>
      <w:r w:rsidR="001F69F9">
        <w:rPr>
          <w:rStyle w:val="FootnoteReference"/>
          <w:rFonts w:ascii="Times New Roman" w:hAnsi="Times New Roman" w:cs="Times New Roman"/>
          <w:sz w:val="24"/>
          <w:szCs w:val="24"/>
        </w:rPr>
        <w:footnoteReference w:id="23"/>
      </w:r>
      <w:r w:rsidRPr="006C7AC4">
        <w:rPr>
          <w:rFonts w:ascii="Times New Roman" w:hAnsi="Times New Roman" w:cs="Times New Roman"/>
          <w:sz w:val="24"/>
          <w:szCs w:val="24"/>
        </w:rPr>
        <w:t>. Hence OTT being a rapidly emerging sector should also not be an exception</w:t>
      </w:r>
      <w:r w:rsidR="009736AB">
        <w:rPr>
          <w:rStyle w:val="FootnoteReference"/>
          <w:rFonts w:ascii="Times New Roman" w:hAnsi="Times New Roman" w:cs="Times New Roman"/>
          <w:sz w:val="24"/>
          <w:szCs w:val="24"/>
        </w:rPr>
        <w:footnoteReference w:id="24"/>
      </w:r>
      <w:r w:rsidR="00340E55">
        <w:rPr>
          <w:rFonts w:ascii="Times New Roman" w:hAnsi="Times New Roman" w:cs="Times New Roman"/>
          <w:sz w:val="24"/>
          <w:szCs w:val="24"/>
        </w:rPr>
        <w:t xml:space="preserve"> and since</w:t>
      </w:r>
      <w:r w:rsidR="00D6795F">
        <w:rPr>
          <w:rFonts w:ascii="Times New Roman" w:hAnsi="Times New Roman" w:cs="Times New Roman"/>
          <w:sz w:val="24"/>
          <w:szCs w:val="24"/>
        </w:rPr>
        <w:t xml:space="preserve"> India witnessed this rapid growth in the OTT sector, </w:t>
      </w:r>
      <w:r w:rsidR="00B07428">
        <w:rPr>
          <w:rFonts w:ascii="Times New Roman" w:hAnsi="Times New Roman" w:cs="Times New Roman"/>
          <w:sz w:val="24"/>
          <w:szCs w:val="24"/>
        </w:rPr>
        <w:t xml:space="preserve">challenges pertaining to accountability and ethical standards started arising. This led to </w:t>
      </w:r>
      <w:r w:rsidR="00F55430">
        <w:rPr>
          <w:rFonts w:ascii="Times New Roman" w:hAnsi="Times New Roman" w:cs="Times New Roman"/>
          <w:sz w:val="24"/>
          <w:szCs w:val="24"/>
        </w:rPr>
        <w:t xml:space="preserve">the government addressing these concerns by introducing regulations. </w:t>
      </w:r>
    </w:p>
    <w:p w14:paraId="6B28A8DC" w14:textId="0D13FD8E" w:rsidR="7856224C" w:rsidRDefault="7856224C" w:rsidP="7856224C">
      <w:pPr>
        <w:spacing w:line="360" w:lineRule="auto"/>
        <w:jc w:val="both"/>
        <w:rPr>
          <w:rFonts w:ascii="Times New Roman" w:hAnsi="Times New Roman" w:cs="Times New Roman"/>
          <w:sz w:val="24"/>
          <w:szCs w:val="24"/>
        </w:rPr>
      </w:pPr>
      <w:r w:rsidRPr="7856224C">
        <w:rPr>
          <w:rFonts w:ascii="Times New Roman" w:hAnsi="Times New Roman" w:cs="Times New Roman"/>
          <w:sz w:val="24"/>
          <w:szCs w:val="24"/>
        </w:rPr>
        <w:t xml:space="preserve">Section 3 of the Cinematography Act, 1952 states </w:t>
      </w:r>
    </w:p>
    <w:p w14:paraId="15B7FCFD" w14:textId="4C9F1439" w:rsidR="7856224C" w:rsidRDefault="7856224C" w:rsidP="7856224C">
      <w:pPr>
        <w:spacing w:line="360" w:lineRule="auto"/>
        <w:ind w:left="720"/>
        <w:jc w:val="both"/>
        <w:rPr>
          <w:rFonts w:ascii="Times New Roman" w:hAnsi="Times New Roman" w:cs="Times New Roman"/>
          <w:sz w:val="24"/>
          <w:szCs w:val="24"/>
        </w:rPr>
      </w:pPr>
      <w:r w:rsidRPr="7856224C">
        <w:rPr>
          <w:rFonts w:ascii="Times New Roman" w:hAnsi="Times New Roman" w:cs="Times New Roman"/>
          <w:sz w:val="24"/>
          <w:szCs w:val="24"/>
        </w:rPr>
        <w:t>“</w:t>
      </w:r>
      <w:r w:rsidRPr="7856224C">
        <w:rPr>
          <w:rFonts w:ascii="Times New Roman" w:eastAsia="Times New Roman" w:hAnsi="Times New Roman" w:cs="Times New Roman"/>
          <w:sz w:val="24"/>
          <w:szCs w:val="24"/>
        </w:rPr>
        <w:t xml:space="preserve">[3. Board of film Certification.—(1) For the purpose of </w:t>
      </w:r>
      <w:r w:rsidRPr="7856224C">
        <w:rPr>
          <w:rFonts w:ascii="Times New Roman" w:eastAsia="Times New Roman" w:hAnsi="Times New Roman" w:cs="Times New Roman"/>
          <w:b/>
          <w:bCs/>
          <w:sz w:val="24"/>
          <w:szCs w:val="24"/>
        </w:rPr>
        <w:t>sanctioning films for public exhibition</w:t>
      </w:r>
      <w:r w:rsidRPr="7856224C">
        <w:rPr>
          <w:rFonts w:ascii="Times New Roman" w:eastAsia="Times New Roman" w:hAnsi="Times New Roman" w:cs="Times New Roman"/>
          <w:sz w:val="24"/>
          <w:szCs w:val="24"/>
        </w:rPr>
        <w:t>, the Central Government may, by notification in the Official Gazette, constitute a Board to be called the [Board of Film Certification] which shall consist of a Chairman and [not less than twelve and not more than twenty-five] other members appointed by the Central Government.”</w:t>
      </w:r>
    </w:p>
    <w:p w14:paraId="03845747" w14:textId="76ECE693" w:rsidR="7856224C" w:rsidRDefault="0E24B3BD" w:rsidP="7856224C">
      <w:pPr>
        <w:spacing w:line="360" w:lineRule="auto"/>
        <w:jc w:val="both"/>
        <w:rPr>
          <w:rFonts w:ascii="Times New Roman" w:hAnsi="Times New Roman" w:cs="Times New Roman"/>
          <w:sz w:val="24"/>
          <w:szCs w:val="24"/>
        </w:rPr>
      </w:pPr>
      <w:r w:rsidRPr="0E24B3BD">
        <w:rPr>
          <w:rFonts w:ascii="Times New Roman" w:hAnsi="Times New Roman" w:cs="Times New Roman"/>
          <w:sz w:val="24"/>
          <w:szCs w:val="24"/>
        </w:rPr>
        <w:t>The term “Public Exhibition” can be understood as “</w:t>
      </w:r>
      <w:r w:rsidRPr="0E24B3BD">
        <w:rPr>
          <w:rFonts w:ascii="Times New Roman" w:hAnsi="Times New Roman" w:cs="Times New Roman"/>
          <w:i/>
          <w:iCs/>
          <w:sz w:val="24"/>
          <w:szCs w:val="24"/>
        </w:rPr>
        <w:t>any exhibition, performance or display which the public may see, view or attend for an admission price, fee or other valuable consideration”</w:t>
      </w:r>
      <w:r w:rsidR="7856224C" w:rsidRPr="0E24B3BD">
        <w:rPr>
          <w:rStyle w:val="FootnoteReference"/>
          <w:rFonts w:ascii="Times New Roman" w:hAnsi="Times New Roman" w:cs="Times New Roman"/>
          <w:i/>
          <w:iCs/>
          <w:sz w:val="24"/>
          <w:szCs w:val="24"/>
        </w:rPr>
        <w:footnoteReference w:id="25"/>
      </w:r>
      <w:r w:rsidRPr="0E24B3BD">
        <w:rPr>
          <w:rFonts w:ascii="Times New Roman" w:hAnsi="Times New Roman" w:cs="Times New Roman"/>
          <w:i/>
          <w:iCs/>
          <w:sz w:val="24"/>
          <w:szCs w:val="24"/>
        </w:rPr>
        <w:t>.</w:t>
      </w:r>
      <w:r w:rsidRPr="0E24B3BD">
        <w:rPr>
          <w:rFonts w:ascii="Times New Roman" w:hAnsi="Times New Roman" w:cs="Times New Roman"/>
          <w:sz w:val="24"/>
          <w:szCs w:val="24"/>
        </w:rPr>
        <w:t xml:space="preserve"> The said definitions clearly refer to theatres, concerts and cinema halls. Since the cinematographs, short films and other medium of expressions on OTT Platforms are not intended to be displayed on any Public Exhibition, Therefore, they enjoy an escape route from the domain of Cinematography Act, 1952 necessitating need for OTT specific regulatory framework even more.</w:t>
      </w:r>
    </w:p>
    <w:p w14:paraId="6946FD99" w14:textId="1A836198" w:rsidR="0E24B3BD" w:rsidRDefault="0E24B3BD" w:rsidP="0E24B3BD">
      <w:pPr>
        <w:spacing w:line="360" w:lineRule="auto"/>
        <w:jc w:val="both"/>
        <w:rPr>
          <w:rFonts w:ascii="Times New Roman" w:eastAsia="Times New Roman" w:hAnsi="Times New Roman" w:cs="Times New Roman"/>
          <w:sz w:val="24"/>
          <w:szCs w:val="24"/>
        </w:rPr>
      </w:pPr>
      <w:r w:rsidRPr="0E24B3BD">
        <w:rPr>
          <w:rFonts w:ascii="Times New Roman" w:eastAsia="Times New Roman" w:hAnsi="Times New Roman" w:cs="Times New Roman"/>
          <w:sz w:val="24"/>
          <w:szCs w:val="24"/>
        </w:rPr>
        <w:t xml:space="preserve">The </w:t>
      </w:r>
      <w:r w:rsidRPr="0E24B3BD">
        <w:rPr>
          <w:rFonts w:ascii="Times New Roman" w:eastAsia="Times New Roman" w:hAnsi="Times New Roman" w:cs="Times New Roman"/>
          <w:b/>
          <w:bCs/>
          <w:sz w:val="24"/>
          <w:szCs w:val="24"/>
        </w:rPr>
        <w:t>Information Technology Act, 2000</w:t>
      </w:r>
      <w:r w:rsidRPr="0E24B3BD">
        <w:rPr>
          <w:rFonts w:ascii="Times New Roman" w:eastAsia="Times New Roman" w:hAnsi="Times New Roman" w:cs="Times New Roman"/>
          <w:sz w:val="24"/>
          <w:szCs w:val="24"/>
        </w:rPr>
        <w:t xml:space="preserve"> </w:t>
      </w:r>
      <w:r w:rsidR="009E2454">
        <w:rPr>
          <w:rFonts w:ascii="Times New Roman" w:eastAsia="Times New Roman" w:hAnsi="Times New Roman" w:cs="Times New Roman"/>
          <w:sz w:val="24"/>
          <w:szCs w:val="24"/>
        </w:rPr>
        <w:t>is the foundational legislation</w:t>
      </w:r>
      <w:r w:rsidRPr="0E24B3BD">
        <w:rPr>
          <w:rFonts w:ascii="Times New Roman" w:eastAsia="Times New Roman" w:hAnsi="Times New Roman" w:cs="Times New Roman"/>
          <w:sz w:val="24"/>
          <w:szCs w:val="24"/>
        </w:rPr>
        <w:t xml:space="preserve"> for India’s digital ecosystem, covering electronic records, digital signatures, cybercrimes, and data protection. However, it lacked specific provisions for regulating digital content and OTT platforms, which became increasingly relevant with the growth of online media. To address these regulatory gaps, the Government of India introduced the Information Technology (Intermediary Guidelines and Digital Media Ethics Code) Rules, 2021.</w:t>
      </w:r>
      <w:r w:rsidR="00B64DAA">
        <w:rPr>
          <w:rFonts w:ascii="Times New Roman" w:eastAsia="Times New Roman" w:hAnsi="Times New Roman" w:cs="Times New Roman"/>
          <w:sz w:val="24"/>
          <w:szCs w:val="24"/>
        </w:rPr>
        <w:t xml:space="preserve"> [IT RULES 2021]</w:t>
      </w:r>
      <w:r w:rsidRPr="0E24B3BD">
        <w:rPr>
          <w:rFonts w:ascii="Times New Roman" w:eastAsia="Times New Roman" w:hAnsi="Times New Roman" w:cs="Times New Roman"/>
          <w:sz w:val="24"/>
          <w:szCs w:val="24"/>
        </w:rPr>
        <w:t xml:space="preserve"> These Rules, notified on 25th February 2021, replaced the earlier IT Rules, 2011, and significantly broadened the scope of intermediary regulation. The Rules laid down clear responsibilities for intermediaries particularly concerning content hosting, takedown, grievance redressal, and due diligence which are as follows: -</w:t>
      </w:r>
    </w:p>
    <w:p w14:paraId="0378B79A" w14:textId="1873DBC2" w:rsidR="2EF3A34B" w:rsidRDefault="0CA6D3EE" w:rsidP="0CA6D3EE">
      <w:pPr>
        <w:pStyle w:val="ListParagraph"/>
        <w:spacing w:line="360" w:lineRule="auto"/>
        <w:ind w:left="0"/>
        <w:jc w:val="both"/>
        <w:rPr>
          <w:rFonts w:ascii="Times New Roman" w:eastAsia="Calibri" w:hAnsi="Times New Roman" w:cs="Times New Roman"/>
          <w:b/>
          <w:bCs/>
          <w:sz w:val="24"/>
          <w:szCs w:val="24"/>
        </w:rPr>
      </w:pPr>
      <w:r w:rsidRPr="0CA6D3EE">
        <w:rPr>
          <w:rFonts w:ascii="Times New Roman" w:eastAsia="Calibri" w:hAnsi="Times New Roman" w:cs="Times New Roman"/>
          <w:b/>
          <w:bCs/>
          <w:sz w:val="24"/>
          <w:szCs w:val="24"/>
        </w:rPr>
        <w:t>INTERMEDIARY OBLIGATIONS UNDER IT RULES, 2021</w:t>
      </w:r>
    </w:p>
    <w:p w14:paraId="31B713D0" w14:textId="2E2E3721" w:rsidR="2EF3A34B" w:rsidRDefault="2EF3A34B" w:rsidP="0CA6D3EE">
      <w:pPr>
        <w:pStyle w:val="ListParagraph"/>
        <w:spacing w:line="360" w:lineRule="auto"/>
        <w:ind w:left="0"/>
        <w:jc w:val="both"/>
        <w:rPr>
          <w:rFonts w:ascii="Times New Roman" w:eastAsia="Calibri" w:hAnsi="Times New Roman" w:cs="Times New Roman"/>
          <w:b/>
          <w:bCs/>
          <w:sz w:val="24"/>
          <w:szCs w:val="24"/>
        </w:rPr>
      </w:pPr>
    </w:p>
    <w:p w14:paraId="1528B967" w14:textId="63F5737C" w:rsidR="2EF3A34B" w:rsidRDefault="74777353" w:rsidP="0CA6D3EE">
      <w:pPr>
        <w:pStyle w:val="ListParagraph"/>
        <w:numPr>
          <w:ilvl w:val="0"/>
          <w:numId w:val="13"/>
        </w:numPr>
        <w:spacing w:line="360" w:lineRule="auto"/>
        <w:ind w:hanging="720"/>
        <w:jc w:val="both"/>
        <w:rPr>
          <w:rFonts w:ascii="Times New Roman" w:eastAsia="Calibri" w:hAnsi="Times New Roman" w:cs="Times New Roman"/>
          <w:b/>
          <w:bCs/>
          <w:sz w:val="24"/>
          <w:szCs w:val="24"/>
        </w:rPr>
      </w:pPr>
      <w:r w:rsidRPr="74777353">
        <w:rPr>
          <w:rFonts w:ascii="Times New Roman" w:eastAsia="Calibri" w:hAnsi="Times New Roman" w:cs="Times New Roman"/>
          <w:b/>
          <w:bCs/>
          <w:sz w:val="24"/>
          <w:szCs w:val="24"/>
        </w:rPr>
        <w:t>Due Diligence: -</w:t>
      </w:r>
      <w:r w:rsidR="0CA6D3EE" w:rsidRPr="74777353">
        <w:rPr>
          <w:rFonts w:ascii="Times New Roman" w:eastAsia="Calibri" w:hAnsi="Times New Roman" w:cs="Times New Roman"/>
          <w:b/>
          <w:sz w:val="24"/>
          <w:szCs w:val="24"/>
        </w:rPr>
        <w:t xml:space="preserve"> </w:t>
      </w:r>
      <w:r w:rsidR="0CA6D3EE" w:rsidRPr="0CA6D3EE">
        <w:rPr>
          <w:rFonts w:ascii="Times New Roman" w:eastAsia="Calibri" w:hAnsi="Times New Roman" w:cs="Times New Roman"/>
          <w:sz w:val="24"/>
          <w:szCs w:val="24"/>
        </w:rPr>
        <w:t xml:space="preserve">Rule 3(1)(a) mandates intermediaries to publish their privacy policy, rules, and user agreement in English or any language </w:t>
      </w:r>
      <w:r w:rsidR="009E2454">
        <w:rPr>
          <w:rFonts w:ascii="Times New Roman" w:eastAsia="Calibri" w:hAnsi="Times New Roman" w:cs="Times New Roman"/>
          <w:sz w:val="24"/>
          <w:szCs w:val="24"/>
        </w:rPr>
        <w:t>prescribed under</w:t>
      </w:r>
      <w:r w:rsidR="0CA6D3EE" w:rsidRPr="0CA6D3EE">
        <w:rPr>
          <w:rFonts w:ascii="Times New Roman" w:eastAsia="Calibri" w:hAnsi="Times New Roman" w:cs="Times New Roman"/>
          <w:sz w:val="24"/>
          <w:szCs w:val="24"/>
        </w:rPr>
        <w:t xml:space="preserve"> Eighth Schedule</w:t>
      </w:r>
      <w:r w:rsidR="009E2454">
        <w:rPr>
          <w:rFonts w:ascii="Times New Roman" w:eastAsia="Calibri" w:hAnsi="Times New Roman" w:cs="Times New Roman"/>
          <w:sz w:val="24"/>
          <w:szCs w:val="24"/>
        </w:rPr>
        <w:t xml:space="preserve"> of Indian Constitution</w:t>
      </w:r>
      <w:r w:rsidR="0CA6D3EE" w:rsidRPr="0CA6D3EE">
        <w:rPr>
          <w:rFonts w:ascii="Times New Roman" w:eastAsia="Calibri" w:hAnsi="Times New Roman" w:cs="Times New Roman"/>
          <w:sz w:val="24"/>
          <w:szCs w:val="24"/>
        </w:rPr>
        <w:t>, ensuring user accessibility and compliance.</w:t>
      </w:r>
    </w:p>
    <w:p w14:paraId="7592B369" w14:textId="2F9ED6EA" w:rsidR="2EF3A34B" w:rsidRDefault="2EF3A34B" w:rsidP="0CA6D3EE">
      <w:pPr>
        <w:pStyle w:val="ListParagraph"/>
        <w:spacing w:line="360" w:lineRule="auto"/>
        <w:ind w:hanging="720"/>
        <w:jc w:val="both"/>
        <w:rPr>
          <w:rFonts w:ascii="Times New Roman" w:eastAsia="Calibri" w:hAnsi="Times New Roman" w:cs="Times New Roman"/>
          <w:b/>
          <w:bCs/>
          <w:sz w:val="24"/>
          <w:szCs w:val="24"/>
        </w:rPr>
      </w:pPr>
    </w:p>
    <w:p w14:paraId="40D93992" w14:textId="349940F0" w:rsidR="2EF3A34B" w:rsidRDefault="0CA6D3EE" w:rsidP="0CA6D3EE">
      <w:pPr>
        <w:pStyle w:val="ListParagraph"/>
        <w:numPr>
          <w:ilvl w:val="0"/>
          <w:numId w:val="13"/>
        </w:numPr>
        <w:spacing w:line="360" w:lineRule="auto"/>
        <w:ind w:hanging="720"/>
        <w:jc w:val="both"/>
        <w:rPr>
          <w:rFonts w:ascii="Times New Roman" w:eastAsia="Calibri" w:hAnsi="Times New Roman" w:cs="Times New Roman"/>
          <w:b/>
          <w:bCs/>
          <w:sz w:val="24"/>
          <w:szCs w:val="24"/>
        </w:rPr>
      </w:pPr>
      <w:r w:rsidRPr="0CA6D3EE">
        <w:rPr>
          <w:rFonts w:ascii="Times New Roman" w:eastAsia="Calibri" w:hAnsi="Times New Roman" w:cs="Times New Roman"/>
          <w:b/>
          <w:bCs/>
          <w:sz w:val="24"/>
          <w:szCs w:val="24"/>
        </w:rPr>
        <w:t xml:space="preserve">Restriction on Obscene/Unlawful Content: - </w:t>
      </w:r>
      <w:r w:rsidRPr="0CA6D3EE">
        <w:rPr>
          <w:rFonts w:ascii="Times New Roman" w:eastAsia="Calibri" w:hAnsi="Times New Roman" w:cs="Times New Roman"/>
          <w:sz w:val="24"/>
          <w:szCs w:val="24"/>
        </w:rPr>
        <w:t>Rule 3(1)(b</w:t>
      </w:r>
      <w:r w:rsidR="00BBAE1B" w:rsidRPr="00BBAE1B">
        <w:rPr>
          <w:rFonts w:ascii="Times New Roman" w:eastAsia="Calibri" w:hAnsi="Times New Roman" w:cs="Times New Roman"/>
          <w:sz w:val="24"/>
          <w:szCs w:val="24"/>
        </w:rPr>
        <w:t>)(ii</w:t>
      </w:r>
      <w:r w:rsidRPr="0CA6D3EE">
        <w:rPr>
          <w:rFonts w:ascii="Times New Roman" w:eastAsia="Calibri" w:hAnsi="Times New Roman" w:cs="Times New Roman"/>
          <w:sz w:val="24"/>
          <w:szCs w:val="24"/>
        </w:rPr>
        <w:t>) prohibits hosting or transmitting content that is obscene or violates any law, including Section 294 of the BNS. Platforms must ensure that such content is not made available and take preventive measures through user guidelines.</w:t>
      </w:r>
    </w:p>
    <w:p w14:paraId="411765D6" w14:textId="6DDB517B" w:rsidR="2EF3A34B" w:rsidRDefault="2EF3A34B" w:rsidP="0CA6D3EE">
      <w:pPr>
        <w:pStyle w:val="ListParagraph"/>
        <w:spacing w:line="360" w:lineRule="auto"/>
        <w:ind w:hanging="720"/>
        <w:jc w:val="both"/>
        <w:rPr>
          <w:rFonts w:ascii="Times New Roman" w:eastAsia="Calibri" w:hAnsi="Times New Roman" w:cs="Times New Roman"/>
          <w:b/>
          <w:bCs/>
          <w:sz w:val="24"/>
          <w:szCs w:val="24"/>
        </w:rPr>
      </w:pPr>
    </w:p>
    <w:p w14:paraId="08F7953E" w14:textId="6B6FDFB2" w:rsidR="2EF3A34B" w:rsidRDefault="0CA6D3EE" w:rsidP="0CA6D3EE">
      <w:pPr>
        <w:pStyle w:val="ListParagraph"/>
        <w:numPr>
          <w:ilvl w:val="0"/>
          <w:numId w:val="13"/>
        </w:numPr>
        <w:spacing w:line="360" w:lineRule="auto"/>
        <w:ind w:hanging="720"/>
        <w:jc w:val="both"/>
        <w:rPr>
          <w:rFonts w:ascii="Times New Roman" w:eastAsia="Calibri" w:hAnsi="Times New Roman" w:cs="Times New Roman"/>
          <w:b/>
          <w:bCs/>
          <w:sz w:val="24"/>
          <w:szCs w:val="24"/>
        </w:rPr>
      </w:pPr>
      <w:r w:rsidRPr="0CA6D3EE">
        <w:rPr>
          <w:rFonts w:ascii="Times New Roman" w:eastAsia="Calibri" w:hAnsi="Times New Roman" w:cs="Times New Roman"/>
          <w:b/>
          <w:bCs/>
          <w:sz w:val="24"/>
          <w:szCs w:val="24"/>
        </w:rPr>
        <w:t xml:space="preserve">User Awareness and Content Takedown: - </w:t>
      </w:r>
      <w:r w:rsidRPr="0CA6D3EE">
        <w:rPr>
          <w:rFonts w:ascii="Times New Roman" w:eastAsia="Calibri" w:hAnsi="Times New Roman" w:cs="Times New Roman"/>
          <w:sz w:val="24"/>
          <w:szCs w:val="24"/>
        </w:rPr>
        <w:t>Rule 3(1)(c) requires intermediaries to inform users at least once a year about rules and consequences of non-compliance. Rule 3(1)(d) directs platforms to remove unlawful content affecting public order, decency, or morality within 36 hours of receiving government or court notice.</w:t>
      </w:r>
    </w:p>
    <w:p w14:paraId="567D305E" w14:textId="2D586E37" w:rsidR="2EF3A34B" w:rsidRDefault="2EF3A34B" w:rsidP="0CA6D3EE">
      <w:pPr>
        <w:pStyle w:val="ListParagraph"/>
        <w:spacing w:line="360" w:lineRule="auto"/>
        <w:ind w:hanging="720"/>
        <w:jc w:val="both"/>
        <w:rPr>
          <w:rFonts w:ascii="Times New Roman" w:eastAsia="Calibri" w:hAnsi="Times New Roman" w:cs="Times New Roman"/>
          <w:b/>
          <w:bCs/>
          <w:sz w:val="24"/>
          <w:szCs w:val="24"/>
        </w:rPr>
      </w:pPr>
    </w:p>
    <w:p w14:paraId="3AF8670B" w14:textId="383CFD0F" w:rsidR="2EF3A34B" w:rsidRDefault="0CA6D3EE" w:rsidP="0CA6D3EE">
      <w:pPr>
        <w:pStyle w:val="ListParagraph"/>
        <w:numPr>
          <w:ilvl w:val="0"/>
          <w:numId w:val="13"/>
        </w:numPr>
        <w:spacing w:line="360" w:lineRule="auto"/>
        <w:ind w:hanging="720"/>
        <w:jc w:val="both"/>
        <w:rPr>
          <w:rFonts w:ascii="Times New Roman" w:eastAsia="Calibri" w:hAnsi="Times New Roman" w:cs="Times New Roman"/>
          <w:b/>
          <w:bCs/>
          <w:sz w:val="24"/>
          <w:szCs w:val="24"/>
        </w:rPr>
      </w:pPr>
      <w:r w:rsidRPr="0CA6D3EE">
        <w:rPr>
          <w:rFonts w:ascii="Times New Roman" w:eastAsia="Calibri" w:hAnsi="Times New Roman" w:cs="Times New Roman"/>
          <w:b/>
          <w:bCs/>
          <w:sz w:val="24"/>
          <w:szCs w:val="24"/>
        </w:rPr>
        <w:t xml:space="preserve">Data Preservation and Constitutional Compliance: - </w:t>
      </w:r>
      <w:r w:rsidRPr="0CA6D3EE">
        <w:rPr>
          <w:rFonts w:ascii="Times New Roman" w:eastAsia="Calibri" w:hAnsi="Times New Roman" w:cs="Times New Roman"/>
          <w:sz w:val="24"/>
          <w:szCs w:val="24"/>
        </w:rPr>
        <w:t>Rule 3(1)(g) mandates retention of removed content data for 180 days for investigation. Rule 3(1)(m) and (n) emphasize due diligence, transparency, and functioning in line with Articles 14, 19, and 21 of the Constitution.</w:t>
      </w:r>
    </w:p>
    <w:p w14:paraId="5E0B9CB8" w14:textId="4BEA6F1E" w:rsidR="2EF3A34B" w:rsidRDefault="2EF3A34B" w:rsidP="0CA6D3EE">
      <w:pPr>
        <w:pStyle w:val="ListParagraph"/>
        <w:spacing w:line="360" w:lineRule="auto"/>
        <w:ind w:hanging="720"/>
        <w:jc w:val="both"/>
        <w:rPr>
          <w:rFonts w:ascii="Times New Roman" w:eastAsia="Calibri" w:hAnsi="Times New Roman" w:cs="Times New Roman"/>
          <w:b/>
          <w:bCs/>
          <w:sz w:val="24"/>
          <w:szCs w:val="24"/>
        </w:rPr>
      </w:pPr>
    </w:p>
    <w:p w14:paraId="6105BAB4" w14:textId="4A9FEAFA" w:rsidR="2EF3A34B" w:rsidRDefault="0CA6D3EE" w:rsidP="0CA6D3EE">
      <w:pPr>
        <w:pStyle w:val="ListParagraph"/>
        <w:numPr>
          <w:ilvl w:val="0"/>
          <w:numId w:val="13"/>
        </w:numPr>
        <w:spacing w:line="360" w:lineRule="auto"/>
        <w:ind w:hanging="720"/>
        <w:jc w:val="both"/>
        <w:rPr>
          <w:rFonts w:ascii="Times New Roman" w:eastAsia="Calibri" w:hAnsi="Times New Roman" w:cs="Times New Roman"/>
          <w:sz w:val="24"/>
          <w:szCs w:val="24"/>
        </w:rPr>
      </w:pPr>
      <w:r w:rsidRPr="0CA6D3EE">
        <w:rPr>
          <w:rFonts w:ascii="Times New Roman" w:eastAsia="Calibri" w:hAnsi="Times New Roman" w:cs="Times New Roman"/>
          <w:b/>
          <w:bCs/>
          <w:sz w:val="24"/>
          <w:szCs w:val="24"/>
        </w:rPr>
        <w:t xml:space="preserve">Grievance Redressal Mechanism: - </w:t>
      </w:r>
      <w:r w:rsidRPr="0CA6D3EE">
        <w:rPr>
          <w:rFonts w:ascii="Times New Roman" w:eastAsia="Calibri" w:hAnsi="Times New Roman" w:cs="Times New Roman"/>
          <w:sz w:val="24"/>
          <w:szCs w:val="24"/>
        </w:rPr>
        <w:t xml:space="preserve">Rule 3(2) mandates appointment of a Grievance Officer to </w:t>
      </w:r>
      <w:r w:rsidR="009E2454">
        <w:rPr>
          <w:rFonts w:ascii="Times New Roman" w:eastAsia="Calibri" w:hAnsi="Times New Roman" w:cs="Times New Roman"/>
          <w:sz w:val="24"/>
          <w:szCs w:val="24"/>
        </w:rPr>
        <w:t>acknowledge</w:t>
      </w:r>
      <w:r w:rsidRPr="0CA6D3EE">
        <w:rPr>
          <w:rFonts w:ascii="Times New Roman" w:eastAsia="Calibri" w:hAnsi="Times New Roman" w:cs="Times New Roman"/>
          <w:sz w:val="24"/>
          <w:szCs w:val="24"/>
        </w:rPr>
        <w:t xml:space="preserve"> complaints within 24 hours and </w:t>
      </w:r>
      <w:r w:rsidR="009E2454">
        <w:rPr>
          <w:rFonts w:ascii="Times New Roman" w:eastAsia="Calibri" w:hAnsi="Times New Roman" w:cs="Times New Roman"/>
          <w:sz w:val="24"/>
          <w:szCs w:val="24"/>
        </w:rPr>
        <w:t>redress</w:t>
      </w:r>
      <w:r w:rsidRPr="0CA6D3EE">
        <w:rPr>
          <w:rFonts w:ascii="Times New Roman" w:eastAsia="Calibri" w:hAnsi="Times New Roman" w:cs="Times New Roman"/>
          <w:sz w:val="24"/>
          <w:szCs w:val="24"/>
        </w:rPr>
        <w:t xml:space="preserve"> them within 15 days. This is crucial in cases involving impersonation or obscene and morphed content.</w:t>
      </w:r>
    </w:p>
    <w:p w14:paraId="23DC708A" w14:textId="34CD83BC" w:rsidR="2EF3A34B" w:rsidRDefault="2EF3A34B" w:rsidP="0CA6D3EE">
      <w:pPr>
        <w:pStyle w:val="ListParagraph"/>
        <w:spacing w:line="360" w:lineRule="auto"/>
        <w:ind w:left="0"/>
        <w:jc w:val="both"/>
        <w:rPr>
          <w:rFonts w:ascii="Times New Roman" w:eastAsia="Calibri" w:hAnsi="Times New Roman" w:cs="Times New Roman"/>
          <w:sz w:val="24"/>
          <w:szCs w:val="24"/>
        </w:rPr>
      </w:pPr>
    </w:p>
    <w:p w14:paraId="0770B73E" w14:textId="51DE9BE9" w:rsidR="2EF3A34B" w:rsidRDefault="0CA6D3EE" w:rsidP="0CA6D3EE">
      <w:pPr>
        <w:pStyle w:val="ListParagraph"/>
        <w:spacing w:line="360" w:lineRule="auto"/>
        <w:ind w:left="0"/>
        <w:jc w:val="both"/>
        <w:rPr>
          <w:rFonts w:ascii="Times New Roman" w:eastAsia="Calibri" w:hAnsi="Times New Roman" w:cs="Times New Roman"/>
          <w:b/>
          <w:bCs/>
          <w:sz w:val="24"/>
          <w:szCs w:val="24"/>
        </w:rPr>
      </w:pPr>
      <w:r w:rsidRPr="0CA6D3EE">
        <w:rPr>
          <w:rFonts w:ascii="Times New Roman" w:eastAsia="Calibri" w:hAnsi="Times New Roman" w:cs="Times New Roman"/>
          <w:b/>
          <w:bCs/>
          <w:sz w:val="24"/>
          <w:szCs w:val="24"/>
        </w:rPr>
        <w:t>ADDITIONAL COMPLIANCE FOR OTT PLATFORMS</w:t>
      </w:r>
    </w:p>
    <w:p w14:paraId="203EFF30" w14:textId="434CEFE3" w:rsidR="2EF3A34B" w:rsidRDefault="0E24B3BD" w:rsidP="0CA6D3EE">
      <w:pPr>
        <w:pStyle w:val="ListParagraph"/>
        <w:spacing w:line="360" w:lineRule="auto"/>
        <w:ind w:left="0"/>
        <w:jc w:val="both"/>
        <w:rPr>
          <w:rFonts w:ascii="Times New Roman" w:eastAsia="Calibri" w:hAnsi="Times New Roman" w:cs="Times New Roman"/>
          <w:sz w:val="24"/>
          <w:szCs w:val="24"/>
        </w:rPr>
      </w:pPr>
      <w:r w:rsidRPr="0E24B3BD">
        <w:rPr>
          <w:rFonts w:ascii="Times New Roman" w:eastAsia="Calibri" w:hAnsi="Times New Roman" w:cs="Times New Roman"/>
          <w:sz w:val="24"/>
          <w:szCs w:val="24"/>
        </w:rPr>
        <w:t xml:space="preserve">Rule 4 </w:t>
      </w:r>
      <w:r w:rsidR="009E2454">
        <w:rPr>
          <w:rFonts w:ascii="Times New Roman" w:eastAsia="Calibri" w:hAnsi="Times New Roman" w:cs="Times New Roman"/>
          <w:sz w:val="24"/>
          <w:szCs w:val="24"/>
        </w:rPr>
        <w:t>directs</w:t>
      </w:r>
      <w:r w:rsidRPr="0E24B3BD">
        <w:rPr>
          <w:rFonts w:ascii="Times New Roman" w:eastAsia="Calibri" w:hAnsi="Times New Roman" w:cs="Times New Roman"/>
          <w:sz w:val="24"/>
          <w:szCs w:val="24"/>
        </w:rPr>
        <w:t xml:space="preserve"> significant intermediaries, including OTT platforms, </w:t>
      </w:r>
      <w:r w:rsidR="009E2454">
        <w:rPr>
          <w:rFonts w:ascii="Times New Roman" w:eastAsia="Calibri" w:hAnsi="Times New Roman" w:cs="Times New Roman"/>
          <w:sz w:val="24"/>
          <w:szCs w:val="24"/>
        </w:rPr>
        <w:t xml:space="preserve">to </w:t>
      </w:r>
      <w:r w:rsidRPr="0E24B3BD">
        <w:rPr>
          <w:rFonts w:ascii="Times New Roman" w:eastAsia="Calibri" w:hAnsi="Times New Roman" w:cs="Times New Roman"/>
          <w:sz w:val="24"/>
          <w:szCs w:val="24"/>
        </w:rPr>
        <w:t>appoint</w:t>
      </w:r>
      <w:r w:rsidR="009E2454">
        <w:rPr>
          <w:rFonts w:ascii="Times New Roman" w:eastAsia="Calibri" w:hAnsi="Times New Roman" w:cs="Times New Roman"/>
          <w:sz w:val="24"/>
          <w:szCs w:val="24"/>
        </w:rPr>
        <w:t xml:space="preserve"> a</w:t>
      </w:r>
      <w:r w:rsidRPr="0E24B3BD">
        <w:rPr>
          <w:rFonts w:ascii="Times New Roman" w:eastAsia="Calibri" w:hAnsi="Times New Roman" w:cs="Times New Roman"/>
          <w:sz w:val="24"/>
          <w:szCs w:val="24"/>
        </w:rPr>
        <w:t xml:space="preserve"> Chief Compliance Officer, a Nodal </w:t>
      </w:r>
      <w:r w:rsidR="009E2454">
        <w:rPr>
          <w:rFonts w:ascii="Times New Roman" w:eastAsia="Calibri" w:hAnsi="Times New Roman" w:cs="Times New Roman"/>
          <w:sz w:val="24"/>
          <w:szCs w:val="24"/>
        </w:rPr>
        <w:t>Officer</w:t>
      </w:r>
      <w:r w:rsidRPr="0E24B3BD">
        <w:rPr>
          <w:rFonts w:ascii="Times New Roman" w:eastAsia="Calibri" w:hAnsi="Times New Roman" w:cs="Times New Roman"/>
          <w:sz w:val="24"/>
          <w:szCs w:val="24"/>
        </w:rPr>
        <w:t xml:space="preserve"> for law enforcement, and a Resident Grievance Officer. Monthly compliance reports are also mandated.</w:t>
      </w:r>
    </w:p>
    <w:p w14:paraId="1BF4A80A" w14:textId="42196F7F" w:rsidR="2EF3A34B" w:rsidRDefault="2EF3A34B" w:rsidP="0CA6D3EE">
      <w:pPr>
        <w:pStyle w:val="ListParagraph"/>
        <w:spacing w:line="360" w:lineRule="auto"/>
        <w:ind w:left="0"/>
        <w:jc w:val="both"/>
        <w:rPr>
          <w:rFonts w:ascii="Times New Roman" w:eastAsia="Calibri" w:hAnsi="Times New Roman" w:cs="Times New Roman"/>
          <w:sz w:val="24"/>
          <w:szCs w:val="24"/>
        </w:rPr>
      </w:pPr>
    </w:p>
    <w:p w14:paraId="5AC6D725" w14:textId="1A13BBA1" w:rsidR="2EF3A34B" w:rsidRDefault="0CA6D3EE" w:rsidP="0CA6D3EE">
      <w:pPr>
        <w:pStyle w:val="ListParagraph"/>
        <w:numPr>
          <w:ilvl w:val="0"/>
          <w:numId w:val="12"/>
        </w:numPr>
        <w:spacing w:line="360" w:lineRule="auto"/>
        <w:ind w:hanging="720"/>
        <w:jc w:val="both"/>
        <w:rPr>
          <w:rFonts w:ascii="Times New Roman" w:eastAsia="Calibri" w:hAnsi="Times New Roman" w:cs="Times New Roman"/>
          <w:sz w:val="24"/>
          <w:szCs w:val="24"/>
        </w:rPr>
      </w:pPr>
      <w:r w:rsidRPr="0CA6D3EE">
        <w:rPr>
          <w:rFonts w:ascii="Times New Roman" w:eastAsia="Calibri" w:hAnsi="Times New Roman" w:cs="Times New Roman"/>
          <w:b/>
          <w:bCs/>
          <w:sz w:val="24"/>
          <w:szCs w:val="24"/>
        </w:rPr>
        <w:t xml:space="preserve">Content Classification and Cultural Sensitivity: - </w:t>
      </w:r>
      <w:r w:rsidRPr="0CA6D3EE">
        <w:rPr>
          <w:rFonts w:ascii="Times New Roman" w:eastAsia="Calibri" w:hAnsi="Times New Roman" w:cs="Times New Roman"/>
          <w:sz w:val="24"/>
          <w:szCs w:val="24"/>
        </w:rPr>
        <w:t>The Code of Ethics prohibits content banned by law or court and restricts material that may incite violence or disturb public order. It stresses sensitivity toward India’s religious and cultural diversity and mandates clear content classification from “U” to “A” with appropriate parental locks and age verification.</w:t>
      </w:r>
    </w:p>
    <w:p w14:paraId="6BA4EF09" w14:textId="45D15F18" w:rsidR="2EF3A34B" w:rsidRDefault="2EF3A34B" w:rsidP="0CA6D3EE">
      <w:pPr>
        <w:pStyle w:val="ListParagraph"/>
        <w:spacing w:line="360" w:lineRule="auto"/>
        <w:jc w:val="both"/>
        <w:rPr>
          <w:rFonts w:ascii="Times New Roman" w:eastAsia="Calibri" w:hAnsi="Times New Roman" w:cs="Times New Roman"/>
          <w:b/>
          <w:bCs/>
          <w:sz w:val="24"/>
          <w:szCs w:val="24"/>
        </w:rPr>
      </w:pPr>
    </w:p>
    <w:p w14:paraId="210F11F5" w14:textId="392584D4" w:rsidR="2EF3A34B" w:rsidRDefault="0CA6D3EE" w:rsidP="0CA6D3EE">
      <w:pPr>
        <w:pStyle w:val="ListParagraph"/>
        <w:numPr>
          <w:ilvl w:val="0"/>
          <w:numId w:val="11"/>
        </w:numPr>
        <w:spacing w:line="360" w:lineRule="auto"/>
        <w:ind w:hanging="720"/>
        <w:jc w:val="both"/>
        <w:rPr>
          <w:rFonts w:ascii="Times New Roman" w:eastAsia="Calibri" w:hAnsi="Times New Roman" w:cs="Times New Roman"/>
          <w:sz w:val="24"/>
          <w:szCs w:val="24"/>
        </w:rPr>
      </w:pPr>
      <w:r w:rsidRPr="0CA6D3EE">
        <w:rPr>
          <w:rFonts w:ascii="Times New Roman" w:eastAsia="Calibri" w:hAnsi="Times New Roman" w:cs="Times New Roman"/>
          <w:b/>
          <w:bCs/>
          <w:sz w:val="24"/>
          <w:szCs w:val="24"/>
        </w:rPr>
        <w:t>THREE-TIER REDRESSAL SYSTEM</w:t>
      </w:r>
    </w:p>
    <w:p w14:paraId="17DA4E53" w14:textId="722566C5" w:rsidR="2EF3A34B" w:rsidRDefault="0CA6D3EE" w:rsidP="0CA6D3EE">
      <w:pPr>
        <w:pStyle w:val="ListParagraph"/>
        <w:spacing w:line="360" w:lineRule="auto"/>
        <w:jc w:val="both"/>
        <w:rPr>
          <w:rFonts w:ascii="Times New Roman" w:eastAsia="Calibri" w:hAnsi="Times New Roman" w:cs="Times New Roman"/>
          <w:sz w:val="24"/>
          <w:szCs w:val="24"/>
        </w:rPr>
      </w:pPr>
      <w:r w:rsidRPr="0CA6D3EE">
        <w:rPr>
          <w:rFonts w:ascii="Times New Roman" w:eastAsia="Calibri" w:hAnsi="Times New Roman" w:cs="Times New Roman"/>
          <w:sz w:val="24"/>
          <w:szCs w:val="24"/>
        </w:rPr>
        <w:t>The Rules establish a three-tier mechanism:</w:t>
      </w:r>
    </w:p>
    <w:p w14:paraId="69FA2126" w14:textId="40E6A1C5" w:rsidR="2EF3A34B" w:rsidRDefault="0CA6D3EE" w:rsidP="0CA6D3EE">
      <w:pPr>
        <w:pStyle w:val="ListParagraph"/>
        <w:numPr>
          <w:ilvl w:val="0"/>
          <w:numId w:val="10"/>
        </w:numPr>
        <w:spacing w:line="360" w:lineRule="auto"/>
        <w:ind w:left="1440" w:hanging="720"/>
        <w:jc w:val="both"/>
        <w:rPr>
          <w:rFonts w:ascii="Times New Roman" w:eastAsia="Calibri" w:hAnsi="Times New Roman" w:cs="Times New Roman"/>
        </w:rPr>
      </w:pPr>
      <w:r w:rsidRPr="0CA6D3EE">
        <w:rPr>
          <w:rFonts w:ascii="Times New Roman" w:eastAsia="Calibri" w:hAnsi="Times New Roman" w:cs="Times New Roman"/>
          <w:b/>
          <w:bCs/>
          <w:sz w:val="24"/>
          <w:szCs w:val="24"/>
        </w:rPr>
        <w:t>Level I</w:t>
      </w:r>
      <w:r w:rsidRPr="0CA6D3EE">
        <w:rPr>
          <w:rFonts w:ascii="Times New Roman" w:eastAsia="Calibri" w:hAnsi="Times New Roman" w:cs="Times New Roman"/>
          <w:sz w:val="24"/>
          <w:szCs w:val="24"/>
        </w:rPr>
        <w:t xml:space="preserve"> – grievance handling by the publisher,</w:t>
      </w:r>
    </w:p>
    <w:p w14:paraId="3A66A49A" w14:textId="583DB54C" w:rsidR="2EF3A34B" w:rsidRDefault="0CA6D3EE" w:rsidP="0CA6D3EE">
      <w:pPr>
        <w:pStyle w:val="ListParagraph"/>
        <w:numPr>
          <w:ilvl w:val="0"/>
          <w:numId w:val="10"/>
        </w:numPr>
        <w:spacing w:line="360" w:lineRule="auto"/>
        <w:ind w:left="1440" w:hanging="720"/>
        <w:jc w:val="both"/>
        <w:rPr>
          <w:rFonts w:ascii="Times New Roman" w:eastAsia="Calibri" w:hAnsi="Times New Roman" w:cs="Times New Roman"/>
        </w:rPr>
      </w:pPr>
      <w:r w:rsidRPr="0CA6D3EE">
        <w:rPr>
          <w:rFonts w:ascii="Times New Roman" w:eastAsia="Calibri" w:hAnsi="Times New Roman" w:cs="Times New Roman"/>
          <w:b/>
          <w:bCs/>
          <w:sz w:val="24"/>
          <w:szCs w:val="24"/>
        </w:rPr>
        <w:t>Level II</w:t>
      </w:r>
      <w:r w:rsidRPr="0CA6D3EE">
        <w:rPr>
          <w:rFonts w:ascii="Times New Roman" w:eastAsia="Calibri" w:hAnsi="Times New Roman" w:cs="Times New Roman"/>
          <w:sz w:val="24"/>
          <w:szCs w:val="24"/>
        </w:rPr>
        <w:t xml:space="preserve"> – self-regulatory body headed by retired judges or experts, and</w:t>
      </w:r>
    </w:p>
    <w:p w14:paraId="01AF2A11" w14:textId="61DCF044" w:rsidR="2EF3A34B" w:rsidRDefault="0E24B3BD" w:rsidP="0CA6D3EE">
      <w:pPr>
        <w:pStyle w:val="ListParagraph"/>
        <w:numPr>
          <w:ilvl w:val="0"/>
          <w:numId w:val="10"/>
        </w:numPr>
        <w:spacing w:line="360" w:lineRule="auto"/>
        <w:ind w:left="1440" w:hanging="720"/>
        <w:jc w:val="both"/>
        <w:rPr>
          <w:rFonts w:ascii="Times New Roman" w:eastAsia="Calibri" w:hAnsi="Times New Roman" w:cs="Times New Roman"/>
        </w:rPr>
      </w:pPr>
      <w:r w:rsidRPr="0E24B3BD">
        <w:rPr>
          <w:rFonts w:ascii="Times New Roman" w:eastAsia="Calibri" w:hAnsi="Times New Roman" w:cs="Times New Roman"/>
          <w:b/>
          <w:bCs/>
          <w:sz w:val="24"/>
          <w:szCs w:val="24"/>
        </w:rPr>
        <w:t>Level III</w:t>
      </w:r>
      <w:r w:rsidRPr="0E24B3BD">
        <w:rPr>
          <w:rFonts w:ascii="Times New Roman" w:eastAsia="Calibri" w:hAnsi="Times New Roman" w:cs="Times New Roman"/>
          <w:sz w:val="24"/>
          <w:szCs w:val="24"/>
        </w:rPr>
        <w:t xml:space="preserve"> – oversight by the Ministry with powers to issue takedown orders.</w:t>
      </w:r>
    </w:p>
    <w:p w14:paraId="27217602" w14:textId="63C090CA" w:rsidR="2EF3A34B" w:rsidRDefault="2EF3A34B" w:rsidP="0E24B3BD">
      <w:pPr>
        <w:spacing w:line="360" w:lineRule="auto"/>
        <w:jc w:val="both"/>
        <w:rPr>
          <w:rFonts w:ascii="Times New Roman" w:eastAsia="Calibri" w:hAnsi="Times New Roman" w:cs="Times New Roman"/>
        </w:rPr>
      </w:pPr>
    </w:p>
    <w:p w14:paraId="2BCB649C" w14:textId="495919D6" w:rsidR="2EF3A34B" w:rsidRDefault="0E24B3BD" w:rsidP="0E24B3BD">
      <w:pPr>
        <w:spacing w:line="360" w:lineRule="auto"/>
        <w:jc w:val="both"/>
        <w:rPr>
          <w:rFonts w:ascii="Times New Roman" w:eastAsia="Times New Roman" w:hAnsi="Times New Roman" w:cs="Times New Roman"/>
          <w:sz w:val="24"/>
          <w:szCs w:val="24"/>
        </w:rPr>
      </w:pPr>
      <w:r w:rsidRPr="0E24B3BD">
        <w:rPr>
          <w:rFonts w:ascii="Times New Roman" w:eastAsia="Times New Roman" w:hAnsi="Times New Roman" w:cs="Times New Roman"/>
          <w:sz w:val="24"/>
          <w:szCs w:val="24"/>
        </w:rPr>
        <w:t>As OTT platforms continue to reshape how content is created and consumed, the law has steadily tried to keep pace with this change. The introduction of the IT Rules, 2021 marks a conscious effort to ensure that freedom of expression can flourish without giving way to unchecked or harmful content.</w:t>
      </w:r>
    </w:p>
    <w:p w14:paraId="06F0F9AC" w14:textId="1B5A2256" w:rsidR="00622DC9" w:rsidRPr="00754AE3" w:rsidRDefault="69B9834E" w:rsidP="00792428">
      <w:pPr>
        <w:spacing w:line="360" w:lineRule="auto"/>
        <w:rPr>
          <w:rFonts w:ascii="Times New Roman" w:hAnsi="Times New Roman" w:cs="Times New Roman"/>
          <w:b/>
          <w:bCs/>
          <w:sz w:val="24"/>
          <w:szCs w:val="24"/>
        </w:rPr>
      </w:pPr>
      <w:r w:rsidRPr="00754AE3">
        <w:rPr>
          <w:rFonts w:ascii="Times New Roman" w:hAnsi="Times New Roman" w:cs="Times New Roman"/>
          <w:b/>
          <w:bCs/>
          <w:sz w:val="24"/>
          <w:szCs w:val="24"/>
        </w:rPr>
        <w:t>CONCLUSION</w:t>
      </w:r>
    </w:p>
    <w:p w14:paraId="67DE32B3" w14:textId="13CD08F3" w:rsidR="7AE1A348" w:rsidRDefault="0E24B3BD" w:rsidP="7AE1A348">
      <w:pPr>
        <w:spacing w:line="360" w:lineRule="auto"/>
        <w:jc w:val="both"/>
        <w:rPr>
          <w:rFonts w:ascii="Times New Roman" w:hAnsi="Times New Roman" w:cs="Times New Roman"/>
          <w:sz w:val="24"/>
          <w:szCs w:val="24"/>
        </w:rPr>
      </w:pPr>
      <w:r w:rsidRPr="0E24B3BD">
        <w:rPr>
          <w:rFonts w:ascii="Times New Roman" w:hAnsi="Times New Roman" w:cs="Times New Roman"/>
          <w:sz w:val="24"/>
          <w:szCs w:val="24"/>
        </w:rPr>
        <w:t xml:space="preserve">The </w:t>
      </w:r>
      <w:r w:rsidR="009E2454">
        <w:rPr>
          <w:rFonts w:ascii="Times New Roman" w:hAnsi="Times New Roman" w:cs="Times New Roman"/>
          <w:sz w:val="24"/>
          <w:szCs w:val="24"/>
        </w:rPr>
        <w:t>balance</w:t>
      </w:r>
      <w:r w:rsidRPr="0E24B3BD">
        <w:rPr>
          <w:rFonts w:ascii="Times New Roman" w:hAnsi="Times New Roman" w:cs="Times New Roman"/>
          <w:sz w:val="24"/>
          <w:szCs w:val="24"/>
        </w:rPr>
        <w:t xml:space="preserve"> between freedom of expression and laws against obscenity represents the evolving content governance regulations in India.</w:t>
      </w:r>
      <w:r w:rsidR="009E2454">
        <w:rPr>
          <w:rFonts w:ascii="Times New Roman" w:hAnsi="Times New Roman" w:cs="Times New Roman"/>
          <w:sz w:val="24"/>
          <w:szCs w:val="24"/>
        </w:rPr>
        <w:t xml:space="preserve"> </w:t>
      </w:r>
      <w:r w:rsidRPr="0E24B3BD">
        <w:rPr>
          <w:rFonts w:ascii="Times New Roman" w:hAnsi="Times New Roman" w:cs="Times New Roman"/>
          <w:sz w:val="24"/>
          <w:szCs w:val="24"/>
        </w:rPr>
        <w:t>Article 19(1)(a) of the Indian Constitution guarantees freedom of speech and expression along with requisite reasonable restriction</w:t>
      </w:r>
      <w:r w:rsidR="009E2454">
        <w:rPr>
          <w:rFonts w:ascii="Times New Roman" w:hAnsi="Times New Roman" w:cs="Times New Roman"/>
          <w:sz w:val="24"/>
          <w:szCs w:val="24"/>
        </w:rPr>
        <w:t xml:space="preserve">. Therefore, </w:t>
      </w:r>
      <w:r w:rsidRPr="0E24B3BD">
        <w:rPr>
          <w:rFonts w:ascii="Times New Roman" w:hAnsi="Times New Roman" w:cs="Times New Roman"/>
          <w:sz w:val="24"/>
          <w:szCs w:val="24"/>
        </w:rPr>
        <w:t xml:space="preserve">the Legislative enactments uphold the guiding principles of the constitutions through its provisions. Initially, when the Obscenity was used to be decided through </w:t>
      </w:r>
      <w:r w:rsidRPr="0E24B3BD">
        <w:rPr>
          <w:rFonts w:ascii="Times New Roman" w:hAnsi="Times New Roman" w:cs="Times New Roman"/>
          <w:i/>
          <w:iCs/>
          <w:sz w:val="24"/>
          <w:szCs w:val="24"/>
        </w:rPr>
        <w:t xml:space="preserve">Hicklin Test, </w:t>
      </w:r>
      <w:r w:rsidRPr="0E24B3BD">
        <w:rPr>
          <w:rFonts w:ascii="Times New Roman" w:hAnsi="Times New Roman" w:cs="Times New Roman"/>
          <w:sz w:val="24"/>
          <w:szCs w:val="24"/>
        </w:rPr>
        <w:t>Indian Laws witnessed a</w:t>
      </w:r>
      <w:r w:rsidRPr="0E24B3BD">
        <w:rPr>
          <w:rFonts w:ascii="Times New Roman" w:hAnsi="Times New Roman" w:cs="Times New Roman"/>
          <w:i/>
          <w:iCs/>
          <w:sz w:val="24"/>
          <w:szCs w:val="24"/>
        </w:rPr>
        <w:t xml:space="preserve"> </w:t>
      </w:r>
      <w:r w:rsidRPr="0E24B3BD">
        <w:rPr>
          <w:rFonts w:ascii="Times New Roman" w:hAnsi="Times New Roman" w:cs="Times New Roman"/>
          <w:sz w:val="24"/>
          <w:szCs w:val="24"/>
        </w:rPr>
        <w:t xml:space="preserve">jurisprudential shift to “Community Standard Test” laid down by the </w:t>
      </w:r>
      <w:r w:rsidR="009E2454">
        <w:rPr>
          <w:rFonts w:ascii="Times New Roman" w:hAnsi="Times New Roman" w:cs="Times New Roman"/>
          <w:sz w:val="24"/>
          <w:szCs w:val="24"/>
        </w:rPr>
        <w:t xml:space="preserve">Hon’ble Supreme Court </w:t>
      </w:r>
      <w:r w:rsidRPr="0E24B3BD">
        <w:rPr>
          <w:rFonts w:ascii="Times New Roman" w:hAnsi="Times New Roman" w:cs="Times New Roman"/>
          <w:sz w:val="24"/>
          <w:szCs w:val="24"/>
        </w:rPr>
        <w:t xml:space="preserve">in </w:t>
      </w:r>
      <w:r w:rsidRPr="0E24B3BD">
        <w:rPr>
          <w:rFonts w:ascii="Times New Roman" w:hAnsi="Times New Roman" w:cs="Times New Roman"/>
          <w:i/>
          <w:iCs/>
          <w:sz w:val="24"/>
          <w:szCs w:val="24"/>
        </w:rPr>
        <w:t>Aveek Sarkar vs. State of West Bengal</w:t>
      </w:r>
      <w:r w:rsidRPr="0E24B3BD">
        <w:rPr>
          <w:rFonts w:ascii="Times New Roman" w:hAnsi="Times New Roman" w:cs="Times New Roman"/>
          <w:sz w:val="24"/>
          <w:szCs w:val="24"/>
        </w:rPr>
        <w:t xml:space="preserve">. </w:t>
      </w:r>
    </w:p>
    <w:p w14:paraId="0C1EAC99" w14:textId="177A7435" w:rsidR="00FD41C1" w:rsidRPr="00FD41C1" w:rsidRDefault="0E24B3BD" w:rsidP="009821E3">
      <w:pPr>
        <w:spacing w:line="360" w:lineRule="auto"/>
        <w:jc w:val="both"/>
        <w:rPr>
          <w:rFonts w:ascii="Times New Roman" w:eastAsia="Times New Roman" w:hAnsi="Times New Roman" w:cs="Times New Roman"/>
          <w:sz w:val="24"/>
          <w:szCs w:val="24"/>
        </w:rPr>
      </w:pPr>
      <w:r w:rsidRPr="0E24B3BD">
        <w:rPr>
          <w:rFonts w:ascii="Times New Roman" w:hAnsi="Times New Roman" w:cs="Times New Roman"/>
          <w:sz w:val="24"/>
          <w:szCs w:val="24"/>
        </w:rPr>
        <w:t xml:space="preserve">Quintessentially, the Legislature played an appreciating role while preserving the laws regulating the publication of Obscene expressions under </w:t>
      </w:r>
      <w:r w:rsidR="00B64DAA">
        <w:rPr>
          <w:rFonts w:ascii="Times New Roman" w:hAnsi="Times New Roman" w:cs="Times New Roman"/>
          <w:sz w:val="24"/>
          <w:szCs w:val="24"/>
        </w:rPr>
        <w:t xml:space="preserve">BNS </w:t>
      </w:r>
      <w:r w:rsidRPr="0E24B3BD">
        <w:rPr>
          <w:rFonts w:ascii="Times New Roman" w:hAnsi="Times New Roman" w:cs="Times New Roman"/>
          <w:sz w:val="24"/>
          <w:szCs w:val="24"/>
        </w:rPr>
        <w:t xml:space="preserve">from </w:t>
      </w:r>
      <w:r w:rsidR="00B64DAA">
        <w:rPr>
          <w:rFonts w:ascii="Times New Roman" w:hAnsi="Times New Roman" w:cs="Times New Roman"/>
          <w:sz w:val="24"/>
          <w:szCs w:val="24"/>
        </w:rPr>
        <w:t>IPC</w:t>
      </w:r>
      <w:r w:rsidRPr="0E24B3BD">
        <w:rPr>
          <w:rFonts w:ascii="Times New Roman" w:hAnsi="Times New Roman" w:cs="Times New Roman"/>
          <w:sz w:val="24"/>
          <w:szCs w:val="24"/>
        </w:rPr>
        <w:t xml:space="preserve"> amending it to include digital sphere parallel to </w:t>
      </w:r>
      <w:r w:rsidR="00B64DAA">
        <w:rPr>
          <w:rFonts w:ascii="Times New Roman" w:hAnsi="Times New Roman" w:cs="Times New Roman"/>
          <w:sz w:val="24"/>
          <w:szCs w:val="24"/>
        </w:rPr>
        <w:t>IRWP</w:t>
      </w:r>
      <w:r w:rsidRPr="0E24B3BD">
        <w:rPr>
          <w:rFonts w:ascii="Times New Roman" w:hAnsi="Times New Roman" w:cs="Times New Roman"/>
          <w:sz w:val="24"/>
          <w:szCs w:val="24"/>
        </w:rPr>
        <w:t xml:space="preserve"> Act together standing firm to counter Obscene material posted on the internet. Nonetheless the introduction of the </w:t>
      </w:r>
      <w:r w:rsidR="00B64DAA">
        <w:rPr>
          <w:rFonts w:ascii="Times New Roman" w:eastAsia="Times New Roman" w:hAnsi="Times New Roman" w:cs="Times New Roman"/>
          <w:sz w:val="24"/>
          <w:szCs w:val="24"/>
        </w:rPr>
        <w:t xml:space="preserve">IT Rules 2021 </w:t>
      </w:r>
      <w:r w:rsidRPr="0E24B3BD">
        <w:rPr>
          <w:rFonts w:ascii="Times New Roman" w:eastAsia="Times New Roman" w:hAnsi="Times New Roman" w:cs="Times New Roman"/>
          <w:sz w:val="24"/>
          <w:szCs w:val="24"/>
        </w:rPr>
        <w:t xml:space="preserve">significantly aided to the advancement of OTT Platforms regulating mechanisms including powers to issue takedown directions, administrative vigilance, grievance redressal mechanisms to ensure the </w:t>
      </w:r>
      <w:r w:rsidR="00B64DAA">
        <w:rPr>
          <w:rFonts w:ascii="Times New Roman" w:eastAsia="Times New Roman" w:hAnsi="Times New Roman" w:cs="Times New Roman"/>
          <w:sz w:val="24"/>
          <w:szCs w:val="24"/>
        </w:rPr>
        <w:t>neutrality</w:t>
      </w:r>
      <w:r w:rsidRPr="0E24B3BD">
        <w:rPr>
          <w:rFonts w:ascii="Times New Roman" w:eastAsia="Times New Roman" w:hAnsi="Times New Roman" w:cs="Times New Roman"/>
          <w:sz w:val="24"/>
          <w:szCs w:val="24"/>
        </w:rPr>
        <w:t xml:space="preserve"> between freedom of expression and societal morality. Overall, India’s regulatory approach aims to uphold constitutional freedoms while ensuring that digital content respects legal and societal norms.</w:t>
      </w:r>
    </w:p>
    <w:sectPr w:rsidR="00FD41C1" w:rsidRPr="00FD41C1" w:rsidSect="00BD5587">
      <w:headerReference w:type="even" r:id="rId7"/>
      <w:footerReference w:type="even" r:id="rId8"/>
      <w:footerReference w:type="default" r:id="rId9"/>
      <w:headerReference w:type="first" r:id="rId10"/>
      <w:footerReference w:type="first" r:id="rId11"/>
      <w:pgSz w:w="12240" w:h="15840"/>
      <w:pgMar w:top="1440" w:right="1440" w:bottom="1440" w:left="1440" w:header="567" w:footer="850" w:gutter="0"/>
      <w:pgBorders w:offsetFrom="page">
        <w:top w:val="single" w:sz="18" w:space="24" w:color="auto"/>
        <w:left w:val="single" w:sz="18" w:space="24" w:color="auto"/>
        <w:bottom w:val="single" w:sz="18" w:space="24" w:color="auto"/>
        <w:right w:val="single" w:sz="18"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4A681" w14:textId="77777777" w:rsidR="00A6487F" w:rsidRDefault="00A6487F" w:rsidP="006D68B3">
      <w:pPr>
        <w:spacing w:after="0" w:line="240" w:lineRule="auto"/>
      </w:pPr>
      <w:r>
        <w:separator/>
      </w:r>
    </w:p>
  </w:endnote>
  <w:endnote w:type="continuationSeparator" w:id="0">
    <w:p w14:paraId="063DF732" w14:textId="77777777" w:rsidR="00A6487F" w:rsidRDefault="00A6487F" w:rsidP="006D68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8523B" w14:textId="3C5A737D" w:rsidR="0E24B3BD" w:rsidRPr="009E2454" w:rsidRDefault="009E2454" w:rsidP="0E24B3BD">
    <w:pPr>
      <w:pStyle w:val="Footer"/>
      <w:rPr>
        <w:rFonts w:asciiTheme="majorBidi" w:hAnsiTheme="majorBidi" w:cstheme="majorBidi"/>
        <w:i/>
        <w:iCs/>
        <w:sz w:val="20"/>
        <w:szCs w:val="20"/>
      </w:rPr>
    </w:pPr>
    <w:r>
      <w:rPr>
        <w:rFonts w:asciiTheme="majorBidi" w:hAnsiTheme="majorBidi" w:cstheme="majorBidi"/>
        <w:i/>
        <w:iCs/>
        <w:sz w:val="20"/>
        <w:szCs w:val="20"/>
      </w:rPr>
      <w:t>Authored by Ailiya Rizvi, 2</w:t>
    </w:r>
    <w:r>
      <w:rPr>
        <w:rFonts w:asciiTheme="majorBidi" w:hAnsiTheme="majorBidi" w:cstheme="majorBidi"/>
        <w:i/>
        <w:iCs/>
        <w:sz w:val="20"/>
        <w:szCs w:val="20"/>
        <w:vertAlign w:val="superscript"/>
      </w:rPr>
      <w:t xml:space="preserve">nd </w:t>
    </w:r>
    <w:r>
      <w:rPr>
        <w:rFonts w:asciiTheme="majorBidi" w:hAnsiTheme="majorBidi" w:cstheme="majorBidi"/>
        <w:i/>
        <w:iCs/>
        <w:sz w:val="20"/>
        <w:szCs w:val="20"/>
      </w:rPr>
      <w:t>Year B.A.LL.B Student, Jamia Hamdard</w:t>
    </w:r>
    <w:r w:rsidR="002C446A">
      <w:rPr>
        <w:rFonts w:asciiTheme="majorBidi" w:hAnsiTheme="majorBidi" w:cstheme="majorBidi"/>
        <w:i/>
        <w:iCs/>
        <w:sz w:val="20"/>
        <w:szCs w:val="20"/>
      </w:rPr>
      <w:t>, Delhi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ECAC7" w14:textId="4EAD1930" w:rsidR="000B27A8" w:rsidRPr="009E2454" w:rsidRDefault="009E2454" w:rsidP="00BD5587">
    <w:pPr>
      <w:spacing w:after="0" w:line="360" w:lineRule="auto"/>
      <w:jc w:val="both"/>
      <w:rPr>
        <w:rFonts w:ascii="Times New Roman" w:hAnsi="Times New Roman" w:cs="Times New Roman"/>
        <w:i/>
        <w:iCs/>
        <w:sz w:val="20"/>
        <w:szCs w:val="20"/>
      </w:rPr>
    </w:pPr>
    <w:r w:rsidRPr="009E2454">
      <w:rPr>
        <w:rFonts w:ascii="Times New Roman" w:hAnsi="Times New Roman" w:cs="Times New Roman"/>
        <w:i/>
        <w:iCs/>
        <w:sz w:val="20"/>
        <w:szCs w:val="20"/>
      </w:rPr>
      <w:t xml:space="preserve">Freedom </w:t>
    </w:r>
    <w:r>
      <w:rPr>
        <w:rFonts w:ascii="Times New Roman" w:hAnsi="Times New Roman" w:cs="Times New Roman"/>
        <w:i/>
        <w:iCs/>
        <w:sz w:val="20"/>
        <w:szCs w:val="20"/>
      </w:rPr>
      <w:t>o</w:t>
    </w:r>
    <w:r w:rsidRPr="009E2454">
      <w:rPr>
        <w:rFonts w:ascii="Times New Roman" w:hAnsi="Times New Roman" w:cs="Times New Roman"/>
        <w:i/>
        <w:iCs/>
        <w:sz w:val="20"/>
        <w:szCs w:val="20"/>
      </w:rPr>
      <w:t xml:space="preserve">f Expression </w:t>
    </w:r>
    <w:r>
      <w:rPr>
        <w:rFonts w:ascii="Times New Roman" w:hAnsi="Times New Roman" w:cs="Times New Roman"/>
        <w:i/>
        <w:iCs/>
        <w:sz w:val="20"/>
        <w:szCs w:val="20"/>
      </w:rPr>
      <w:t>v</w:t>
    </w:r>
    <w:r w:rsidRPr="009E2454">
      <w:rPr>
        <w:rFonts w:ascii="Times New Roman" w:hAnsi="Times New Roman" w:cs="Times New Roman"/>
        <w:i/>
        <w:iCs/>
        <w:sz w:val="20"/>
        <w:szCs w:val="20"/>
      </w:rPr>
      <w:t>s O</w:t>
    </w:r>
    <w:r>
      <w:rPr>
        <w:rFonts w:ascii="Times New Roman" w:hAnsi="Times New Roman" w:cs="Times New Roman"/>
        <w:i/>
        <w:iCs/>
        <w:sz w:val="20"/>
        <w:szCs w:val="20"/>
      </w:rPr>
      <w:t>TT</w:t>
    </w:r>
    <w:r w:rsidRPr="009E2454">
      <w:rPr>
        <w:rFonts w:ascii="Times New Roman" w:hAnsi="Times New Roman" w:cs="Times New Roman"/>
        <w:i/>
        <w:iCs/>
        <w:sz w:val="20"/>
        <w:szCs w:val="20"/>
      </w:rPr>
      <w:t xml:space="preserve"> Obscenity: </w:t>
    </w:r>
    <w:r>
      <w:rPr>
        <w:rFonts w:ascii="Times New Roman" w:hAnsi="Times New Roman" w:cs="Times New Roman"/>
        <w:i/>
        <w:iCs/>
        <w:sz w:val="20"/>
        <w:szCs w:val="20"/>
      </w:rPr>
      <w:t>An</w:t>
    </w:r>
    <w:r w:rsidRPr="009E2454">
      <w:rPr>
        <w:rFonts w:ascii="Times New Roman" w:hAnsi="Times New Roman" w:cs="Times New Roman"/>
        <w:i/>
        <w:iCs/>
        <w:sz w:val="20"/>
        <w:szCs w:val="20"/>
      </w:rPr>
      <w:t xml:space="preserve"> Analysis </w:t>
    </w:r>
    <w:r>
      <w:rPr>
        <w:rFonts w:ascii="Times New Roman" w:hAnsi="Times New Roman" w:cs="Times New Roman"/>
        <w:i/>
        <w:iCs/>
        <w:sz w:val="20"/>
        <w:szCs w:val="20"/>
      </w:rPr>
      <w:t>o</w:t>
    </w:r>
    <w:r w:rsidRPr="009E2454">
      <w:rPr>
        <w:rFonts w:ascii="Times New Roman" w:hAnsi="Times New Roman" w:cs="Times New Roman"/>
        <w:i/>
        <w:iCs/>
        <w:sz w:val="20"/>
        <w:szCs w:val="20"/>
      </w:rPr>
      <w:t>f O</w:t>
    </w:r>
    <w:r>
      <w:rPr>
        <w:rFonts w:ascii="Times New Roman" w:hAnsi="Times New Roman" w:cs="Times New Roman"/>
        <w:i/>
        <w:iCs/>
        <w:sz w:val="20"/>
        <w:szCs w:val="20"/>
      </w:rPr>
      <w:t>TT</w:t>
    </w:r>
    <w:r w:rsidRPr="009E2454">
      <w:rPr>
        <w:rFonts w:ascii="Times New Roman" w:hAnsi="Times New Roman" w:cs="Times New Roman"/>
        <w:i/>
        <w:iCs/>
        <w:sz w:val="20"/>
        <w:szCs w:val="20"/>
      </w:rPr>
      <w:t xml:space="preserve"> Regulations </w:t>
    </w:r>
    <w:r>
      <w:rPr>
        <w:rFonts w:ascii="Times New Roman" w:hAnsi="Times New Roman" w:cs="Times New Roman"/>
        <w:i/>
        <w:iCs/>
        <w:sz w:val="20"/>
        <w:szCs w:val="20"/>
      </w:rPr>
      <w:t>i</w:t>
    </w:r>
    <w:r w:rsidRPr="009E2454">
      <w:rPr>
        <w:rFonts w:ascii="Times New Roman" w:hAnsi="Times New Roman" w:cs="Times New Roman"/>
        <w:i/>
        <w:iCs/>
        <w:sz w:val="20"/>
        <w:szCs w:val="20"/>
      </w:rPr>
      <w:t>n India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
      <w:gridCol w:w="360"/>
    </w:tblGrid>
    <w:tr w:rsidR="0E24B3BD" w14:paraId="31F6B238" w14:textId="77777777" w:rsidTr="0E24B3BD">
      <w:trPr>
        <w:trHeight w:val="310"/>
      </w:trPr>
      <w:tc>
        <w:tcPr>
          <w:tcW w:w="360" w:type="dxa"/>
        </w:tcPr>
        <w:p w14:paraId="2B881D62" w14:textId="3080B7FB" w:rsidR="0E24B3BD" w:rsidRDefault="0E24B3BD" w:rsidP="0E24B3BD">
          <w:pPr>
            <w:pStyle w:val="Header"/>
            <w:jc w:val="center"/>
          </w:pPr>
        </w:p>
      </w:tc>
      <w:tc>
        <w:tcPr>
          <w:tcW w:w="360" w:type="dxa"/>
        </w:tcPr>
        <w:p w14:paraId="0D3BB1A3" w14:textId="689D6512" w:rsidR="0E24B3BD" w:rsidRDefault="0E24B3BD" w:rsidP="0E24B3BD">
          <w:pPr>
            <w:pStyle w:val="Header"/>
            <w:ind w:right="-115"/>
            <w:jc w:val="right"/>
          </w:pPr>
        </w:p>
      </w:tc>
    </w:tr>
  </w:tbl>
  <w:p w14:paraId="48260128" w14:textId="6DDE802D" w:rsidR="0E24B3BD" w:rsidRDefault="0E24B3BD" w:rsidP="0E24B3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20CBA" w14:textId="77777777" w:rsidR="00A6487F" w:rsidRDefault="00A6487F" w:rsidP="006D68B3">
      <w:pPr>
        <w:spacing w:after="0" w:line="240" w:lineRule="auto"/>
      </w:pPr>
      <w:r>
        <w:separator/>
      </w:r>
    </w:p>
  </w:footnote>
  <w:footnote w:type="continuationSeparator" w:id="0">
    <w:p w14:paraId="71CFB14A" w14:textId="77777777" w:rsidR="00A6487F" w:rsidRDefault="00A6487F" w:rsidP="006D68B3">
      <w:pPr>
        <w:spacing w:after="0" w:line="240" w:lineRule="auto"/>
      </w:pPr>
      <w:r>
        <w:continuationSeparator/>
      </w:r>
    </w:p>
  </w:footnote>
  <w:footnote w:id="1">
    <w:p w14:paraId="161CBD9D" w14:textId="3CF9EEE6" w:rsidR="00F30C87" w:rsidRPr="00006E66" w:rsidRDefault="00F30C87" w:rsidP="00BD5587">
      <w:pPr>
        <w:pStyle w:val="FootnoteText"/>
        <w:ind w:left="142" w:hanging="142"/>
        <w:jc w:val="both"/>
        <w:rPr>
          <w:rFonts w:asciiTheme="majorBidi" w:eastAsia="Times New Roman" w:hAnsiTheme="majorBidi" w:cstheme="majorBidi"/>
        </w:rPr>
      </w:pPr>
      <w:r w:rsidRPr="00006E66">
        <w:rPr>
          <w:rStyle w:val="FootnoteReference"/>
          <w:rFonts w:asciiTheme="majorBidi" w:eastAsia="Times New Roman" w:hAnsiTheme="majorBidi" w:cstheme="majorBidi"/>
        </w:rPr>
        <w:footnoteRef/>
      </w:r>
      <w:r w:rsidRPr="00006E66">
        <w:rPr>
          <w:rFonts w:asciiTheme="majorBidi" w:eastAsia="Times New Roman" w:hAnsiTheme="majorBidi" w:cstheme="majorBidi"/>
        </w:rPr>
        <w:t xml:space="preserve"> </w:t>
      </w:r>
      <w:r w:rsidR="004B378D" w:rsidRPr="00006E66">
        <w:rPr>
          <w:rFonts w:asciiTheme="majorBidi" w:eastAsia="Times New Roman" w:hAnsiTheme="majorBidi" w:cstheme="majorBidi"/>
        </w:rPr>
        <w:t>Pre</w:t>
      </w:r>
      <w:r w:rsidR="007244A8" w:rsidRPr="00006E66">
        <w:rPr>
          <w:rFonts w:asciiTheme="majorBidi" w:eastAsia="Times New Roman" w:hAnsiTheme="majorBidi" w:cstheme="majorBidi"/>
        </w:rPr>
        <w:t>rna Dhingra, “</w:t>
      </w:r>
      <w:r w:rsidR="00734983" w:rsidRPr="00006E66">
        <w:rPr>
          <w:rFonts w:asciiTheme="majorBidi" w:eastAsia="Times New Roman" w:hAnsiTheme="majorBidi" w:cstheme="majorBidi"/>
        </w:rPr>
        <w:t xml:space="preserve">A Comprehensive Analysis of Legal Parasol for Online Streaming Platforms” </w:t>
      </w:r>
      <w:r w:rsidR="00184C8A" w:rsidRPr="00006E66">
        <w:rPr>
          <w:rFonts w:asciiTheme="majorBidi" w:eastAsia="Times New Roman" w:hAnsiTheme="majorBidi" w:cstheme="majorBidi"/>
        </w:rPr>
        <w:t>1(3)</w:t>
      </w:r>
      <w:r w:rsidR="00261ACE" w:rsidRPr="00006E66">
        <w:rPr>
          <w:rFonts w:asciiTheme="majorBidi" w:eastAsia="Times New Roman" w:hAnsiTheme="majorBidi" w:cstheme="majorBidi"/>
        </w:rPr>
        <w:t xml:space="preserve"> </w:t>
      </w:r>
      <w:r w:rsidR="004C103B" w:rsidRPr="00006E66">
        <w:rPr>
          <w:rFonts w:asciiTheme="majorBidi" w:eastAsia="Times New Roman" w:hAnsiTheme="majorBidi" w:cstheme="majorBidi"/>
          <w:i/>
        </w:rPr>
        <w:t>JCLJ</w:t>
      </w:r>
      <w:r w:rsidR="00261ACE" w:rsidRPr="00006E66">
        <w:rPr>
          <w:rFonts w:asciiTheme="majorBidi" w:eastAsia="Times New Roman" w:hAnsiTheme="majorBidi" w:cstheme="majorBidi"/>
          <w:i/>
        </w:rPr>
        <w:t xml:space="preserve"> </w:t>
      </w:r>
      <w:r w:rsidR="00FE677E" w:rsidRPr="00006E66">
        <w:rPr>
          <w:rFonts w:asciiTheme="majorBidi" w:eastAsia="Times New Roman" w:hAnsiTheme="majorBidi" w:cstheme="majorBidi"/>
        </w:rPr>
        <w:t xml:space="preserve">144 </w:t>
      </w:r>
      <w:r w:rsidR="00005D16" w:rsidRPr="00006E66">
        <w:rPr>
          <w:rFonts w:asciiTheme="majorBidi" w:eastAsia="Times New Roman" w:hAnsiTheme="majorBidi" w:cstheme="majorBidi"/>
        </w:rPr>
        <w:t>(</w:t>
      </w:r>
      <w:r w:rsidR="00050400" w:rsidRPr="00006E66">
        <w:rPr>
          <w:rFonts w:asciiTheme="majorBidi" w:eastAsia="Times New Roman" w:hAnsiTheme="majorBidi" w:cstheme="majorBidi"/>
        </w:rPr>
        <w:t>2021)</w:t>
      </w:r>
    </w:p>
  </w:footnote>
  <w:footnote w:id="2">
    <w:p w14:paraId="5A13AA84" w14:textId="390583F0" w:rsidR="7154B6FF" w:rsidRPr="00006E66" w:rsidRDefault="7154B6FF"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48B40ED9" w:rsidRPr="00006E66">
        <w:rPr>
          <w:rFonts w:asciiTheme="majorBidi" w:hAnsiTheme="majorBidi" w:cstheme="majorBidi"/>
        </w:rPr>
        <w:t xml:space="preserve"> B</w:t>
      </w:r>
      <w:r w:rsidR="39CD1411" w:rsidRPr="00006E66">
        <w:rPr>
          <w:rFonts w:asciiTheme="majorBidi" w:hAnsiTheme="majorBidi" w:cstheme="majorBidi"/>
        </w:rPr>
        <w:t>. Panda</w:t>
      </w:r>
      <w:r w:rsidR="00CF0703" w:rsidRPr="00006E66">
        <w:rPr>
          <w:rFonts w:asciiTheme="majorBidi" w:hAnsiTheme="majorBidi" w:cstheme="majorBidi"/>
        </w:rPr>
        <w:t>, K. Kishore</w:t>
      </w:r>
      <w:r w:rsidR="008052AE" w:rsidRPr="00006E66">
        <w:rPr>
          <w:rFonts w:asciiTheme="majorBidi" w:hAnsiTheme="majorBidi" w:cstheme="majorBidi"/>
        </w:rPr>
        <w:t xml:space="preserve">, </w:t>
      </w:r>
      <w:r w:rsidR="00CB36EE" w:rsidRPr="00006E66">
        <w:rPr>
          <w:rFonts w:asciiTheme="majorBidi" w:hAnsiTheme="majorBidi" w:cstheme="majorBidi"/>
        </w:rPr>
        <w:t xml:space="preserve">M Biad, </w:t>
      </w:r>
      <w:r w:rsidR="008052AE" w:rsidRPr="00006E66">
        <w:rPr>
          <w:rFonts w:asciiTheme="majorBidi" w:hAnsiTheme="majorBidi" w:cstheme="majorBidi"/>
        </w:rPr>
        <w:t>“Over-The-To</w:t>
      </w:r>
      <w:r w:rsidR="008B02FC" w:rsidRPr="00006E66">
        <w:rPr>
          <w:rFonts w:asciiTheme="majorBidi" w:hAnsiTheme="majorBidi" w:cstheme="majorBidi"/>
        </w:rPr>
        <w:t>p</w:t>
      </w:r>
      <w:r w:rsidR="00CB36EE" w:rsidRPr="00006E66">
        <w:rPr>
          <w:rFonts w:asciiTheme="majorBidi" w:hAnsiTheme="majorBidi" w:cstheme="majorBidi"/>
        </w:rPr>
        <w:t xml:space="preserve"> (OTT) Platforms in the Indian </w:t>
      </w:r>
      <w:r w:rsidR="00301490" w:rsidRPr="00006E66">
        <w:rPr>
          <w:rFonts w:asciiTheme="majorBidi" w:hAnsiTheme="majorBidi" w:cstheme="majorBidi"/>
        </w:rPr>
        <w:t>Entertainment Industry: A Comprehensive</w:t>
      </w:r>
      <w:r w:rsidR="00B24A47" w:rsidRPr="00006E66">
        <w:rPr>
          <w:rFonts w:asciiTheme="majorBidi" w:hAnsiTheme="majorBidi" w:cstheme="majorBidi"/>
        </w:rPr>
        <w:t xml:space="preserve"> Study of Digital Streaming Ser</w:t>
      </w:r>
      <w:r w:rsidR="00D33CB3" w:rsidRPr="00006E66">
        <w:rPr>
          <w:rFonts w:asciiTheme="majorBidi" w:hAnsiTheme="majorBidi" w:cstheme="majorBidi"/>
        </w:rPr>
        <w:t xml:space="preserve">vices” </w:t>
      </w:r>
      <w:r w:rsidR="00100829" w:rsidRPr="00006E66">
        <w:rPr>
          <w:rFonts w:asciiTheme="majorBidi" w:hAnsiTheme="majorBidi" w:cstheme="majorBidi"/>
        </w:rPr>
        <w:t xml:space="preserve">4(12) </w:t>
      </w:r>
      <w:r w:rsidR="004C103B" w:rsidRPr="00006E66">
        <w:rPr>
          <w:rFonts w:asciiTheme="majorBidi" w:hAnsiTheme="majorBidi" w:cstheme="majorBidi"/>
          <w:i/>
          <w:iCs/>
        </w:rPr>
        <w:t>IJRPR</w:t>
      </w:r>
      <w:r w:rsidR="004C103B" w:rsidRPr="00006E66">
        <w:rPr>
          <w:rFonts w:asciiTheme="majorBidi" w:hAnsiTheme="majorBidi" w:cstheme="majorBidi"/>
        </w:rPr>
        <w:t xml:space="preserve"> </w:t>
      </w:r>
      <w:r w:rsidR="00D0250D" w:rsidRPr="00006E66">
        <w:rPr>
          <w:rFonts w:asciiTheme="majorBidi" w:hAnsiTheme="majorBidi" w:cstheme="majorBidi"/>
        </w:rPr>
        <w:t xml:space="preserve">2418 (2023) </w:t>
      </w:r>
    </w:p>
  </w:footnote>
  <w:footnote w:id="3">
    <w:p w14:paraId="7710F592" w14:textId="64051A21" w:rsidR="009A16B1" w:rsidRPr="00006E66" w:rsidRDefault="009A16B1"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074882" w:rsidRPr="00006E66">
        <w:rPr>
          <w:rFonts w:asciiTheme="majorBidi" w:hAnsiTheme="majorBidi" w:cstheme="majorBidi"/>
        </w:rPr>
        <w:t>D</w:t>
      </w:r>
      <w:r w:rsidR="00293A24" w:rsidRPr="00006E66">
        <w:rPr>
          <w:rFonts w:asciiTheme="majorBidi" w:hAnsiTheme="majorBidi" w:cstheme="majorBidi"/>
        </w:rPr>
        <w:t xml:space="preserve">r. R. Singh, Mr. Sudhir, “Obscenity on Over-The-Top </w:t>
      </w:r>
      <w:r w:rsidR="00B52C3A" w:rsidRPr="00006E66">
        <w:rPr>
          <w:rFonts w:asciiTheme="majorBidi" w:hAnsiTheme="majorBidi" w:cstheme="majorBidi"/>
        </w:rPr>
        <w:t xml:space="preserve">(OTT) Platforms and Censorship : A Study of Issues and </w:t>
      </w:r>
      <w:r w:rsidR="001062D7" w:rsidRPr="00006E66">
        <w:rPr>
          <w:rFonts w:asciiTheme="majorBidi" w:hAnsiTheme="majorBidi" w:cstheme="majorBidi"/>
        </w:rPr>
        <w:t>Regulatory Laws”</w:t>
      </w:r>
      <w:r w:rsidR="007277A0" w:rsidRPr="00006E66">
        <w:rPr>
          <w:rFonts w:asciiTheme="majorBidi" w:hAnsiTheme="majorBidi" w:cstheme="majorBidi"/>
        </w:rPr>
        <w:t xml:space="preserve">, 9(9) </w:t>
      </w:r>
      <w:r w:rsidR="008A6506" w:rsidRPr="00006E66">
        <w:rPr>
          <w:rFonts w:asciiTheme="majorBidi" w:hAnsiTheme="majorBidi" w:cstheme="majorBidi"/>
          <w:i/>
          <w:iCs/>
        </w:rPr>
        <w:t xml:space="preserve"> </w:t>
      </w:r>
      <w:r w:rsidR="009A674E" w:rsidRPr="00006E66">
        <w:rPr>
          <w:rFonts w:asciiTheme="majorBidi" w:hAnsiTheme="majorBidi" w:cstheme="majorBidi"/>
          <w:i/>
          <w:iCs/>
        </w:rPr>
        <w:t>IJNRD</w:t>
      </w:r>
      <w:r w:rsidR="000E3F00" w:rsidRPr="00006E66">
        <w:rPr>
          <w:rFonts w:asciiTheme="majorBidi" w:hAnsiTheme="majorBidi" w:cstheme="majorBidi"/>
          <w:i/>
          <w:iCs/>
        </w:rPr>
        <w:t xml:space="preserve"> </w:t>
      </w:r>
      <w:r w:rsidR="000E3F00" w:rsidRPr="00006E66">
        <w:rPr>
          <w:rFonts w:asciiTheme="majorBidi" w:hAnsiTheme="majorBidi" w:cstheme="majorBidi"/>
        </w:rPr>
        <w:t>1</w:t>
      </w:r>
      <w:r w:rsidR="009B6622" w:rsidRPr="00006E66">
        <w:rPr>
          <w:rFonts w:asciiTheme="majorBidi" w:hAnsiTheme="majorBidi" w:cstheme="majorBidi"/>
        </w:rPr>
        <w:t>7</w:t>
      </w:r>
      <w:r w:rsidR="000E3F00" w:rsidRPr="00006E66">
        <w:rPr>
          <w:rFonts w:asciiTheme="majorBidi" w:hAnsiTheme="majorBidi" w:cstheme="majorBidi"/>
        </w:rPr>
        <w:t xml:space="preserve"> (2024)</w:t>
      </w:r>
    </w:p>
  </w:footnote>
  <w:footnote w:id="4">
    <w:p w14:paraId="2FE428E7" w14:textId="0053C647" w:rsidR="24E3C247" w:rsidRPr="00006E66" w:rsidRDefault="24E3C247"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The Constitution of India, 1950, Art. 19(1)(a)</w:t>
      </w:r>
    </w:p>
  </w:footnote>
  <w:footnote w:id="5">
    <w:p w14:paraId="7C641905" w14:textId="43E50016" w:rsidR="00AE01CA" w:rsidRPr="00006E66" w:rsidRDefault="00AE01CA"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650B25" w:rsidRPr="00006E66">
        <w:rPr>
          <w:rFonts w:asciiTheme="majorBidi" w:hAnsiTheme="majorBidi" w:cstheme="majorBidi"/>
        </w:rPr>
        <w:t>Lowel v Griffin, (1939</w:t>
      </w:r>
      <w:r w:rsidR="008B2C78" w:rsidRPr="00006E66">
        <w:rPr>
          <w:rFonts w:asciiTheme="majorBidi" w:hAnsiTheme="majorBidi" w:cstheme="majorBidi"/>
        </w:rPr>
        <w:t>) 303 US 444</w:t>
      </w:r>
    </w:p>
  </w:footnote>
  <w:footnote w:id="6">
    <w:p w14:paraId="6FADACAE" w14:textId="0722A529" w:rsidR="00312D7A" w:rsidRPr="00006E66" w:rsidRDefault="00312D7A"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F81790" w:rsidRPr="00006E66">
        <w:rPr>
          <w:rFonts w:asciiTheme="majorBidi" w:hAnsiTheme="majorBidi" w:cstheme="majorBidi"/>
        </w:rPr>
        <w:t>The Constitution of India, 1950, Art</w:t>
      </w:r>
      <w:r w:rsidR="00B009F5" w:rsidRPr="00006E66">
        <w:rPr>
          <w:rFonts w:asciiTheme="majorBidi" w:hAnsiTheme="majorBidi" w:cstheme="majorBidi"/>
        </w:rPr>
        <w:t>.</w:t>
      </w:r>
      <w:r w:rsidR="00F81790" w:rsidRPr="00006E66">
        <w:rPr>
          <w:rFonts w:asciiTheme="majorBidi" w:hAnsiTheme="majorBidi" w:cstheme="majorBidi"/>
        </w:rPr>
        <w:t xml:space="preserve"> 19(2)</w:t>
      </w:r>
    </w:p>
  </w:footnote>
  <w:footnote w:id="7">
    <w:p w14:paraId="631FB88D" w14:textId="4D2A53F6" w:rsidR="7441BA3B" w:rsidRPr="00006E66" w:rsidRDefault="7441BA3B"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(2015) 2 SCC 716</w:t>
      </w:r>
    </w:p>
  </w:footnote>
  <w:footnote w:id="8">
    <w:p w14:paraId="3104440A" w14:textId="5F09EC6C" w:rsidR="17DE8EE7" w:rsidRPr="00006E66" w:rsidRDefault="17DE8EE7" w:rsidP="00BD5587">
      <w:pPr>
        <w:pStyle w:val="FootnoteText"/>
        <w:ind w:left="142" w:hanging="142"/>
        <w:jc w:val="both"/>
        <w:rPr>
          <w:rFonts w:asciiTheme="majorBidi" w:hAnsiTheme="majorBidi" w:cstheme="majorBidi"/>
          <w:i/>
          <w:iCs/>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Pr="00006E66">
        <w:rPr>
          <w:rFonts w:asciiTheme="majorBidi" w:hAnsiTheme="majorBidi" w:cstheme="majorBidi"/>
          <w:i/>
          <w:iCs/>
        </w:rPr>
        <w:t>Id</w:t>
      </w:r>
      <w:r w:rsidR="004C103B" w:rsidRPr="00006E66">
        <w:rPr>
          <w:rFonts w:asciiTheme="majorBidi" w:hAnsiTheme="majorBidi" w:cstheme="majorBidi"/>
          <w:i/>
          <w:iCs/>
        </w:rPr>
        <w:t>.</w:t>
      </w:r>
      <w:r w:rsidRPr="00006E66">
        <w:rPr>
          <w:rFonts w:asciiTheme="majorBidi" w:hAnsiTheme="majorBidi" w:cstheme="majorBidi"/>
          <w:i/>
          <w:iCs/>
        </w:rPr>
        <w:t>, para 13</w:t>
      </w:r>
    </w:p>
  </w:footnote>
  <w:footnote w:id="9">
    <w:p w14:paraId="1160FDA6" w14:textId="52BB2511" w:rsidR="0082124F" w:rsidRPr="00006E66" w:rsidRDefault="0082124F"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971575" w:rsidRPr="00006E66">
        <w:rPr>
          <w:rFonts w:asciiTheme="majorBidi" w:hAnsiTheme="majorBidi" w:cstheme="majorBidi"/>
        </w:rPr>
        <w:t>D. Dasgupta, P. Roy, “</w:t>
      </w:r>
      <w:r w:rsidR="00385781" w:rsidRPr="00006E66">
        <w:rPr>
          <w:rFonts w:asciiTheme="majorBidi" w:hAnsiTheme="majorBidi" w:cstheme="majorBidi"/>
        </w:rPr>
        <w:t>OTT IN COVID ERA AND BEYOND”</w:t>
      </w:r>
      <w:r w:rsidR="005E1E22" w:rsidRPr="00006E66">
        <w:rPr>
          <w:rFonts w:asciiTheme="majorBidi" w:hAnsiTheme="majorBidi" w:cstheme="majorBidi"/>
        </w:rPr>
        <w:t xml:space="preserve">, 7(1) </w:t>
      </w:r>
      <w:r w:rsidR="003B0CD4" w:rsidRPr="00006E66">
        <w:rPr>
          <w:rFonts w:asciiTheme="majorBidi" w:hAnsiTheme="majorBidi" w:cstheme="majorBidi"/>
          <w:i/>
          <w:iCs/>
        </w:rPr>
        <w:t>Harvest (Online)</w:t>
      </w:r>
      <w:r w:rsidR="001A5227" w:rsidRPr="00006E66">
        <w:rPr>
          <w:rFonts w:asciiTheme="majorBidi" w:hAnsiTheme="majorBidi" w:cstheme="majorBidi"/>
          <w:i/>
          <w:iCs/>
        </w:rPr>
        <w:t>,</w:t>
      </w:r>
      <w:r w:rsidR="003B0CD4" w:rsidRPr="00006E66">
        <w:rPr>
          <w:rFonts w:asciiTheme="majorBidi" w:hAnsiTheme="majorBidi" w:cstheme="majorBidi"/>
          <w:i/>
          <w:iCs/>
        </w:rPr>
        <w:t xml:space="preserve"> Bi-Annua</w:t>
      </w:r>
      <w:r w:rsidR="00FC3D5A" w:rsidRPr="00006E66">
        <w:rPr>
          <w:rFonts w:asciiTheme="majorBidi" w:hAnsiTheme="majorBidi" w:cstheme="majorBidi"/>
          <w:i/>
          <w:iCs/>
        </w:rPr>
        <w:t>l</w:t>
      </w:r>
      <w:r w:rsidR="00F5668A" w:rsidRPr="00006E66">
        <w:rPr>
          <w:rFonts w:asciiTheme="majorBidi" w:hAnsiTheme="majorBidi" w:cstheme="majorBidi"/>
          <w:i/>
          <w:iCs/>
        </w:rPr>
        <w:t xml:space="preserve"> </w:t>
      </w:r>
      <w:r w:rsidR="00F5668A" w:rsidRPr="00006E66">
        <w:rPr>
          <w:rFonts w:asciiTheme="majorBidi" w:hAnsiTheme="majorBidi" w:cstheme="majorBidi"/>
        </w:rPr>
        <w:t>11 (2022</w:t>
      </w:r>
      <w:r w:rsidR="001A5227" w:rsidRPr="00006E66">
        <w:rPr>
          <w:rFonts w:asciiTheme="majorBidi" w:hAnsiTheme="majorBidi" w:cstheme="majorBidi"/>
        </w:rPr>
        <w:t xml:space="preserve">) ; </w:t>
      </w:r>
      <w:r w:rsidR="00C90E0A" w:rsidRPr="00006E66">
        <w:rPr>
          <w:rFonts w:asciiTheme="majorBidi" w:hAnsiTheme="majorBidi" w:cstheme="majorBidi"/>
        </w:rPr>
        <w:t>Srestha S</w:t>
      </w:r>
      <w:r w:rsidR="00A10197" w:rsidRPr="00006E66">
        <w:rPr>
          <w:rFonts w:asciiTheme="majorBidi" w:hAnsiTheme="majorBidi" w:cstheme="majorBidi"/>
        </w:rPr>
        <w:t>arkar, “Stre</w:t>
      </w:r>
      <w:r w:rsidR="00137FB0" w:rsidRPr="00006E66">
        <w:rPr>
          <w:rFonts w:asciiTheme="majorBidi" w:hAnsiTheme="majorBidi" w:cstheme="majorBidi"/>
        </w:rPr>
        <w:t xml:space="preserve">aming Revolution: The Rise of OTT Platforms in India”, </w:t>
      </w:r>
      <w:r w:rsidR="001A7FC9" w:rsidRPr="00006E66">
        <w:rPr>
          <w:rFonts w:asciiTheme="majorBidi" w:hAnsiTheme="majorBidi" w:cstheme="majorBidi"/>
        </w:rPr>
        <w:t xml:space="preserve">11(5) </w:t>
      </w:r>
      <w:r w:rsidR="001A7FC9" w:rsidRPr="00006E66">
        <w:rPr>
          <w:rFonts w:asciiTheme="majorBidi" w:hAnsiTheme="majorBidi" w:cstheme="majorBidi"/>
          <w:i/>
          <w:iCs/>
        </w:rPr>
        <w:t>TIGER</w:t>
      </w:r>
      <w:r w:rsidR="009A7A1B" w:rsidRPr="00006E66">
        <w:rPr>
          <w:rFonts w:asciiTheme="majorBidi" w:hAnsiTheme="majorBidi" w:cstheme="majorBidi"/>
          <w:i/>
          <w:iCs/>
        </w:rPr>
        <w:t>- I</w:t>
      </w:r>
      <w:r w:rsidR="004C103B" w:rsidRPr="00006E66">
        <w:rPr>
          <w:rFonts w:asciiTheme="majorBidi" w:hAnsiTheme="majorBidi" w:cstheme="majorBidi"/>
          <w:i/>
          <w:iCs/>
        </w:rPr>
        <w:t>R</w:t>
      </w:r>
      <w:r w:rsidR="009A7A1B" w:rsidRPr="00006E66">
        <w:rPr>
          <w:rFonts w:asciiTheme="majorBidi" w:hAnsiTheme="majorBidi" w:cstheme="majorBidi"/>
          <w:i/>
          <w:iCs/>
        </w:rPr>
        <w:t>J</w:t>
      </w:r>
      <w:r w:rsidR="00FC3D5A" w:rsidRPr="00006E66">
        <w:rPr>
          <w:rFonts w:asciiTheme="majorBidi" w:hAnsiTheme="majorBidi" w:cstheme="majorBidi"/>
        </w:rPr>
        <w:t xml:space="preserve"> </w:t>
      </w:r>
      <w:r w:rsidR="00BA2F7E" w:rsidRPr="00006E66">
        <w:rPr>
          <w:rFonts w:asciiTheme="majorBidi" w:hAnsiTheme="majorBidi" w:cstheme="majorBidi"/>
        </w:rPr>
        <w:t>269 (2024)</w:t>
      </w:r>
    </w:p>
  </w:footnote>
  <w:footnote w:id="10">
    <w:p w14:paraId="188A6393" w14:textId="104D8AD8" w:rsidR="000F6058" w:rsidRPr="00006E66" w:rsidRDefault="000F6058"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00BD5587">
        <w:rPr>
          <w:rFonts w:asciiTheme="majorBidi" w:hAnsiTheme="majorBidi" w:cstheme="majorBidi"/>
        </w:rPr>
        <w:t xml:space="preserve"> </w:t>
      </w:r>
      <w:r w:rsidR="00AF493C" w:rsidRPr="00006E66">
        <w:rPr>
          <w:rFonts w:asciiTheme="majorBidi" w:hAnsiTheme="majorBidi" w:cstheme="majorBidi"/>
        </w:rPr>
        <w:t>E. Sundaravel, N. Ela</w:t>
      </w:r>
      <w:r w:rsidR="001006DB" w:rsidRPr="00006E66">
        <w:rPr>
          <w:rFonts w:asciiTheme="majorBidi" w:hAnsiTheme="majorBidi" w:cstheme="majorBidi"/>
        </w:rPr>
        <w:t xml:space="preserve">ngovan, “Emergence and Future of Over-The-Top (OTT) </w:t>
      </w:r>
      <w:r w:rsidR="001C2DB3" w:rsidRPr="00006E66">
        <w:rPr>
          <w:rFonts w:asciiTheme="majorBidi" w:hAnsiTheme="majorBidi" w:cstheme="majorBidi"/>
        </w:rPr>
        <w:t xml:space="preserve">Video Services in India: An Analytical Research” 8(2) </w:t>
      </w:r>
      <w:r w:rsidR="00060D2C" w:rsidRPr="00006E66">
        <w:rPr>
          <w:rFonts w:asciiTheme="majorBidi" w:hAnsiTheme="majorBidi" w:cstheme="majorBidi"/>
          <w:i/>
          <w:iCs/>
        </w:rPr>
        <w:t xml:space="preserve"> </w:t>
      </w:r>
      <w:r w:rsidR="004C103B" w:rsidRPr="00006E66">
        <w:rPr>
          <w:rFonts w:asciiTheme="majorBidi" w:hAnsiTheme="majorBidi" w:cstheme="majorBidi"/>
          <w:i/>
          <w:iCs/>
        </w:rPr>
        <w:t>I</w:t>
      </w:r>
      <w:r w:rsidR="00060D2C" w:rsidRPr="00006E66">
        <w:rPr>
          <w:rFonts w:asciiTheme="majorBidi" w:hAnsiTheme="majorBidi" w:cstheme="majorBidi"/>
          <w:i/>
          <w:iCs/>
        </w:rPr>
        <w:t xml:space="preserve">JBMSR </w:t>
      </w:r>
      <w:r w:rsidR="006662D9" w:rsidRPr="00006E66">
        <w:rPr>
          <w:rFonts w:asciiTheme="majorBidi" w:hAnsiTheme="majorBidi" w:cstheme="majorBidi"/>
        </w:rPr>
        <w:t>489 (2020)</w:t>
      </w:r>
      <w:r w:rsidR="00E90F6F" w:rsidRPr="00006E66">
        <w:rPr>
          <w:rFonts w:asciiTheme="majorBidi" w:hAnsiTheme="majorBidi" w:cstheme="majorBidi"/>
        </w:rPr>
        <w:t xml:space="preserve">; </w:t>
      </w:r>
      <w:r w:rsidR="00BE0F0B" w:rsidRPr="00006E66">
        <w:rPr>
          <w:rFonts w:asciiTheme="majorBidi" w:hAnsiTheme="majorBidi" w:cstheme="majorBidi"/>
          <w:i/>
          <w:iCs/>
        </w:rPr>
        <w:t xml:space="preserve">Supra </w:t>
      </w:r>
      <w:r w:rsidR="005E7786" w:rsidRPr="00006E66">
        <w:rPr>
          <w:rFonts w:asciiTheme="majorBidi" w:hAnsiTheme="majorBidi" w:cstheme="majorBidi"/>
        </w:rPr>
        <w:t xml:space="preserve">note </w:t>
      </w:r>
      <w:r w:rsidR="006E1F3A" w:rsidRPr="00006E66">
        <w:rPr>
          <w:rFonts w:asciiTheme="majorBidi" w:hAnsiTheme="majorBidi" w:cstheme="majorBidi"/>
        </w:rPr>
        <w:t xml:space="preserve">3 </w:t>
      </w:r>
    </w:p>
  </w:footnote>
  <w:footnote w:id="11">
    <w:p w14:paraId="77B8675C" w14:textId="3B21A078" w:rsidR="00AC33F5" w:rsidRPr="00006E66" w:rsidRDefault="00AC33F5"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DE743D" w:rsidRPr="00006E66">
        <w:rPr>
          <w:rFonts w:asciiTheme="majorBidi" w:hAnsiTheme="majorBidi" w:cstheme="majorBidi"/>
        </w:rPr>
        <w:t>Sephali</w:t>
      </w:r>
      <w:r w:rsidR="00EE0368" w:rsidRPr="00006E66">
        <w:rPr>
          <w:rFonts w:asciiTheme="majorBidi" w:hAnsiTheme="majorBidi" w:cstheme="majorBidi"/>
        </w:rPr>
        <w:t xml:space="preserve"> Svati, “Classification of Content</w:t>
      </w:r>
      <w:r w:rsidR="00987633" w:rsidRPr="00006E66">
        <w:rPr>
          <w:rFonts w:asciiTheme="majorBidi" w:hAnsiTheme="majorBidi" w:cstheme="majorBidi"/>
        </w:rPr>
        <w:t xml:space="preserve">, Content Regulation </w:t>
      </w:r>
      <w:r w:rsidR="004459DB" w:rsidRPr="00006E66">
        <w:rPr>
          <w:rFonts w:asciiTheme="majorBidi" w:hAnsiTheme="majorBidi" w:cstheme="majorBidi"/>
        </w:rPr>
        <w:t>and</w:t>
      </w:r>
      <w:r w:rsidR="00D856FC" w:rsidRPr="00006E66">
        <w:rPr>
          <w:rFonts w:asciiTheme="majorBidi" w:hAnsiTheme="majorBidi" w:cstheme="majorBidi"/>
        </w:rPr>
        <w:t xml:space="preserve"> Ethics – OTT Platforms</w:t>
      </w:r>
      <w:r w:rsidR="008D621D" w:rsidRPr="00006E66">
        <w:rPr>
          <w:rFonts w:asciiTheme="majorBidi" w:hAnsiTheme="majorBidi" w:cstheme="majorBidi"/>
        </w:rPr>
        <w:t xml:space="preserve"> in India”,3(4),</w:t>
      </w:r>
      <w:r w:rsidR="006C7D6D" w:rsidRPr="00006E66">
        <w:rPr>
          <w:rFonts w:asciiTheme="majorBidi" w:hAnsiTheme="majorBidi" w:cstheme="majorBidi"/>
        </w:rPr>
        <w:t xml:space="preserve"> </w:t>
      </w:r>
      <w:r w:rsidR="006C7D6D" w:rsidRPr="00006E66">
        <w:rPr>
          <w:rFonts w:asciiTheme="majorBidi" w:hAnsiTheme="majorBidi" w:cstheme="majorBidi"/>
          <w:i/>
          <w:iCs/>
        </w:rPr>
        <w:t>IJLSI</w:t>
      </w:r>
      <w:r w:rsidR="002B032D" w:rsidRPr="00006E66">
        <w:rPr>
          <w:rFonts w:asciiTheme="majorBidi" w:hAnsiTheme="majorBidi" w:cstheme="majorBidi"/>
          <w:i/>
          <w:iCs/>
        </w:rPr>
        <w:t xml:space="preserve"> </w:t>
      </w:r>
      <w:r w:rsidR="00F740F2" w:rsidRPr="00006E66">
        <w:rPr>
          <w:rFonts w:asciiTheme="majorBidi" w:hAnsiTheme="majorBidi" w:cstheme="majorBidi"/>
        </w:rPr>
        <w:t>514 (</w:t>
      </w:r>
      <w:r w:rsidR="00AA58C1" w:rsidRPr="00006E66">
        <w:rPr>
          <w:rFonts w:asciiTheme="majorBidi" w:hAnsiTheme="majorBidi" w:cstheme="majorBidi"/>
        </w:rPr>
        <w:t>2021)</w:t>
      </w:r>
      <w:r w:rsidR="000372E9" w:rsidRPr="00006E66">
        <w:rPr>
          <w:rFonts w:asciiTheme="majorBidi" w:hAnsiTheme="majorBidi" w:cstheme="majorBidi"/>
        </w:rPr>
        <w:t xml:space="preserve">; Dr. G. Singhal, Dr. A.K. Bhatia, </w:t>
      </w:r>
      <w:r w:rsidR="007D73FE" w:rsidRPr="00006E66">
        <w:rPr>
          <w:rFonts w:asciiTheme="majorBidi" w:hAnsiTheme="majorBidi" w:cstheme="majorBidi"/>
        </w:rPr>
        <w:t>Mr. S. Kumar, “Psychological Impact of Over-The-Top (OTT) Content Consumption: An Experimental Research Analysis”</w:t>
      </w:r>
      <w:r w:rsidR="00804C91" w:rsidRPr="00006E66">
        <w:rPr>
          <w:rFonts w:asciiTheme="majorBidi" w:hAnsiTheme="majorBidi" w:cstheme="majorBidi"/>
        </w:rPr>
        <w:t xml:space="preserve">,44(3) </w:t>
      </w:r>
      <w:r w:rsidR="000D042E" w:rsidRPr="00006E66">
        <w:rPr>
          <w:rFonts w:asciiTheme="majorBidi" w:hAnsiTheme="majorBidi" w:cstheme="majorBidi"/>
          <w:i/>
          <w:iCs/>
        </w:rPr>
        <w:t>LPI</w:t>
      </w:r>
      <w:r w:rsidR="004C103B" w:rsidRPr="00006E66">
        <w:rPr>
          <w:rFonts w:asciiTheme="majorBidi" w:hAnsiTheme="majorBidi" w:cstheme="majorBidi"/>
          <w:i/>
          <w:iCs/>
        </w:rPr>
        <w:t xml:space="preserve"> </w:t>
      </w:r>
      <w:r w:rsidR="00380014" w:rsidRPr="00006E66">
        <w:rPr>
          <w:rFonts w:asciiTheme="majorBidi" w:hAnsiTheme="majorBidi" w:cstheme="majorBidi"/>
        </w:rPr>
        <w:t>14008</w:t>
      </w:r>
      <w:r w:rsidR="00287A3C" w:rsidRPr="00006E66">
        <w:rPr>
          <w:rFonts w:asciiTheme="majorBidi" w:hAnsiTheme="majorBidi" w:cstheme="majorBidi"/>
        </w:rPr>
        <w:t xml:space="preserve"> (2024)</w:t>
      </w:r>
    </w:p>
  </w:footnote>
  <w:footnote w:id="12">
    <w:p w14:paraId="28509A3F" w14:textId="49404BC3" w:rsidR="00F20DF1" w:rsidRPr="00006E66" w:rsidRDefault="00F20DF1"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BA5959" w:rsidRPr="00006E66">
        <w:rPr>
          <w:rFonts w:asciiTheme="majorBidi" w:hAnsiTheme="majorBidi" w:cstheme="majorBidi"/>
        </w:rPr>
        <w:t>Sangeeta Gupta v. Union of India</w:t>
      </w:r>
      <w:r w:rsidR="001B7D85" w:rsidRPr="00006E66">
        <w:rPr>
          <w:rFonts w:asciiTheme="majorBidi" w:hAnsiTheme="majorBidi" w:cstheme="majorBidi"/>
        </w:rPr>
        <w:t>, PIL No. 743 of 2020</w:t>
      </w:r>
      <w:r w:rsidR="006F7E59" w:rsidRPr="00006E66">
        <w:rPr>
          <w:rFonts w:asciiTheme="majorBidi" w:hAnsiTheme="majorBidi" w:cstheme="majorBidi"/>
        </w:rPr>
        <w:t xml:space="preserve"> </w:t>
      </w:r>
      <w:r w:rsidR="0020786B" w:rsidRPr="00006E66">
        <w:rPr>
          <w:rFonts w:asciiTheme="majorBidi" w:hAnsiTheme="majorBidi" w:cstheme="majorBidi"/>
        </w:rPr>
        <w:t>A</w:t>
      </w:r>
      <w:r w:rsidR="004C103B" w:rsidRPr="00006E66">
        <w:rPr>
          <w:rFonts w:asciiTheme="majorBidi" w:hAnsiTheme="majorBidi" w:cstheme="majorBidi"/>
        </w:rPr>
        <w:t>llHC</w:t>
      </w:r>
    </w:p>
  </w:footnote>
  <w:footnote w:id="13">
    <w:p w14:paraId="76905194" w14:textId="4F0E3F8E" w:rsidR="002C001F" w:rsidRPr="00006E66" w:rsidRDefault="002C001F"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442F38" w:rsidRPr="00006E66">
        <w:rPr>
          <w:rFonts w:asciiTheme="majorBidi" w:hAnsiTheme="majorBidi" w:cstheme="majorBidi"/>
        </w:rPr>
        <w:t>(2021) 5 SCC 1</w:t>
      </w:r>
    </w:p>
  </w:footnote>
  <w:footnote w:id="14">
    <w:p w14:paraId="63401D8F" w14:textId="41ED45C8" w:rsidR="00F84C98" w:rsidRPr="00006E66" w:rsidRDefault="00F84C98"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8C3FCF" w:rsidRPr="00006E66">
        <w:rPr>
          <w:rFonts w:asciiTheme="majorBidi" w:hAnsiTheme="majorBidi" w:cstheme="majorBidi"/>
          <w:i/>
          <w:iCs/>
        </w:rPr>
        <w:t xml:space="preserve">Supra </w:t>
      </w:r>
      <w:r w:rsidR="008C3FCF" w:rsidRPr="00006E66">
        <w:rPr>
          <w:rFonts w:asciiTheme="majorBidi" w:hAnsiTheme="majorBidi" w:cstheme="majorBidi"/>
        </w:rPr>
        <w:t xml:space="preserve">Note 3 </w:t>
      </w:r>
      <w:r w:rsidR="005A4564" w:rsidRPr="00006E66">
        <w:rPr>
          <w:rFonts w:asciiTheme="majorBidi" w:hAnsiTheme="majorBidi" w:cstheme="majorBidi"/>
        </w:rPr>
        <w:t>at 21</w:t>
      </w:r>
    </w:p>
  </w:footnote>
  <w:footnote w:id="15">
    <w:p w14:paraId="6E2CF744" w14:textId="5D0103DA" w:rsidR="00596187" w:rsidRPr="00006E66" w:rsidRDefault="00596187"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9B1E1A" w:rsidRPr="00006E66">
        <w:rPr>
          <w:rFonts w:asciiTheme="majorBidi" w:hAnsiTheme="majorBidi" w:cstheme="majorBidi"/>
        </w:rPr>
        <w:t xml:space="preserve">Vishu D. Sharma, F. Woolridge, “The Law Relating to Obscene Publications in India” </w:t>
      </w:r>
      <w:r w:rsidR="001B5E05" w:rsidRPr="00006E66">
        <w:rPr>
          <w:rFonts w:asciiTheme="majorBidi" w:hAnsiTheme="majorBidi" w:cstheme="majorBidi"/>
        </w:rPr>
        <w:t>22</w:t>
      </w:r>
      <w:r w:rsidR="00DF6327" w:rsidRPr="00006E66">
        <w:rPr>
          <w:rFonts w:asciiTheme="majorBidi" w:hAnsiTheme="majorBidi" w:cstheme="majorBidi"/>
        </w:rPr>
        <w:t xml:space="preserve">(4) </w:t>
      </w:r>
      <w:r w:rsidR="004C103B" w:rsidRPr="00006E66">
        <w:rPr>
          <w:rFonts w:asciiTheme="majorBidi" w:hAnsiTheme="majorBidi" w:cstheme="majorBidi"/>
          <w:i/>
          <w:iCs/>
        </w:rPr>
        <w:t>I</w:t>
      </w:r>
      <w:r w:rsidR="00DF6327" w:rsidRPr="00006E66">
        <w:rPr>
          <w:rFonts w:asciiTheme="majorBidi" w:hAnsiTheme="majorBidi" w:cstheme="majorBidi"/>
          <w:i/>
          <w:iCs/>
        </w:rPr>
        <w:t>CLQ</w:t>
      </w:r>
      <w:r w:rsidR="00CA54E7" w:rsidRPr="00006E66">
        <w:rPr>
          <w:rFonts w:asciiTheme="majorBidi" w:hAnsiTheme="majorBidi" w:cstheme="majorBidi"/>
        </w:rPr>
        <w:t xml:space="preserve"> 634, </w:t>
      </w:r>
      <w:r w:rsidR="004C103B" w:rsidRPr="00006E66">
        <w:rPr>
          <w:rFonts w:asciiTheme="majorBidi" w:hAnsiTheme="majorBidi" w:cstheme="majorBidi"/>
        </w:rPr>
        <w:t>(</w:t>
      </w:r>
      <w:r w:rsidR="00063331" w:rsidRPr="00006E66">
        <w:rPr>
          <w:rFonts w:asciiTheme="majorBidi" w:hAnsiTheme="majorBidi" w:cstheme="majorBidi"/>
        </w:rPr>
        <w:t>1973</w:t>
      </w:r>
      <w:r w:rsidR="004C103B" w:rsidRPr="00006E66">
        <w:rPr>
          <w:rFonts w:asciiTheme="majorBidi" w:hAnsiTheme="majorBidi" w:cstheme="majorBidi"/>
        </w:rPr>
        <w:t>)</w:t>
      </w:r>
    </w:p>
  </w:footnote>
  <w:footnote w:id="16">
    <w:p w14:paraId="23F7C4C2" w14:textId="61795842" w:rsidR="7856224C" w:rsidRPr="00006E66" w:rsidRDefault="7856224C"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(1868) LR 3 QB 360 (UK)</w:t>
      </w:r>
    </w:p>
  </w:footnote>
  <w:footnote w:id="17">
    <w:p w14:paraId="0AB12E81" w14:textId="292C277C" w:rsidR="0E24B3BD" w:rsidRPr="00006E66" w:rsidRDefault="0E24B3BD" w:rsidP="00BD5587">
      <w:pPr>
        <w:pStyle w:val="FootnoteText"/>
        <w:ind w:left="142" w:hanging="142"/>
        <w:jc w:val="both"/>
        <w:rPr>
          <w:rFonts w:asciiTheme="majorBidi" w:eastAsia="Calibr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(2014) 4 SCC 257</w:t>
      </w:r>
    </w:p>
  </w:footnote>
  <w:footnote w:id="18">
    <w:p w14:paraId="5BE59283" w14:textId="7EF4C33F" w:rsidR="0E24B3BD" w:rsidRPr="00006E66" w:rsidRDefault="0E24B3BD" w:rsidP="00BD5587">
      <w:pPr>
        <w:pStyle w:val="FootnoteText"/>
        <w:ind w:left="142" w:hanging="142"/>
        <w:jc w:val="both"/>
        <w:rPr>
          <w:rFonts w:asciiTheme="majorBidi" w:eastAsia="Times New Roman" w:hAnsiTheme="majorBidi" w:cstheme="majorBidi"/>
        </w:rPr>
      </w:pPr>
      <w:r w:rsidRPr="00006E66">
        <w:rPr>
          <w:rStyle w:val="FootnoteReference"/>
          <w:rFonts w:asciiTheme="majorBidi" w:eastAsia="Times New Roman" w:hAnsiTheme="majorBidi" w:cstheme="majorBidi"/>
        </w:rPr>
        <w:footnoteRef/>
      </w:r>
      <w:r w:rsidRPr="00006E66">
        <w:rPr>
          <w:rFonts w:asciiTheme="majorBidi" w:eastAsia="Times New Roman" w:hAnsiTheme="majorBidi" w:cstheme="majorBidi"/>
        </w:rPr>
        <w:t xml:space="preserve"> </w:t>
      </w:r>
      <w:r w:rsidRPr="00006E66">
        <w:rPr>
          <w:rFonts w:asciiTheme="majorBidi" w:eastAsia="Times New Roman" w:hAnsiTheme="majorBidi" w:cstheme="majorBidi"/>
          <w:i/>
          <w:iCs/>
        </w:rPr>
        <w:t xml:space="preserve">Id., </w:t>
      </w:r>
      <w:r w:rsidRPr="00006E66">
        <w:rPr>
          <w:rFonts w:asciiTheme="majorBidi" w:eastAsia="Times New Roman" w:hAnsiTheme="majorBidi" w:cstheme="majorBidi"/>
        </w:rPr>
        <w:t>para. 24</w:t>
      </w:r>
    </w:p>
  </w:footnote>
  <w:footnote w:id="19">
    <w:p w14:paraId="09A57154" w14:textId="5A6017D6" w:rsidR="7856224C" w:rsidRPr="00006E66" w:rsidRDefault="7856224C" w:rsidP="00BD5587">
      <w:pPr>
        <w:pStyle w:val="FootnoteText"/>
        <w:ind w:left="142" w:hanging="142"/>
        <w:jc w:val="both"/>
        <w:rPr>
          <w:rFonts w:asciiTheme="majorBidi" w:eastAsia="Times New Roman" w:hAnsiTheme="majorBidi" w:cstheme="majorBidi"/>
        </w:rPr>
      </w:pPr>
      <w:r w:rsidRPr="00006E66">
        <w:rPr>
          <w:rStyle w:val="FootnoteReference"/>
          <w:rFonts w:asciiTheme="majorBidi" w:eastAsia="Times New Roman" w:hAnsiTheme="majorBidi" w:cstheme="majorBidi"/>
        </w:rPr>
        <w:footnoteRef/>
      </w:r>
      <w:r w:rsidRPr="00006E66">
        <w:rPr>
          <w:rFonts w:asciiTheme="majorBidi" w:eastAsia="Times New Roman" w:hAnsiTheme="majorBidi" w:cstheme="majorBidi"/>
        </w:rPr>
        <w:t xml:space="preserve"> Bharatiya Nyaya Sanhita (</w:t>
      </w:r>
      <w:r w:rsidR="00006E66" w:rsidRPr="00006E66">
        <w:rPr>
          <w:rFonts w:asciiTheme="majorBidi" w:eastAsia="Times New Roman" w:hAnsiTheme="majorBidi" w:cstheme="majorBidi"/>
        </w:rPr>
        <w:t>Act</w:t>
      </w:r>
      <w:r w:rsidRPr="00006E66">
        <w:rPr>
          <w:rFonts w:asciiTheme="majorBidi" w:eastAsia="Times New Roman" w:hAnsiTheme="majorBidi" w:cstheme="majorBidi"/>
        </w:rPr>
        <w:t xml:space="preserve"> N</w:t>
      </w:r>
      <w:r w:rsidR="00006E66" w:rsidRPr="00006E66">
        <w:rPr>
          <w:rFonts w:asciiTheme="majorBidi" w:eastAsia="Times New Roman" w:hAnsiTheme="majorBidi" w:cstheme="majorBidi"/>
        </w:rPr>
        <w:t>o</w:t>
      </w:r>
      <w:r w:rsidRPr="00006E66">
        <w:rPr>
          <w:rFonts w:asciiTheme="majorBidi" w:eastAsia="Times New Roman" w:hAnsiTheme="majorBidi" w:cstheme="majorBidi"/>
        </w:rPr>
        <w:t>. 45 OF 2023) Ss. 354</w:t>
      </w:r>
    </w:p>
  </w:footnote>
  <w:footnote w:id="20">
    <w:p w14:paraId="5963F245" w14:textId="2B1F3DAE" w:rsidR="7856224C" w:rsidRPr="00006E66" w:rsidRDefault="7856224C" w:rsidP="00BD5587">
      <w:pPr>
        <w:pStyle w:val="FootnoteText"/>
        <w:ind w:left="142" w:hanging="142"/>
        <w:jc w:val="both"/>
        <w:rPr>
          <w:rFonts w:asciiTheme="majorBidi" w:hAnsiTheme="majorBidi" w:cstheme="majorBidi"/>
          <w:i/>
          <w:iCs/>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Pr="00006E66">
        <w:rPr>
          <w:rFonts w:asciiTheme="majorBidi" w:hAnsiTheme="majorBidi" w:cstheme="majorBidi"/>
          <w:i/>
          <w:iCs/>
        </w:rPr>
        <w:t xml:space="preserve">Id., </w:t>
      </w:r>
      <w:r w:rsidRPr="00006E66">
        <w:rPr>
          <w:rFonts w:asciiTheme="majorBidi" w:hAnsiTheme="majorBidi" w:cstheme="majorBidi"/>
        </w:rPr>
        <w:t xml:space="preserve">S. 294 </w:t>
      </w:r>
      <w:r w:rsidRPr="00006E66">
        <w:rPr>
          <w:rFonts w:asciiTheme="majorBidi" w:hAnsiTheme="majorBidi" w:cstheme="majorBidi"/>
          <w:i/>
          <w:iCs/>
        </w:rPr>
        <w:t xml:space="preserve">Explanation </w:t>
      </w:r>
    </w:p>
  </w:footnote>
  <w:footnote w:id="21">
    <w:p w14:paraId="75C8AE5A" w14:textId="3FF2F8C2" w:rsidR="541CDDC2" w:rsidRPr="00006E66" w:rsidRDefault="541CDDC2" w:rsidP="00BD5587">
      <w:pPr>
        <w:pStyle w:val="FootnoteText"/>
        <w:ind w:left="142" w:hanging="142"/>
        <w:jc w:val="both"/>
        <w:rPr>
          <w:rFonts w:asciiTheme="majorBidi" w:eastAsia="Times New Roman" w:hAnsiTheme="majorBidi" w:cstheme="majorBidi"/>
        </w:rPr>
      </w:pPr>
      <w:r w:rsidRPr="00006E66">
        <w:rPr>
          <w:rStyle w:val="FootnoteReference"/>
          <w:rFonts w:asciiTheme="majorBidi" w:eastAsia="Times New Roman" w:hAnsiTheme="majorBidi" w:cstheme="majorBidi"/>
        </w:rPr>
        <w:footnoteRef/>
      </w:r>
      <w:r w:rsidR="67BC9070" w:rsidRPr="00006E66">
        <w:rPr>
          <w:rFonts w:asciiTheme="majorBidi" w:eastAsia="Times New Roman" w:hAnsiTheme="majorBidi" w:cstheme="majorBidi"/>
        </w:rPr>
        <w:t xml:space="preserve"> The Indecent Representation of Women (Prohibition) Act, 1986 (Act No. 60 of 1986), S. 3</w:t>
      </w:r>
    </w:p>
  </w:footnote>
  <w:footnote w:id="22">
    <w:p w14:paraId="3EB11069" w14:textId="1D6E1A81" w:rsidR="00976B06" w:rsidRPr="00006E66" w:rsidRDefault="00976B06"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1F69F9" w:rsidRPr="00006E66">
        <w:rPr>
          <w:rFonts w:asciiTheme="majorBidi" w:hAnsiTheme="majorBidi" w:cstheme="majorBidi"/>
        </w:rPr>
        <w:t>Cinematography Act, 1952.</w:t>
      </w:r>
    </w:p>
  </w:footnote>
  <w:footnote w:id="23">
    <w:p w14:paraId="0112B2F9" w14:textId="0576AD10" w:rsidR="001F69F9" w:rsidRPr="00006E66" w:rsidRDefault="001F69F9"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E71FBC" w:rsidRPr="00006E66">
        <w:rPr>
          <w:rFonts w:asciiTheme="majorBidi" w:hAnsiTheme="majorBidi" w:cstheme="majorBidi"/>
        </w:rPr>
        <w:t>Cable Television Networks (Regulation) Act</w:t>
      </w:r>
      <w:r w:rsidR="001F728E" w:rsidRPr="00006E66">
        <w:rPr>
          <w:rFonts w:asciiTheme="majorBidi" w:hAnsiTheme="majorBidi" w:cstheme="majorBidi"/>
        </w:rPr>
        <w:t>, 1995; Prasar Bharti Act, 1990.</w:t>
      </w:r>
    </w:p>
  </w:footnote>
  <w:footnote w:id="24">
    <w:p w14:paraId="1BAF9CEC" w14:textId="67AB3C18" w:rsidR="009736AB" w:rsidRPr="00006E66" w:rsidRDefault="009736AB"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w:t>
      </w:r>
      <w:r w:rsidR="002F5ED0" w:rsidRPr="00006E66">
        <w:rPr>
          <w:rFonts w:asciiTheme="majorBidi" w:hAnsiTheme="majorBidi" w:cstheme="majorBidi"/>
        </w:rPr>
        <w:t>M. Pradhan, G. Satti, “</w:t>
      </w:r>
      <w:r w:rsidR="00B14666" w:rsidRPr="00006E66">
        <w:rPr>
          <w:rFonts w:asciiTheme="majorBidi" w:hAnsiTheme="majorBidi" w:cstheme="majorBidi"/>
        </w:rPr>
        <w:t>Regulation of OTT Platform in India: Concu</w:t>
      </w:r>
      <w:r w:rsidR="00550DCF" w:rsidRPr="00006E66">
        <w:rPr>
          <w:rFonts w:asciiTheme="majorBidi" w:hAnsiTheme="majorBidi" w:cstheme="majorBidi"/>
        </w:rPr>
        <w:t xml:space="preserve">rrences and Contrast”, </w:t>
      </w:r>
      <w:r w:rsidR="00F96E67" w:rsidRPr="00006E66">
        <w:rPr>
          <w:rFonts w:asciiTheme="majorBidi" w:hAnsiTheme="majorBidi" w:cstheme="majorBidi"/>
        </w:rPr>
        <w:t>1</w:t>
      </w:r>
      <w:r w:rsidR="00550DCF" w:rsidRPr="00006E66">
        <w:rPr>
          <w:rFonts w:asciiTheme="majorBidi" w:hAnsiTheme="majorBidi" w:cstheme="majorBidi"/>
        </w:rPr>
        <w:t xml:space="preserve"> </w:t>
      </w:r>
      <w:r w:rsidR="00FE2CA6" w:rsidRPr="00006E66">
        <w:rPr>
          <w:rFonts w:asciiTheme="majorBidi" w:hAnsiTheme="majorBidi" w:cstheme="majorBidi"/>
          <w:i/>
          <w:iCs/>
        </w:rPr>
        <w:t>IJLPA</w:t>
      </w:r>
      <w:r w:rsidR="00A91C62" w:rsidRPr="00006E66">
        <w:rPr>
          <w:rFonts w:asciiTheme="majorBidi" w:hAnsiTheme="majorBidi" w:cstheme="majorBidi"/>
        </w:rPr>
        <w:t xml:space="preserve"> </w:t>
      </w:r>
      <w:r w:rsidR="001D0B65" w:rsidRPr="00006E66">
        <w:rPr>
          <w:rFonts w:asciiTheme="majorBidi" w:hAnsiTheme="majorBidi" w:cstheme="majorBidi"/>
        </w:rPr>
        <w:t>734 (2020)</w:t>
      </w:r>
    </w:p>
  </w:footnote>
  <w:footnote w:id="25">
    <w:p w14:paraId="25FAB1A4" w14:textId="214D9B17" w:rsidR="0E24B3BD" w:rsidRPr="00006E66" w:rsidRDefault="0E24B3BD" w:rsidP="00BD5587">
      <w:pPr>
        <w:pStyle w:val="FootnoteText"/>
        <w:ind w:left="142" w:hanging="142"/>
        <w:jc w:val="both"/>
        <w:rPr>
          <w:rFonts w:asciiTheme="majorBidi" w:hAnsiTheme="majorBidi" w:cstheme="majorBidi"/>
        </w:rPr>
      </w:pPr>
      <w:r w:rsidRPr="00006E66">
        <w:rPr>
          <w:rStyle w:val="FootnoteReference"/>
          <w:rFonts w:asciiTheme="majorBidi" w:hAnsiTheme="majorBidi" w:cstheme="majorBidi"/>
        </w:rPr>
        <w:footnoteRef/>
      </w:r>
      <w:r w:rsidRPr="00006E66">
        <w:rPr>
          <w:rFonts w:asciiTheme="majorBidi" w:hAnsiTheme="majorBidi" w:cstheme="majorBidi"/>
        </w:rPr>
        <w:t xml:space="preserve"> Public Exhibition Definition,</w:t>
      </w:r>
      <w:r w:rsidRPr="00006E66">
        <w:rPr>
          <w:rFonts w:asciiTheme="majorBidi" w:hAnsiTheme="majorBidi" w:cstheme="majorBidi"/>
          <w:i/>
          <w:iCs/>
        </w:rPr>
        <w:t xml:space="preserve"> Law Insider Dictionary, </w:t>
      </w:r>
      <w:r w:rsidRPr="00006E66">
        <w:rPr>
          <w:rFonts w:asciiTheme="majorBidi" w:hAnsiTheme="majorBidi" w:cstheme="majorBidi"/>
        </w:rPr>
        <w:t xml:space="preserve">available at </w:t>
      </w:r>
      <w:hyperlink r:id="rId1" w:anchor=":~:text=Public%20exhibition%20means%20any%20exhibition%2C%20perfor-%20mance%20or,an%20admission%20price%2C%20fee%20or%20other%20valuable%20consideration.">
        <w:r w:rsidRPr="00006E66">
          <w:rPr>
            <w:rStyle w:val="Hyperlink"/>
            <w:rFonts w:asciiTheme="majorBidi" w:hAnsiTheme="majorBidi" w:cstheme="majorBidi"/>
          </w:rPr>
          <w:t>Public exhibition Definition | Law Insider</w:t>
        </w:r>
      </w:hyperlink>
      <w:r w:rsidRPr="00006E66">
        <w:rPr>
          <w:rFonts w:asciiTheme="majorBidi" w:hAnsiTheme="majorBidi" w:cstheme="majorBidi"/>
        </w:rPr>
        <w:t xml:space="preserve"> (21</w:t>
      </w:r>
      <w:r w:rsidRPr="00006E66">
        <w:rPr>
          <w:rFonts w:asciiTheme="majorBidi" w:hAnsiTheme="majorBidi" w:cstheme="majorBidi"/>
          <w:vertAlign w:val="superscript"/>
        </w:rPr>
        <w:t>st</w:t>
      </w:r>
      <w:r w:rsidRPr="00006E66">
        <w:rPr>
          <w:rFonts w:asciiTheme="majorBidi" w:hAnsiTheme="majorBidi" w:cstheme="majorBidi"/>
        </w:rPr>
        <w:t xml:space="preserve"> June,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E24B3BD" w14:paraId="201761EE" w14:textId="77777777" w:rsidTr="0E24B3BD">
      <w:trPr>
        <w:trHeight w:val="300"/>
      </w:trPr>
      <w:tc>
        <w:tcPr>
          <w:tcW w:w="3120" w:type="dxa"/>
        </w:tcPr>
        <w:p w14:paraId="1AD25B80" w14:textId="619BEAB6" w:rsidR="0E24B3BD" w:rsidRDefault="0E24B3BD" w:rsidP="009E2454">
          <w:pPr>
            <w:pStyle w:val="Header"/>
          </w:pPr>
        </w:p>
      </w:tc>
      <w:tc>
        <w:tcPr>
          <w:tcW w:w="3120" w:type="dxa"/>
        </w:tcPr>
        <w:p w14:paraId="08E57AA2" w14:textId="6352B4A4" w:rsidR="0E24B3BD" w:rsidRDefault="0E24B3BD" w:rsidP="0E24B3BD">
          <w:pPr>
            <w:pStyle w:val="Header"/>
            <w:jc w:val="center"/>
          </w:pPr>
        </w:p>
      </w:tc>
      <w:tc>
        <w:tcPr>
          <w:tcW w:w="3120" w:type="dxa"/>
        </w:tcPr>
        <w:p w14:paraId="7B3A8ABA" w14:textId="3DF53607" w:rsidR="0E24B3BD" w:rsidRDefault="0E24B3BD" w:rsidP="0E24B3BD">
          <w:pPr>
            <w:pStyle w:val="Header"/>
            <w:ind w:right="-115"/>
            <w:jc w:val="right"/>
          </w:pPr>
        </w:p>
      </w:tc>
    </w:tr>
  </w:tbl>
  <w:p w14:paraId="47F93D78" w14:textId="10222252" w:rsidR="0E24B3BD" w:rsidRDefault="0E24B3BD" w:rsidP="0E24B3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E24B3BD" w14:paraId="2C30776F" w14:textId="77777777" w:rsidTr="0E24B3BD">
      <w:trPr>
        <w:trHeight w:val="300"/>
      </w:trPr>
      <w:tc>
        <w:tcPr>
          <w:tcW w:w="3120" w:type="dxa"/>
        </w:tcPr>
        <w:p w14:paraId="1FEF161B" w14:textId="00184B68" w:rsidR="0E24B3BD" w:rsidRDefault="0E24B3BD" w:rsidP="0E24B3BD">
          <w:pPr>
            <w:pStyle w:val="Header"/>
            <w:ind w:left="-115"/>
          </w:pPr>
        </w:p>
      </w:tc>
      <w:tc>
        <w:tcPr>
          <w:tcW w:w="3120" w:type="dxa"/>
        </w:tcPr>
        <w:p w14:paraId="369105DD" w14:textId="49B34ABB" w:rsidR="0E24B3BD" w:rsidRDefault="0E24B3BD" w:rsidP="0E24B3BD">
          <w:pPr>
            <w:pStyle w:val="Header"/>
            <w:jc w:val="center"/>
          </w:pPr>
        </w:p>
      </w:tc>
      <w:tc>
        <w:tcPr>
          <w:tcW w:w="3120" w:type="dxa"/>
        </w:tcPr>
        <w:p w14:paraId="66470699" w14:textId="0B5EB81E" w:rsidR="0E24B3BD" w:rsidRDefault="0E24B3BD" w:rsidP="0E24B3BD">
          <w:pPr>
            <w:pStyle w:val="Header"/>
            <w:ind w:right="-115"/>
            <w:jc w:val="right"/>
          </w:pPr>
        </w:p>
      </w:tc>
    </w:tr>
  </w:tbl>
  <w:p w14:paraId="0B7D817D" w14:textId="0BC4757D" w:rsidR="0E24B3BD" w:rsidRDefault="0E24B3BD" w:rsidP="0E24B3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DCA4C"/>
    <w:multiLevelType w:val="hybridMultilevel"/>
    <w:tmpl w:val="772EBC08"/>
    <w:lvl w:ilvl="0" w:tplc="18FA86C6">
      <w:start w:val="1"/>
      <w:numFmt w:val="bullet"/>
      <w:lvlText w:val=""/>
      <w:lvlJc w:val="left"/>
      <w:pPr>
        <w:ind w:left="1080" w:hanging="360"/>
      </w:pPr>
      <w:rPr>
        <w:rFonts w:ascii="Symbol" w:hAnsi="Symbol" w:hint="default"/>
      </w:rPr>
    </w:lvl>
    <w:lvl w:ilvl="1" w:tplc="C1242CD0">
      <w:start w:val="1"/>
      <w:numFmt w:val="bullet"/>
      <w:lvlText w:val="o"/>
      <w:lvlJc w:val="left"/>
      <w:pPr>
        <w:ind w:left="1800" w:hanging="360"/>
      </w:pPr>
      <w:rPr>
        <w:rFonts w:ascii="Courier New" w:hAnsi="Courier New" w:hint="default"/>
      </w:rPr>
    </w:lvl>
    <w:lvl w:ilvl="2" w:tplc="97C62A16">
      <w:start w:val="1"/>
      <w:numFmt w:val="bullet"/>
      <w:lvlText w:val=""/>
      <w:lvlJc w:val="left"/>
      <w:pPr>
        <w:ind w:left="2520" w:hanging="360"/>
      </w:pPr>
      <w:rPr>
        <w:rFonts w:ascii="Wingdings" w:hAnsi="Wingdings" w:hint="default"/>
      </w:rPr>
    </w:lvl>
    <w:lvl w:ilvl="3" w:tplc="DD849D26">
      <w:start w:val="1"/>
      <w:numFmt w:val="bullet"/>
      <w:lvlText w:val=""/>
      <w:lvlJc w:val="left"/>
      <w:pPr>
        <w:ind w:left="3240" w:hanging="360"/>
      </w:pPr>
      <w:rPr>
        <w:rFonts w:ascii="Symbol" w:hAnsi="Symbol" w:hint="default"/>
      </w:rPr>
    </w:lvl>
    <w:lvl w:ilvl="4" w:tplc="4A122204">
      <w:start w:val="1"/>
      <w:numFmt w:val="bullet"/>
      <w:lvlText w:val="o"/>
      <w:lvlJc w:val="left"/>
      <w:pPr>
        <w:ind w:left="3960" w:hanging="360"/>
      </w:pPr>
      <w:rPr>
        <w:rFonts w:ascii="Courier New" w:hAnsi="Courier New" w:hint="default"/>
      </w:rPr>
    </w:lvl>
    <w:lvl w:ilvl="5" w:tplc="45622336">
      <w:start w:val="1"/>
      <w:numFmt w:val="bullet"/>
      <w:lvlText w:val=""/>
      <w:lvlJc w:val="left"/>
      <w:pPr>
        <w:ind w:left="4680" w:hanging="360"/>
      </w:pPr>
      <w:rPr>
        <w:rFonts w:ascii="Wingdings" w:hAnsi="Wingdings" w:hint="default"/>
      </w:rPr>
    </w:lvl>
    <w:lvl w:ilvl="6" w:tplc="472CE59C">
      <w:start w:val="1"/>
      <w:numFmt w:val="bullet"/>
      <w:lvlText w:val=""/>
      <w:lvlJc w:val="left"/>
      <w:pPr>
        <w:ind w:left="5400" w:hanging="360"/>
      </w:pPr>
      <w:rPr>
        <w:rFonts w:ascii="Symbol" w:hAnsi="Symbol" w:hint="default"/>
      </w:rPr>
    </w:lvl>
    <w:lvl w:ilvl="7" w:tplc="409E41D2">
      <w:start w:val="1"/>
      <w:numFmt w:val="bullet"/>
      <w:lvlText w:val="o"/>
      <w:lvlJc w:val="left"/>
      <w:pPr>
        <w:ind w:left="6120" w:hanging="360"/>
      </w:pPr>
      <w:rPr>
        <w:rFonts w:ascii="Courier New" w:hAnsi="Courier New" w:hint="default"/>
      </w:rPr>
    </w:lvl>
    <w:lvl w:ilvl="8" w:tplc="96FCF06E">
      <w:start w:val="1"/>
      <w:numFmt w:val="bullet"/>
      <w:lvlText w:val=""/>
      <w:lvlJc w:val="left"/>
      <w:pPr>
        <w:ind w:left="6840" w:hanging="360"/>
      </w:pPr>
      <w:rPr>
        <w:rFonts w:ascii="Wingdings" w:hAnsi="Wingdings" w:hint="default"/>
      </w:rPr>
    </w:lvl>
  </w:abstractNum>
  <w:abstractNum w:abstractNumId="1" w15:restartNumberingAfterBreak="0">
    <w:nsid w:val="2015D360"/>
    <w:multiLevelType w:val="hybridMultilevel"/>
    <w:tmpl w:val="69B82B88"/>
    <w:lvl w:ilvl="0" w:tplc="81E48C40">
      <w:start w:val="1"/>
      <w:numFmt w:val="bullet"/>
      <w:lvlText w:val=""/>
      <w:lvlJc w:val="left"/>
      <w:pPr>
        <w:ind w:left="720" w:hanging="360"/>
      </w:pPr>
      <w:rPr>
        <w:rFonts w:ascii="Symbol" w:hAnsi="Symbol" w:hint="default"/>
      </w:rPr>
    </w:lvl>
    <w:lvl w:ilvl="1" w:tplc="F3EC5DCE">
      <w:start w:val="1"/>
      <w:numFmt w:val="bullet"/>
      <w:lvlText w:val="o"/>
      <w:lvlJc w:val="left"/>
      <w:pPr>
        <w:ind w:left="1440" w:hanging="360"/>
      </w:pPr>
      <w:rPr>
        <w:rFonts w:ascii="Courier New" w:hAnsi="Courier New" w:hint="default"/>
      </w:rPr>
    </w:lvl>
    <w:lvl w:ilvl="2" w:tplc="2DD2490E">
      <w:start w:val="1"/>
      <w:numFmt w:val="bullet"/>
      <w:lvlText w:val=""/>
      <w:lvlJc w:val="left"/>
      <w:pPr>
        <w:ind w:left="2160" w:hanging="360"/>
      </w:pPr>
      <w:rPr>
        <w:rFonts w:ascii="Wingdings" w:hAnsi="Wingdings" w:hint="default"/>
      </w:rPr>
    </w:lvl>
    <w:lvl w:ilvl="3" w:tplc="EDC654E8">
      <w:start w:val="1"/>
      <w:numFmt w:val="bullet"/>
      <w:lvlText w:val=""/>
      <w:lvlJc w:val="left"/>
      <w:pPr>
        <w:ind w:left="2880" w:hanging="360"/>
      </w:pPr>
      <w:rPr>
        <w:rFonts w:ascii="Symbol" w:hAnsi="Symbol" w:hint="default"/>
      </w:rPr>
    </w:lvl>
    <w:lvl w:ilvl="4" w:tplc="DAEC3D34">
      <w:start w:val="1"/>
      <w:numFmt w:val="bullet"/>
      <w:lvlText w:val="o"/>
      <w:lvlJc w:val="left"/>
      <w:pPr>
        <w:ind w:left="3600" w:hanging="360"/>
      </w:pPr>
      <w:rPr>
        <w:rFonts w:ascii="Courier New" w:hAnsi="Courier New" w:hint="default"/>
      </w:rPr>
    </w:lvl>
    <w:lvl w:ilvl="5" w:tplc="515A6294">
      <w:start w:val="1"/>
      <w:numFmt w:val="bullet"/>
      <w:lvlText w:val=""/>
      <w:lvlJc w:val="left"/>
      <w:pPr>
        <w:ind w:left="4320" w:hanging="360"/>
      </w:pPr>
      <w:rPr>
        <w:rFonts w:ascii="Wingdings" w:hAnsi="Wingdings" w:hint="default"/>
      </w:rPr>
    </w:lvl>
    <w:lvl w:ilvl="6" w:tplc="4E1E6146">
      <w:start w:val="1"/>
      <w:numFmt w:val="bullet"/>
      <w:lvlText w:val=""/>
      <w:lvlJc w:val="left"/>
      <w:pPr>
        <w:ind w:left="5040" w:hanging="360"/>
      </w:pPr>
      <w:rPr>
        <w:rFonts w:ascii="Symbol" w:hAnsi="Symbol" w:hint="default"/>
      </w:rPr>
    </w:lvl>
    <w:lvl w:ilvl="7" w:tplc="16C01D48">
      <w:start w:val="1"/>
      <w:numFmt w:val="bullet"/>
      <w:lvlText w:val="o"/>
      <w:lvlJc w:val="left"/>
      <w:pPr>
        <w:ind w:left="5760" w:hanging="360"/>
      </w:pPr>
      <w:rPr>
        <w:rFonts w:ascii="Courier New" w:hAnsi="Courier New" w:hint="default"/>
      </w:rPr>
    </w:lvl>
    <w:lvl w:ilvl="8" w:tplc="9C2E3402">
      <w:start w:val="1"/>
      <w:numFmt w:val="bullet"/>
      <w:lvlText w:val=""/>
      <w:lvlJc w:val="left"/>
      <w:pPr>
        <w:ind w:left="6480" w:hanging="360"/>
      </w:pPr>
      <w:rPr>
        <w:rFonts w:ascii="Wingdings" w:hAnsi="Wingdings" w:hint="default"/>
      </w:rPr>
    </w:lvl>
  </w:abstractNum>
  <w:abstractNum w:abstractNumId="2" w15:restartNumberingAfterBreak="0">
    <w:nsid w:val="271928EF"/>
    <w:multiLevelType w:val="hybridMultilevel"/>
    <w:tmpl w:val="44A86F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A6F1951"/>
    <w:multiLevelType w:val="hybridMultilevel"/>
    <w:tmpl w:val="17EE5C06"/>
    <w:lvl w:ilvl="0" w:tplc="80F8351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EC95A39"/>
    <w:multiLevelType w:val="hybridMultilevel"/>
    <w:tmpl w:val="7102B6E4"/>
    <w:lvl w:ilvl="0" w:tplc="EA8223CE">
      <w:start w:val="1"/>
      <w:numFmt w:val="bullet"/>
      <w:lvlText w:val=""/>
      <w:lvlJc w:val="left"/>
      <w:pPr>
        <w:ind w:left="720" w:hanging="360"/>
      </w:pPr>
      <w:rPr>
        <w:rFonts w:ascii="Symbol" w:hAnsi="Symbol" w:hint="default"/>
      </w:rPr>
    </w:lvl>
    <w:lvl w:ilvl="1" w:tplc="18D0519A">
      <w:start w:val="1"/>
      <w:numFmt w:val="bullet"/>
      <w:lvlText w:val="o"/>
      <w:lvlJc w:val="left"/>
      <w:pPr>
        <w:ind w:left="1440" w:hanging="360"/>
      </w:pPr>
      <w:rPr>
        <w:rFonts w:ascii="Courier New" w:hAnsi="Courier New" w:hint="default"/>
      </w:rPr>
    </w:lvl>
    <w:lvl w:ilvl="2" w:tplc="0868EFCE">
      <w:start w:val="1"/>
      <w:numFmt w:val="bullet"/>
      <w:lvlText w:val=""/>
      <w:lvlJc w:val="left"/>
      <w:pPr>
        <w:ind w:left="2160" w:hanging="360"/>
      </w:pPr>
      <w:rPr>
        <w:rFonts w:ascii="Wingdings" w:hAnsi="Wingdings" w:hint="default"/>
      </w:rPr>
    </w:lvl>
    <w:lvl w:ilvl="3" w:tplc="34A03146">
      <w:start w:val="1"/>
      <w:numFmt w:val="bullet"/>
      <w:lvlText w:val=""/>
      <w:lvlJc w:val="left"/>
      <w:pPr>
        <w:ind w:left="2880" w:hanging="360"/>
      </w:pPr>
      <w:rPr>
        <w:rFonts w:ascii="Symbol" w:hAnsi="Symbol" w:hint="default"/>
      </w:rPr>
    </w:lvl>
    <w:lvl w:ilvl="4" w:tplc="ADC4AF1A">
      <w:start w:val="1"/>
      <w:numFmt w:val="bullet"/>
      <w:lvlText w:val="o"/>
      <w:lvlJc w:val="left"/>
      <w:pPr>
        <w:ind w:left="3600" w:hanging="360"/>
      </w:pPr>
      <w:rPr>
        <w:rFonts w:ascii="Courier New" w:hAnsi="Courier New" w:hint="default"/>
      </w:rPr>
    </w:lvl>
    <w:lvl w:ilvl="5" w:tplc="E968C7D8">
      <w:start w:val="1"/>
      <w:numFmt w:val="bullet"/>
      <w:lvlText w:val=""/>
      <w:lvlJc w:val="left"/>
      <w:pPr>
        <w:ind w:left="4320" w:hanging="360"/>
      </w:pPr>
      <w:rPr>
        <w:rFonts w:ascii="Wingdings" w:hAnsi="Wingdings" w:hint="default"/>
      </w:rPr>
    </w:lvl>
    <w:lvl w:ilvl="6" w:tplc="234CA02A">
      <w:start w:val="1"/>
      <w:numFmt w:val="bullet"/>
      <w:lvlText w:val=""/>
      <w:lvlJc w:val="left"/>
      <w:pPr>
        <w:ind w:left="5040" w:hanging="360"/>
      </w:pPr>
      <w:rPr>
        <w:rFonts w:ascii="Symbol" w:hAnsi="Symbol" w:hint="default"/>
      </w:rPr>
    </w:lvl>
    <w:lvl w:ilvl="7" w:tplc="D4EAA79A">
      <w:start w:val="1"/>
      <w:numFmt w:val="bullet"/>
      <w:lvlText w:val="o"/>
      <w:lvlJc w:val="left"/>
      <w:pPr>
        <w:ind w:left="5760" w:hanging="360"/>
      </w:pPr>
      <w:rPr>
        <w:rFonts w:ascii="Courier New" w:hAnsi="Courier New" w:hint="default"/>
      </w:rPr>
    </w:lvl>
    <w:lvl w:ilvl="8" w:tplc="3D16E920">
      <w:start w:val="1"/>
      <w:numFmt w:val="bullet"/>
      <w:lvlText w:val=""/>
      <w:lvlJc w:val="left"/>
      <w:pPr>
        <w:ind w:left="6480" w:hanging="360"/>
      </w:pPr>
      <w:rPr>
        <w:rFonts w:ascii="Wingdings" w:hAnsi="Wingdings" w:hint="default"/>
      </w:rPr>
    </w:lvl>
  </w:abstractNum>
  <w:abstractNum w:abstractNumId="5" w15:restartNumberingAfterBreak="0">
    <w:nsid w:val="30D520D2"/>
    <w:multiLevelType w:val="hybridMultilevel"/>
    <w:tmpl w:val="A58689BE"/>
    <w:lvl w:ilvl="0" w:tplc="67B0612E">
      <w:start w:val="6"/>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3447FCF"/>
    <w:multiLevelType w:val="hybridMultilevel"/>
    <w:tmpl w:val="AE5209D6"/>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4F389F9"/>
    <w:multiLevelType w:val="hybridMultilevel"/>
    <w:tmpl w:val="32F4200A"/>
    <w:lvl w:ilvl="0" w:tplc="7C6013AC">
      <w:start w:val="1"/>
      <w:numFmt w:val="bullet"/>
      <w:lvlText w:val=""/>
      <w:lvlJc w:val="left"/>
      <w:pPr>
        <w:ind w:left="720" w:hanging="360"/>
      </w:pPr>
      <w:rPr>
        <w:rFonts w:ascii="Symbol" w:hAnsi="Symbol" w:hint="default"/>
      </w:rPr>
    </w:lvl>
    <w:lvl w:ilvl="1" w:tplc="FE6CF88A">
      <w:start w:val="1"/>
      <w:numFmt w:val="bullet"/>
      <w:lvlText w:val="o"/>
      <w:lvlJc w:val="left"/>
      <w:pPr>
        <w:ind w:left="1440" w:hanging="360"/>
      </w:pPr>
      <w:rPr>
        <w:rFonts w:ascii="Courier New" w:hAnsi="Courier New" w:hint="default"/>
      </w:rPr>
    </w:lvl>
    <w:lvl w:ilvl="2" w:tplc="88CA0CEE">
      <w:start w:val="1"/>
      <w:numFmt w:val="bullet"/>
      <w:lvlText w:val=""/>
      <w:lvlJc w:val="left"/>
      <w:pPr>
        <w:ind w:left="2160" w:hanging="360"/>
      </w:pPr>
      <w:rPr>
        <w:rFonts w:ascii="Wingdings" w:hAnsi="Wingdings" w:hint="default"/>
      </w:rPr>
    </w:lvl>
    <w:lvl w:ilvl="3" w:tplc="79DC629A">
      <w:start w:val="1"/>
      <w:numFmt w:val="bullet"/>
      <w:lvlText w:val=""/>
      <w:lvlJc w:val="left"/>
      <w:pPr>
        <w:ind w:left="2880" w:hanging="360"/>
      </w:pPr>
      <w:rPr>
        <w:rFonts w:ascii="Symbol" w:hAnsi="Symbol" w:hint="default"/>
      </w:rPr>
    </w:lvl>
    <w:lvl w:ilvl="4" w:tplc="15CA23B2">
      <w:start w:val="1"/>
      <w:numFmt w:val="bullet"/>
      <w:lvlText w:val="o"/>
      <w:lvlJc w:val="left"/>
      <w:pPr>
        <w:ind w:left="3600" w:hanging="360"/>
      </w:pPr>
      <w:rPr>
        <w:rFonts w:ascii="Courier New" w:hAnsi="Courier New" w:hint="default"/>
      </w:rPr>
    </w:lvl>
    <w:lvl w:ilvl="5" w:tplc="B97A1798">
      <w:start w:val="1"/>
      <w:numFmt w:val="bullet"/>
      <w:lvlText w:val=""/>
      <w:lvlJc w:val="left"/>
      <w:pPr>
        <w:ind w:left="4320" w:hanging="360"/>
      </w:pPr>
      <w:rPr>
        <w:rFonts w:ascii="Wingdings" w:hAnsi="Wingdings" w:hint="default"/>
      </w:rPr>
    </w:lvl>
    <w:lvl w:ilvl="6" w:tplc="8BACC7F8">
      <w:start w:val="1"/>
      <w:numFmt w:val="bullet"/>
      <w:lvlText w:val=""/>
      <w:lvlJc w:val="left"/>
      <w:pPr>
        <w:ind w:left="5040" w:hanging="360"/>
      </w:pPr>
      <w:rPr>
        <w:rFonts w:ascii="Symbol" w:hAnsi="Symbol" w:hint="default"/>
      </w:rPr>
    </w:lvl>
    <w:lvl w:ilvl="7" w:tplc="E8BE510A">
      <w:start w:val="1"/>
      <w:numFmt w:val="bullet"/>
      <w:lvlText w:val="o"/>
      <w:lvlJc w:val="left"/>
      <w:pPr>
        <w:ind w:left="5760" w:hanging="360"/>
      </w:pPr>
      <w:rPr>
        <w:rFonts w:ascii="Courier New" w:hAnsi="Courier New" w:hint="default"/>
      </w:rPr>
    </w:lvl>
    <w:lvl w:ilvl="8" w:tplc="61F4271A">
      <w:start w:val="1"/>
      <w:numFmt w:val="bullet"/>
      <w:lvlText w:val=""/>
      <w:lvlJc w:val="left"/>
      <w:pPr>
        <w:ind w:left="6480" w:hanging="360"/>
      </w:pPr>
      <w:rPr>
        <w:rFonts w:ascii="Wingdings" w:hAnsi="Wingdings" w:hint="default"/>
      </w:rPr>
    </w:lvl>
  </w:abstractNum>
  <w:abstractNum w:abstractNumId="8" w15:restartNumberingAfterBreak="0">
    <w:nsid w:val="5F2B4E2A"/>
    <w:multiLevelType w:val="hybridMultilevel"/>
    <w:tmpl w:val="E2D226A4"/>
    <w:lvl w:ilvl="0" w:tplc="25CC6DEE">
      <w:start w:val="6"/>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60027F1B"/>
    <w:multiLevelType w:val="hybridMultilevel"/>
    <w:tmpl w:val="D3AABFE4"/>
    <w:lvl w:ilvl="0" w:tplc="40090001">
      <w:start w:val="1"/>
      <w:numFmt w:val="bullet"/>
      <w:lvlText w:val=""/>
      <w:lvlJc w:val="left"/>
      <w:pPr>
        <w:ind w:left="1080" w:hanging="72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62E071BB"/>
    <w:multiLevelType w:val="hybridMultilevel"/>
    <w:tmpl w:val="A57E3E90"/>
    <w:lvl w:ilvl="0" w:tplc="9E6AD706">
      <w:start w:val="1"/>
      <w:numFmt w:val="bullet"/>
      <w:lvlText w:val=""/>
      <w:lvlJc w:val="left"/>
      <w:pPr>
        <w:ind w:left="720" w:hanging="360"/>
      </w:pPr>
      <w:rPr>
        <w:rFonts w:ascii="Symbol" w:hAnsi="Symbol" w:hint="default"/>
      </w:rPr>
    </w:lvl>
    <w:lvl w:ilvl="1" w:tplc="85F45B2E" w:tentative="1">
      <w:start w:val="1"/>
      <w:numFmt w:val="bullet"/>
      <w:lvlText w:val="o"/>
      <w:lvlJc w:val="left"/>
      <w:pPr>
        <w:ind w:left="1440" w:hanging="360"/>
      </w:pPr>
      <w:rPr>
        <w:rFonts w:ascii="Courier New" w:hAnsi="Courier New" w:hint="default"/>
      </w:rPr>
    </w:lvl>
    <w:lvl w:ilvl="2" w:tplc="55CA8920" w:tentative="1">
      <w:start w:val="1"/>
      <w:numFmt w:val="bullet"/>
      <w:lvlText w:val=""/>
      <w:lvlJc w:val="left"/>
      <w:pPr>
        <w:ind w:left="2160" w:hanging="360"/>
      </w:pPr>
      <w:rPr>
        <w:rFonts w:ascii="Wingdings" w:hAnsi="Wingdings" w:hint="default"/>
      </w:rPr>
    </w:lvl>
    <w:lvl w:ilvl="3" w:tplc="2EC0D342" w:tentative="1">
      <w:start w:val="1"/>
      <w:numFmt w:val="bullet"/>
      <w:lvlText w:val=""/>
      <w:lvlJc w:val="left"/>
      <w:pPr>
        <w:ind w:left="2880" w:hanging="360"/>
      </w:pPr>
      <w:rPr>
        <w:rFonts w:ascii="Symbol" w:hAnsi="Symbol" w:hint="default"/>
      </w:rPr>
    </w:lvl>
    <w:lvl w:ilvl="4" w:tplc="29502498" w:tentative="1">
      <w:start w:val="1"/>
      <w:numFmt w:val="bullet"/>
      <w:lvlText w:val="o"/>
      <w:lvlJc w:val="left"/>
      <w:pPr>
        <w:ind w:left="3600" w:hanging="360"/>
      </w:pPr>
      <w:rPr>
        <w:rFonts w:ascii="Courier New" w:hAnsi="Courier New" w:hint="default"/>
      </w:rPr>
    </w:lvl>
    <w:lvl w:ilvl="5" w:tplc="5C662D8A" w:tentative="1">
      <w:start w:val="1"/>
      <w:numFmt w:val="bullet"/>
      <w:lvlText w:val=""/>
      <w:lvlJc w:val="left"/>
      <w:pPr>
        <w:ind w:left="4320" w:hanging="360"/>
      </w:pPr>
      <w:rPr>
        <w:rFonts w:ascii="Wingdings" w:hAnsi="Wingdings" w:hint="default"/>
      </w:rPr>
    </w:lvl>
    <w:lvl w:ilvl="6" w:tplc="848A2328" w:tentative="1">
      <w:start w:val="1"/>
      <w:numFmt w:val="bullet"/>
      <w:lvlText w:val=""/>
      <w:lvlJc w:val="left"/>
      <w:pPr>
        <w:ind w:left="5040" w:hanging="360"/>
      </w:pPr>
      <w:rPr>
        <w:rFonts w:ascii="Symbol" w:hAnsi="Symbol" w:hint="default"/>
      </w:rPr>
    </w:lvl>
    <w:lvl w:ilvl="7" w:tplc="F69C6D46" w:tentative="1">
      <w:start w:val="1"/>
      <w:numFmt w:val="bullet"/>
      <w:lvlText w:val="o"/>
      <w:lvlJc w:val="left"/>
      <w:pPr>
        <w:ind w:left="5760" w:hanging="360"/>
      </w:pPr>
      <w:rPr>
        <w:rFonts w:ascii="Courier New" w:hAnsi="Courier New" w:hint="default"/>
      </w:rPr>
    </w:lvl>
    <w:lvl w:ilvl="8" w:tplc="9986499A" w:tentative="1">
      <w:start w:val="1"/>
      <w:numFmt w:val="bullet"/>
      <w:lvlText w:val=""/>
      <w:lvlJc w:val="left"/>
      <w:pPr>
        <w:ind w:left="6480" w:hanging="360"/>
      </w:pPr>
      <w:rPr>
        <w:rFonts w:ascii="Wingdings" w:hAnsi="Wingdings" w:hint="default"/>
      </w:rPr>
    </w:lvl>
  </w:abstractNum>
  <w:abstractNum w:abstractNumId="11" w15:restartNumberingAfterBreak="0">
    <w:nsid w:val="6521EB8E"/>
    <w:multiLevelType w:val="hybridMultilevel"/>
    <w:tmpl w:val="D5A81A3E"/>
    <w:lvl w:ilvl="0" w:tplc="153E4162">
      <w:start w:val="1"/>
      <w:numFmt w:val="decimal"/>
      <w:lvlText w:val="%1."/>
      <w:lvlJc w:val="left"/>
      <w:pPr>
        <w:ind w:left="720" w:hanging="360"/>
      </w:pPr>
    </w:lvl>
    <w:lvl w:ilvl="1" w:tplc="D06C5A7C">
      <w:start w:val="1"/>
      <w:numFmt w:val="lowerLetter"/>
      <w:lvlText w:val="%2."/>
      <w:lvlJc w:val="left"/>
      <w:pPr>
        <w:ind w:left="1440" w:hanging="360"/>
      </w:pPr>
    </w:lvl>
    <w:lvl w:ilvl="2" w:tplc="C11E1E86">
      <w:start w:val="1"/>
      <w:numFmt w:val="lowerRoman"/>
      <w:lvlText w:val="%3."/>
      <w:lvlJc w:val="right"/>
      <w:pPr>
        <w:ind w:left="2160" w:hanging="180"/>
      </w:pPr>
    </w:lvl>
    <w:lvl w:ilvl="3" w:tplc="429607AA">
      <w:start w:val="1"/>
      <w:numFmt w:val="decimal"/>
      <w:lvlText w:val="%4."/>
      <w:lvlJc w:val="left"/>
      <w:pPr>
        <w:ind w:left="2880" w:hanging="360"/>
      </w:pPr>
    </w:lvl>
    <w:lvl w:ilvl="4" w:tplc="4C301BC4">
      <w:start w:val="1"/>
      <w:numFmt w:val="lowerLetter"/>
      <w:lvlText w:val="%5."/>
      <w:lvlJc w:val="left"/>
      <w:pPr>
        <w:ind w:left="3600" w:hanging="360"/>
      </w:pPr>
    </w:lvl>
    <w:lvl w:ilvl="5" w:tplc="A274E77A">
      <w:start w:val="1"/>
      <w:numFmt w:val="lowerRoman"/>
      <w:lvlText w:val="%6."/>
      <w:lvlJc w:val="right"/>
      <w:pPr>
        <w:ind w:left="4320" w:hanging="180"/>
      </w:pPr>
    </w:lvl>
    <w:lvl w:ilvl="6" w:tplc="D75692AA">
      <w:start w:val="1"/>
      <w:numFmt w:val="decimal"/>
      <w:lvlText w:val="%7."/>
      <w:lvlJc w:val="left"/>
      <w:pPr>
        <w:ind w:left="5040" w:hanging="360"/>
      </w:pPr>
    </w:lvl>
    <w:lvl w:ilvl="7" w:tplc="03C0604A">
      <w:start w:val="1"/>
      <w:numFmt w:val="lowerLetter"/>
      <w:lvlText w:val="%8."/>
      <w:lvlJc w:val="left"/>
      <w:pPr>
        <w:ind w:left="5760" w:hanging="360"/>
      </w:pPr>
    </w:lvl>
    <w:lvl w:ilvl="8" w:tplc="7292D60C">
      <w:start w:val="1"/>
      <w:numFmt w:val="lowerRoman"/>
      <w:lvlText w:val="%9."/>
      <w:lvlJc w:val="right"/>
      <w:pPr>
        <w:ind w:left="6480" w:hanging="180"/>
      </w:pPr>
    </w:lvl>
  </w:abstractNum>
  <w:abstractNum w:abstractNumId="12" w15:restartNumberingAfterBreak="0">
    <w:nsid w:val="76C370F7"/>
    <w:multiLevelType w:val="hybridMultilevel"/>
    <w:tmpl w:val="0E341F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7771786A"/>
    <w:multiLevelType w:val="hybridMultilevel"/>
    <w:tmpl w:val="D9D6A83E"/>
    <w:lvl w:ilvl="0" w:tplc="F2A2F872">
      <w:start w:val="6"/>
      <w:numFmt w:val="upperRoman"/>
      <w:lvlText w:val="%1."/>
      <w:lvlJc w:val="left"/>
      <w:pPr>
        <w:ind w:left="1080" w:hanging="72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7B72A485"/>
    <w:multiLevelType w:val="hybridMultilevel"/>
    <w:tmpl w:val="297CFBE8"/>
    <w:lvl w:ilvl="0" w:tplc="7D080BE4">
      <w:start w:val="1"/>
      <w:numFmt w:val="decimal"/>
      <w:lvlText w:val="%1."/>
      <w:lvlJc w:val="left"/>
      <w:pPr>
        <w:ind w:left="720" w:hanging="360"/>
      </w:pPr>
    </w:lvl>
    <w:lvl w:ilvl="1" w:tplc="95F8CDBE">
      <w:start w:val="1"/>
      <w:numFmt w:val="lowerLetter"/>
      <w:lvlText w:val="%2."/>
      <w:lvlJc w:val="left"/>
      <w:pPr>
        <w:ind w:left="1440" w:hanging="360"/>
      </w:pPr>
    </w:lvl>
    <w:lvl w:ilvl="2" w:tplc="8C540CDA">
      <w:start w:val="1"/>
      <w:numFmt w:val="lowerRoman"/>
      <w:lvlText w:val="%3."/>
      <w:lvlJc w:val="right"/>
      <w:pPr>
        <w:ind w:left="2160" w:hanging="180"/>
      </w:pPr>
    </w:lvl>
    <w:lvl w:ilvl="3" w:tplc="6CA207D2">
      <w:start w:val="1"/>
      <w:numFmt w:val="decimal"/>
      <w:lvlText w:val="%4."/>
      <w:lvlJc w:val="left"/>
      <w:pPr>
        <w:ind w:left="2880" w:hanging="360"/>
      </w:pPr>
    </w:lvl>
    <w:lvl w:ilvl="4" w:tplc="6BDEBDD4">
      <w:start w:val="1"/>
      <w:numFmt w:val="lowerLetter"/>
      <w:lvlText w:val="%5."/>
      <w:lvlJc w:val="left"/>
      <w:pPr>
        <w:ind w:left="3600" w:hanging="360"/>
      </w:pPr>
    </w:lvl>
    <w:lvl w:ilvl="5" w:tplc="F7063702">
      <w:start w:val="1"/>
      <w:numFmt w:val="lowerRoman"/>
      <w:lvlText w:val="%6."/>
      <w:lvlJc w:val="right"/>
      <w:pPr>
        <w:ind w:left="4320" w:hanging="180"/>
      </w:pPr>
    </w:lvl>
    <w:lvl w:ilvl="6" w:tplc="968A96E8">
      <w:start w:val="1"/>
      <w:numFmt w:val="decimal"/>
      <w:lvlText w:val="%7."/>
      <w:lvlJc w:val="left"/>
      <w:pPr>
        <w:ind w:left="5040" w:hanging="360"/>
      </w:pPr>
    </w:lvl>
    <w:lvl w:ilvl="7" w:tplc="B9F43D22">
      <w:start w:val="1"/>
      <w:numFmt w:val="lowerLetter"/>
      <w:lvlText w:val="%8."/>
      <w:lvlJc w:val="left"/>
      <w:pPr>
        <w:ind w:left="5760" w:hanging="360"/>
      </w:pPr>
    </w:lvl>
    <w:lvl w:ilvl="8" w:tplc="934EC2D8">
      <w:start w:val="1"/>
      <w:numFmt w:val="lowerRoman"/>
      <w:lvlText w:val="%9."/>
      <w:lvlJc w:val="right"/>
      <w:pPr>
        <w:ind w:left="6480" w:hanging="180"/>
      </w:pPr>
    </w:lvl>
  </w:abstractNum>
  <w:abstractNum w:abstractNumId="15" w15:restartNumberingAfterBreak="0">
    <w:nsid w:val="7F04B1F0"/>
    <w:multiLevelType w:val="hybridMultilevel"/>
    <w:tmpl w:val="E09A006E"/>
    <w:lvl w:ilvl="0" w:tplc="E48C8352">
      <w:start w:val="1"/>
      <w:numFmt w:val="bullet"/>
      <w:lvlText w:val=""/>
      <w:lvlJc w:val="left"/>
      <w:pPr>
        <w:ind w:left="720" w:hanging="360"/>
      </w:pPr>
      <w:rPr>
        <w:rFonts w:ascii="Wingdings" w:hAnsi="Wingdings" w:hint="default"/>
      </w:rPr>
    </w:lvl>
    <w:lvl w:ilvl="1" w:tplc="816A2770">
      <w:start w:val="1"/>
      <w:numFmt w:val="bullet"/>
      <w:lvlText w:val="o"/>
      <w:lvlJc w:val="left"/>
      <w:pPr>
        <w:ind w:left="1440" w:hanging="360"/>
      </w:pPr>
      <w:rPr>
        <w:rFonts w:ascii="Courier New" w:hAnsi="Courier New" w:hint="default"/>
      </w:rPr>
    </w:lvl>
    <w:lvl w:ilvl="2" w:tplc="407A1138">
      <w:start w:val="1"/>
      <w:numFmt w:val="bullet"/>
      <w:lvlText w:val=""/>
      <w:lvlJc w:val="left"/>
      <w:pPr>
        <w:ind w:left="2160" w:hanging="360"/>
      </w:pPr>
      <w:rPr>
        <w:rFonts w:ascii="Wingdings" w:hAnsi="Wingdings" w:hint="default"/>
      </w:rPr>
    </w:lvl>
    <w:lvl w:ilvl="3" w:tplc="1114ADC6">
      <w:start w:val="1"/>
      <w:numFmt w:val="bullet"/>
      <w:lvlText w:val=""/>
      <w:lvlJc w:val="left"/>
      <w:pPr>
        <w:ind w:left="2880" w:hanging="360"/>
      </w:pPr>
      <w:rPr>
        <w:rFonts w:ascii="Symbol" w:hAnsi="Symbol" w:hint="default"/>
      </w:rPr>
    </w:lvl>
    <w:lvl w:ilvl="4" w:tplc="3A6EDC3C">
      <w:start w:val="1"/>
      <w:numFmt w:val="bullet"/>
      <w:lvlText w:val="o"/>
      <w:lvlJc w:val="left"/>
      <w:pPr>
        <w:ind w:left="3600" w:hanging="360"/>
      </w:pPr>
      <w:rPr>
        <w:rFonts w:ascii="Courier New" w:hAnsi="Courier New" w:hint="default"/>
      </w:rPr>
    </w:lvl>
    <w:lvl w:ilvl="5" w:tplc="80D26DE8">
      <w:start w:val="1"/>
      <w:numFmt w:val="bullet"/>
      <w:lvlText w:val=""/>
      <w:lvlJc w:val="left"/>
      <w:pPr>
        <w:ind w:left="4320" w:hanging="360"/>
      </w:pPr>
      <w:rPr>
        <w:rFonts w:ascii="Wingdings" w:hAnsi="Wingdings" w:hint="default"/>
      </w:rPr>
    </w:lvl>
    <w:lvl w:ilvl="6" w:tplc="F23A3B9A">
      <w:start w:val="1"/>
      <w:numFmt w:val="bullet"/>
      <w:lvlText w:val=""/>
      <w:lvlJc w:val="left"/>
      <w:pPr>
        <w:ind w:left="5040" w:hanging="360"/>
      </w:pPr>
      <w:rPr>
        <w:rFonts w:ascii="Symbol" w:hAnsi="Symbol" w:hint="default"/>
      </w:rPr>
    </w:lvl>
    <w:lvl w:ilvl="7" w:tplc="E034D3EA">
      <w:start w:val="1"/>
      <w:numFmt w:val="bullet"/>
      <w:lvlText w:val="o"/>
      <w:lvlJc w:val="left"/>
      <w:pPr>
        <w:ind w:left="5760" w:hanging="360"/>
      </w:pPr>
      <w:rPr>
        <w:rFonts w:ascii="Courier New" w:hAnsi="Courier New" w:hint="default"/>
      </w:rPr>
    </w:lvl>
    <w:lvl w:ilvl="8" w:tplc="2E7A796A">
      <w:start w:val="1"/>
      <w:numFmt w:val="bullet"/>
      <w:lvlText w:val=""/>
      <w:lvlJc w:val="left"/>
      <w:pPr>
        <w:ind w:left="6480" w:hanging="360"/>
      </w:pPr>
      <w:rPr>
        <w:rFonts w:ascii="Wingdings" w:hAnsi="Wingdings" w:hint="default"/>
      </w:rPr>
    </w:lvl>
  </w:abstractNum>
  <w:num w:numId="1" w16cid:durableId="317348369">
    <w:abstractNumId w:val="14"/>
  </w:num>
  <w:num w:numId="2" w16cid:durableId="242178619">
    <w:abstractNumId w:val="3"/>
  </w:num>
  <w:num w:numId="3" w16cid:durableId="911087723">
    <w:abstractNumId w:val="9"/>
  </w:num>
  <w:num w:numId="4" w16cid:durableId="178932415">
    <w:abstractNumId w:val="6"/>
  </w:num>
  <w:num w:numId="5" w16cid:durableId="33386561">
    <w:abstractNumId w:val="5"/>
  </w:num>
  <w:num w:numId="6" w16cid:durableId="1273511515">
    <w:abstractNumId w:val="13"/>
  </w:num>
  <w:num w:numId="7" w16cid:durableId="270626897">
    <w:abstractNumId w:val="8"/>
  </w:num>
  <w:num w:numId="8" w16cid:durableId="1928803880">
    <w:abstractNumId w:val="10"/>
  </w:num>
  <w:num w:numId="9" w16cid:durableId="613365191">
    <w:abstractNumId w:val="11"/>
  </w:num>
  <w:num w:numId="10" w16cid:durableId="839200103">
    <w:abstractNumId w:val="15"/>
  </w:num>
  <w:num w:numId="11" w16cid:durableId="1240941254">
    <w:abstractNumId w:val="1"/>
  </w:num>
  <w:num w:numId="12" w16cid:durableId="770316532">
    <w:abstractNumId w:val="7"/>
  </w:num>
  <w:num w:numId="13" w16cid:durableId="1429892216">
    <w:abstractNumId w:val="4"/>
  </w:num>
  <w:num w:numId="14" w16cid:durableId="1393775957">
    <w:abstractNumId w:val="0"/>
  </w:num>
  <w:num w:numId="15" w16cid:durableId="1775322207">
    <w:abstractNumId w:val="2"/>
  </w:num>
  <w:num w:numId="16" w16cid:durableId="199930679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8B3"/>
    <w:rsid w:val="00002A07"/>
    <w:rsid w:val="000048BC"/>
    <w:rsid w:val="00005674"/>
    <w:rsid w:val="00005D16"/>
    <w:rsid w:val="00006E66"/>
    <w:rsid w:val="00013601"/>
    <w:rsid w:val="000143FC"/>
    <w:rsid w:val="000149AA"/>
    <w:rsid w:val="000270AB"/>
    <w:rsid w:val="00032207"/>
    <w:rsid w:val="000344BD"/>
    <w:rsid w:val="000372E9"/>
    <w:rsid w:val="00045378"/>
    <w:rsid w:val="00046BE3"/>
    <w:rsid w:val="00050400"/>
    <w:rsid w:val="00051AAE"/>
    <w:rsid w:val="00054D99"/>
    <w:rsid w:val="000567AB"/>
    <w:rsid w:val="00060671"/>
    <w:rsid w:val="00060D2C"/>
    <w:rsid w:val="00062D18"/>
    <w:rsid w:val="00063150"/>
    <w:rsid w:val="00063331"/>
    <w:rsid w:val="00066B81"/>
    <w:rsid w:val="00071897"/>
    <w:rsid w:val="00071BBF"/>
    <w:rsid w:val="00074882"/>
    <w:rsid w:val="00077277"/>
    <w:rsid w:val="00080334"/>
    <w:rsid w:val="00081914"/>
    <w:rsid w:val="00081CCE"/>
    <w:rsid w:val="00082341"/>
    <w:rsid w:val="000903F1"/>
    <w:rsid w:val="0009081D"/>
    <w:rsid w:val="00093010"/>
    <w:rsid w:val="0009307B"/>
    <w:rsid w:val="000957BE"/>
    <w:rsid w:val="000A01A0"/>
    <w:rsid w:val="000A1EA9"/>
    <w:rsid w:val="000A57E9"/>
    <w:rsid w:val="000B02CF"/>
    <w:rsid w:val="000B27A8"/>
    <w:rsid w:val="000B2D2F"/>
    <w:rsid w:val="000B34B5"/>
    <w:rsid w:val="000B42D1"/>
    <w:rsid w:val="000B4EB8"/>
    <w:rsid w:val="000C0282"/>
    <w:rsid w:val="000C0C60"/>
    <w:rsid w:val="000C6B6A"/>
    <w:rsid w:val="000D042E"/>
    <w:rsid w:val="000D3913"/>
    <w:rsid w:val="000D57F2"/>
    <w:rsid w:val="000D58B5"/>
    <w:rsid w:val="000E3F00"/>
    <w:rsid w:val="000E65E9"/>
    <w:rsid w:val="000F19F2"/>
    <w:rsid w:val="000F32D8"/>
    <w:rsid w:val="000F45DA"/>
    <w:rsid w:val="000F4A94"/>
    <w:rsid w:val="000F4D44"/>
    <w:rsid w:val="000F6058"/>
    <w:rsid w:val="000F6344"/>
    <w:rsid w:val="000F6D2F"/>
    <w:rsid w:val="001006DB"/>
    <w:rsid w:val="00100829"/>
    <w:rsid w:val="00102375"/>
    <w:rsid w:val="0010568F"/>
    <w:rsid w:val="00105F18"/>
    <w:rsid w:val="001062D7"/>
    <w:rsid w:val="0011572B"/>
    <w:rsid w:val="00117739"/>
    <w:rsid w:val="0012116A"/>
    <w:rsid w:val="0012180A"/>
    <w:rsid w:val="00130E31"/>
    <w:rsid w:val="00131256"/>
    <w:rsid w:val="00135BE4"/>
    <w:rsid w:val="001377C1"/>
    <w:rsid w:val="00137FB0"/>
    <w:rsid w:val="001406B2"/>
    <w:rsid w:val="001411BD"/>
    <w:rsid w:val="001430FE"/>
    <w:rsid w:val="00150C2A"/>
    <w:rsid w:val="00155EC4"/>
    <w:rsid w:val="001604CC"/>
    <w:rsid w:val="00161E1F"/>
    <w:rsid w:val="0016695F"/>
    <w:rsid w:val="00170A14"/>
    <w:rsid w:val="001717D2"/>
    <w:rsid w:val="0017696B"/>
    <w:rsid w:val="001775DC"/>
    <w:rsid w:val="00177B1F"/>
    <w:rsid w:val="001804BF"/>
    <w:rsid w:val="00181B4D"/>
    <w:rsid w:val="00181C2D"/>
    <w:rsid w:val="00184C8A"/>
    <w:rsid w:val="00185237"/>
    <w:rsid w:val="00185D24"/>
    <w:rsid w:val="00187365"/>
    <w:rsid w:val="0019216B"/>
    <w:rsid w:val="00194CD4"/>
    <w:rsid w:val="00196153"/>
    <w:rsid w:val="001A0DED"/>
    <w:rsid w:val="001A1996"/>
    <w:rsid w:val="001A1C0F"/>
    <w:rsid w:val="001A4689"/>
    <w:rsid w:val="001A4735"/>
    <w:rsid w:val="001A5227"/>
    <w:rsid w:val="001A7094"/>
    <w:rsid w:val="001A7FC9"/>
    <w:rsid w:val="001B2CDB"/>
    <w:rsid w:val="001B5E05"/>
    <w:rsid w:val="001B5EDC"/>
    <w:rsid w:val="001B5FE7"/>
    <w:rsid w:val="001B7266"/>
    <w:rsid w:val="001B7D85"/>
    <w:rsid w:val="001C0250"/>
    <w:rsid w:val="001C0821"/>
    <w:rsid w:val="001C1C8B"/>
    <w:rsid w:val="001C2DB3"/>
    <w:rsid w:val="001C3DA7"/>
    <w:rsid w:val="001C5074"/>
    <w:rsid w:val="001D0B65"/>
    <w:rsid w:val="001D4EEE"/>
    <w:rsid w:val="001D53CF"/>
    <w:rsid w:val="001D6E0F"/>
    <w:rsid w:val="001D6EFD"/>
    <w:rsid w:val="001D7C21"/>
    <w:rsid w:val="001E33A3"/>
    <w:rsid w:val="001E48BC"/>
    <w:rsid w:val="001E5024"/>
    <w:rsid w:val="001E6096"/>
    <w:rsid w:val="001E636B"/>
    <w:rsid w:val="001E6462"/>
    <w:rsid w:val="001F2F65"/>
    <w:rsid w:val="001F5A63"/>
    <w:rsid w:val="001F69F9"/>
    <w:rsid w:val="001F728E"/>
    <w:rsid w:val="001F77DA"/>
    <w:rsid w:val="001F7A62"/>
    <w:rsid w:val="002019A0"/>
    <w:rsid w:val="0020786B"/>
    <w:rsid w:val="00210AFC"/>
    <w:rsid w:val="00212669"/>
    <w:rsid w:val="00214BB5"/>
    <w:rsid w:val="00217E15"/>
    <w:rsid w:val="00224D20"/>
    <w:rsid w:val="0023278C"/>
    <w:rsid w:val="0023443F"/>
    <w:rsid w:val="002344A3"/>
    <w:rsid w:val="002346DA"/>
    <w:rsid w:val="00236655"/>
    <w:rsid w:val="00236EC7"/>
    <w:rsid w:val="00240375"/>
    <w:rsid w:val="00240C30"/>
    <w:rsid w:val="00241E7B"/>
    <w:rsid w:val="00244C68"/>
    <w:rsid w:val="002463DA"/>
    <w:rsid w:val="0024686A"/>
    <w:rsid w:val="002468B7"/>
    <w:rsid w:val="00251148"/>
    <w:rsid w:val="002550AE"/>
    <w:rsid w:val="00255B3F"/>
    <w:rsid w:val="00255E41"/>
    <w:rsid w:val="002600DD"/>
    <w:rsid w:val="00261ACE"/>
    <w:rsid w:val="0027727D"/>
    <w:rsid w:val="00277F08"/>
    <w:rsid w:val="00281C26"/>
    <w:rsid w:val="0028339B"/>
    <w:rsid w:val="00285DD2"/>
    <w:rsid w:val="00286FD3"/>
    <w:rsid w:val="00287A3C"/>
    <w:rsid w:val="00291D8E"/>
    <w:rsid w:val="00293A24"/>
    <w:rsid w:val="002978A2"/>
    <w:rsid w:val="002A323B"/>
    <w:rsid w:val="002A54F6"/>
    <w:rsid w:val="002B032D"/>
    <w:rsid w:val="002B45B1"/>
    <w:rsid w:val="002B729E"/>
    <w:rsid w:val="002C001F"/>
    <w:rsid w:val="002C055D"/>
    <w:rsid w:val="002C3679"/>
    <w:rsid w:val="002C446A"/>
    <w:rsid w:val="002C46B7"/>
    <w:rsid w:val="002C476D"/>
    <w:rsid w:val="002C47D5"/>
    <w:rsid w:val="002D0CAB"/>
    <w:rsid w:val="002D0FCC"/>
    <w:rsid w:val="002D4052"/>
    <w:rsid w:val="002D4076"/>
    <w:rsid w:val="002E3DD3"/>
    <w:rsid w:val="002E4772"/>
    <w:rsid w:val="002E6B42"/>
    <w:rsid w:val="002E75DD"/>
    <w:rsid w:val="002F21CC"/>
    <w:rsid w:val="002F3056"/>
    <w:rsid w:val="002F5ED0"/>
    <w:rsid w:val="002F712D"/>
    <w:rsid w:val="003010D6"/>
    <w:rsid w:val="00301490"/>
    <w:rsid w:val="00301BD9"/>
    <w:rsid w:val="00302CF1"/>
    <w:rsid w:val="00303234"/>
    <w:rsid w:val="00312D7A"/>
    <w:rsid w:val="00315C6A"/>
    <w:rsid w:val="0031649D"/>
    <w:rsid w:val="003166F0"/>
    <w:rsid w:val="003169D4"/>
    <w:rsid w:val="00322863"/>
    <w:rsid w:val="00323B52"/>
    <w:rsid w:val="003270A7"/>
    <w:rsid w:val="0033107C"/>
    <w:rsid w:val="00334CEB"/>
    <w:rsid w:val="00340E55"/>
    <w:rsid w:val="00343BE8"/>
    <w:rsid w:val="003450C9"/>
    <w:rsid w:val="00350B98"/>
    <w:rsid w:val="00356E5B"/>
    <w:rsid w:val="003572B0"/>
    <w:rsid w:val="0036656B"/>
    <w:rsid w:val="00366BE0"/>
    <w:rsid w:val="00367AF8"/>
    <w:rsid w:val="003716AF"/>
    <w:rsid w:val="00380014"/>
    <w:rsid w:val="00382B84"/>
    <w:rsid w:val="00382E2F"/>
    <w:rsid w:val="00383E7E"/>
    <w:rsid w:val="003842FD"/>
    <w:rsid w:val="00385446"/>
    <w:rsid w:val="00385781"/>
    <w:rsid w:val="00385A25"/>
    <w:rsid w:val="003942FE"/>
    <w:rsid w:val="00395351"/>
    <w:rsid w:val="003A2512"/>
    <w:rsid w:val="003A3E96"/>
    <w:rsid w:val="003A471F"/>
    <w:rsid w:val="003A4C12"/>
    <w:rsid w:val="003A7329"/>
    <w:rsid w:val="003B02E2"/>
    <w:rsid w:val="003B060B"/>
    <w:rsid w:val="003B0CD4"/>
    <w:rsid w:val="003B1350"/>
    <w:rsid w:val="003B15FE"/>
    <w:rsid w:val="003B4454"/>
    <w:rsid w:val="003C4CA4"/>
    <w:rsid w:val="003D1CD2"/>
    <w:rsid w:val="003D214A"/>
    <w:rsid w:val="003D392C"/>
    <w:rsid w:val="003D4B34"/>
    <w:rsid w:val="003D615A"/>
    <w:rsid w:val="003E09D4"/>
    <w:rsid w:val="003E265D"/>
    <w:rsid w:val="003E3289"/>
    <w:rsid w:val="003E76C0"/>
    <w:rsid w:val="003F582B"/>
    <w:rsid w:val="003F602C"/>
    <w:rsid w:val="003F6BCC"/>
    <w:rsid w:val="003F6CE8"/>
    <w:rsid w:val="004017CF"/>
    <w:rsid w:val="004018FF"/>
    <w:rsid w:val="00403DAF"/>
    <w:rsid w:val="00403DE4"/>
    <w:rsid w:val="00413661"/>
    <w:rsid w:val="004137A0"/>
    <w:rsid w:val="0041499C"/>
    <w:rsid w:val="00414CCA"/>
    <w:rsid w:val="004168B7"/>
    <w:rsid w:val="004173A1"/>
    <w:rsid w:val="00420041"/>
    <w:rsid w:val="00426BF1"/>
    <w:rsid w:val="004311A0"/>
    <w:rsid w:val="00434953"/>
    <w:rsid w:val="00434FA1"/>
    <w:rsid w:val="0044075C"/>
    <w:rsid w:val="004413A1"/>
    <w:rsid w:val="00441767"/>
    <w:rsid w:val="00442F38"/>
    <w:rsid w:val="004438EC"/>
    <w:rsid w:val="00444441"/>
    <w:rsid w:val="00445075"/>
    <w:rsid w:val="004459DB"/>
    <w:rsid w:val="00451C27"/>
    <w:rsid w:val="004604BE"/>
    <w:rsid w:val="00461CEA"/>
    <w:rsid w:val="004639C0"/>
    <w:rsid w:val="00463A99"/>
    <w:rsid w:val="004666F2"/>
    <w:rsid w:val="00474475"/>
    <w:rsid w:val="00480742"/>
    <w:rsid w:val="00485155"/>
    <w:rsid w:val="004860CC"/>
    <w:rsid w:val="004901B2"/>
    <w:rsid w:val="004907B1"/>
    <w:rsid w:val="004922E7"/>
    <w:rsid w:val="00492AA2"/>
    <w:rsid w:val="00493CFF"/>
    <w:rsid w:val="004A1167"/>
    <w:rsid w:val="004A147F"/>
    <w:rsid w:val="004A290F"/>
    <w:rsid w:val="004A3701"/>
    <w:rsid w:val="004A54B0"/>
    <w:rsid w:val="004A5BE4"/>
    <w:rsid w:val="004A6781"/>
    <w:rsid w:val="004A7A8D"/>
    <w:rsid w:val="004B0D4F"/>
    <w:rsid w:val="004B378D"/>
    <w:rsid w:val="004B4569"/>
    <w:rsid w:val="004B6A83"/>
    <w:rsid w:val="004C103B"/>
    <w:rsid w:val="004C178C"/>
    <w:rsid w:val="004C3268"/>
    <w:rsid w:val="004C404F"/>
    <w:rsid w:val="004C4259"/>
    <w:rsid w:val="004C7637"/>
    <w:rsid w:val="004C7805"/>
    <w:rsid w:val="004D258B"/>
    <w:rsid w:val="004E0C4F"/>
    <w:rsid w:val="004E0DEC"/>
    <w:rsid w:val="004E2832"/>
    <w:rsid w:val="004E3F35"/>
    <w:rsid w:val="004E5EDC"/>
    <w:rsid w:val="004F0664"/>
    <w:rsid w:val="004F50ED"/>
    <w:rsid w:val="00507752"/>
    <w:rsid w:val="00507C4E"/>
    <w:rsid w:val="00511533"/>
    <w:rsid w:val="00511C75"/>
    <w:rsid w:val="00517677"/>
    <w:rsid w:val="005176CA"/>
    <w:rsid w:val="00520C82"/>
    <w:rsid w:val="0052194D"/>
    <w:rsid w:val="005243A0"/>
    <w:rsid w:val="0052452A"/>
    <w:rsid w:val="00526270"/>
    <w:rsid w:val="00532250"/>
    <w:rsid w:val="00543A63"/>
    <w:rsid w:val="0054493B"/>
    <w:rsid w:val="00547432"/>
    <w:rsid w:val="00550DCF"/>
    <w:rsid w:val="005517C6"/>
    <w:rsid w:val="00552982"/>
    <w:rsid w:val="00552CB1"/>
    <w:rsid w:val="00564CA9"/>
    <w:rsid w:val="00566798"/>
    <w:rsid w:val="005715B9"/>
    <w:rsid w:val="00572C19"/>
    <w:rsid w:val="005733B7"/>
    <w:rsid w:val="00576241"/>
    <w:rsid w:val="005779FB"/>
    <w:rsid w:val="00582564"/>
    <w:rsid w:val="00584A1D"/>
    <w:rsid w:val="005854F8"/>
    <w:rsid w:val="00587BD2"/>
    <w:rsid w:val="005916A2"/>
    <w:rsid w:val="0059308C"/>
    <w:rsid w:val="00595D0F"/>
    <w:rsid w:val="00596187"/>
    <w:rsid w:val="005969A1"/>
    <w:rsid w:val="0059781E"/>
    <w:rsid w:val="00597B24"/>
    <w:rsid w:val="005A111D"/>
    <w:rsid w:val="005A1463"/>
    <w:rsid w:val="005A42A8"/>
    <w:rsid w:val="005A4564"/>
    <w:rsid w:val="005A488F"/>
    <w:rsid w:val="005A6CCC"/>
    <w:rsid w:val="005B180D"/>
    <w:rsid w:val="005B2746"/>
    <w:rsid w:val="005B27C5"/>
    <w:rsid w:val="005B629D"/>
    <w:rsid w:val="005C0FF2"/>
    <w:rsid w:val="005C4F31"/>
    <w:rsid w:val="005C563C"/>
    <w:rsid w:val="005C6618"/>
    <w:rsid w:val="005E1E22"/>
    <w:rsid w:val="005E4AFE"/>
    <w:rsid w:val="005E7786"/>
    <w:rsid w:val="005F35B7"/>
    <w:rsid w:val="005F38F7"/>
    <w:rsid w:val="005F3B5A"/>
    <w:rsid w:val="005F3F6B"/>
    <w:rsid w:val="005F6166"/>
    <w:rsid w:val="005F7370"/>
    <w:rsid w:val="0060698B"/>
    <w:rsid w:val="0061106D"/>
    <w:rsid w:val="00611E17"/>
    <w:rsid w:val="0061344E"/>
    <w:rsid w:val="00616C04"/>
    <w:rsid w:val="0062120D"/>
    <w:rsid w:val="006217DA"/>
    <w:rsid w:val="00622DC9"/>
    <w:rsid w:val="006237C5"/>
    <w:rsid w:val="00623E39"/>
    <w:rsid w:val="00625C06"/>
    <w:rsid w:val="00626731"/>
    <w:rsid w:val="00626CBE"/>
    <w:rsid w:val="006337F4"/>
    <w:rsid w:val="00634C40"/>
    <w:rsid w:val="0064272D"/>
    <w:rsid w:val="00644947"/>
    <w:rsid w:val="00650B25"/>
    <w:rsid w:val="00651149"/>
    <w:rsid w:val="00653C81"/>
    <w:rsid w:val="00653EBD"/>
    <w:rsid w:val="006546E5"/>
    <w:rsid w:val="00654C33"/>
    <w:rsid w:val="00655243"/>
    <w:rsid w:val="00661C4B"/>
    <w:rsid w:val="00665244"/>
    <w:rsid w:val="006662D9"/>
    <w:rsid w:val="006779BB"/>
    <w:rsid w:val="006821E3"/>
    <w:rsid w:val="006823EA"/>
    <w:rsid w:val="00692A27"/>
    <w:rsid w:val="006A1F33"/>
    <w:rsid w:val="006A3646"/>
    <w:rsid w:val="006A55B7"/>
    <w:rsid w:val="006B07CF"/>
    <w:rsid w:val="006B24DF"/>
    <w:rsid w:val="006B5B53"/>
    <w:rsid w:val="006C0C8F"/>
    <w:rsid w:val="006C1993"/>
    <w:rsid w:val="006C267C"/>
    <w:rsid w:val="006C2F89"/>
    <w:rsid w:val="006C3BE6"/>
    <w:rsid w:val="006C475C"/>
    <w:rsid w:val="006C7AC4"/>
    <w:rsid w:val="006C7D6D"/>
    <w:rsid w:val="006D68B3"/>
    <w:rsid w:val="006E0330"/>
    <w:rsid w:val="006E04B8"/>
    <w:rsid w:val="006E1F3A"/>
    <w:rsid w:val="006E78AE"/>
    <w:rsid w:val="006F093A"/>
    <w:rsid w:val="006F241D"/>
    <w:rsid w:val="006F7E59"/>
    <w:rsid w:val="007041DB"/>
    <w:rsid w:val="00705FB3"/>
    <w:rsid w:val="00717F59"/>
    <w:rsid w:val="0072035B"/>
    <w:rsid w:val="007242AD"/>
    <w:rsid w:val="007244A8"/>
    <w:rsid w:val="00724FC1"/>
    <w:rsid w:val="007277A0"/>
    <w:rsid w:val="00732B89"/>
    <w:rsid w:val="00734983"/>
    <w:rsid w:val="00736382"/>
    <w:rsid w:val="007377F3"/>
    <w:rsid w:val="00742151"/>
    <w:rsid w:val="007450B2"/>
    <w:rsid w:val="00746928"/>
    <w:rsid w:val="00747538"/>
    <w:rsid w:val="007500A1"/>
    <w:rsid w:val="007546D6"/>
    <w:rsid w:val="00754AE3"/>
    <w:rsid w:val="0075556F"/>
    <w:rsid w:val="00755A25"/>
    <w:rsid w:val="00760977"/>
    <w:rsid w:val="0076422B"/>
    <w:rsid w:val="00765069"/>
    <w:rsid w:val="0077216B"/>
    <w:rsid w:val="00773BB5"/>
    <w:rsid w:val="00776FF4"/>
    <w:rsid w:val="00781625"/>
    <w:rsid w:val="007913CF"/>
    <w:rsid w:val="00792428"/>
    <w:rsid w:val="007965FF"/>
    <w:rsid w:val="00796B19"/>
    <w:rsid w:val="007A118D"/>
    <w:rsid w:val="007A3385"/>
    <w:rsid w:val="007A3E2F"/>
    <w:rsid w:val="007A6563"/>
    <w:rsid w:val="007A6CFD"/>
    <w:rsid w:val="007A7372"/>
    <w:rsid w:val="007B1A2B"/>
    <w:rsid w:val="007B291C"/>
    <w:rsid w:val="007B50F0"/>
    <w:rsid w:val="007C0276"/>
    <w:rsid w:val="007C5212"/>
    <w:rsid w:val="007C56EC"/>
    <w:rsid w:val="007C5E19"/>
    <w:rsid w:val="007C77ED"/>
    <w:rsid w:val="007D1A9E"/>
    <w:rsid w:val="007D1AD5"/>
    <w:rsid w:val="007D319D"/>
    <w:rsid w:val="007D340A"/>
    <w:rsid w:val="007D3946"/>
    <w:rsid w:val="007D73FE"/>
    <w:rsid w:val="007D7BFD"/>
    <w:rsid w:val="007E0A4D"/>
    <w:rsid w:val="007E1607"/>
    <w:rsid w:val="007E3D0D"/>
    <w:rsid w:val="007E3F1E"/>
    <w:rsid w:val="007E5041"/>
    <w:rsid w:val="007E6233"/>
    <w:rsid w:val="007E6366"/>
    <w:rsid w:val="007F12E3"/>
    <w:rsid w:val="007F22C0"/>
    <w:rsid w:val="007F27DE"/>
    <w:rsid w:val="007F368D"/>
    <w:rsid w:val="007F603C"/>
    <w:rsid w:val="007F70CA"/>
    <w:rsid w:val="00802126"/>
    <w:rsid w:val="00803C7C"/>
    <w:rsid w:val="00803DFA"/>
    <w:rsid w:val="00804C91"/>
    <w:rsid w:val="00805265"/>
    <w:rsid w:val="008052AE"/>
    <w:rsid w:val="00805C63"/>
    <w:rsid w:val="00806EEB"/>
    <w:rsid w:val="008113FF"/>
    <w:rsid w:val="00811692"/>
    <w:rsid w:val="00814DB1"/>
    <w:rsid w:val="00814F05"/>
    <w:rsid w:val="0081655E"/>
    <w:rsid w:val="0082124F"/>
    <w:rsid w:val="008257E2"/>
    <w:rsid w:val="0083134E"/>
    <w:rsid w:val="00832AC9"/>
    <w:rsid w:val="00836DD1"/>
    <w:rsid w:val="00836EE0"/>
    <w:rsid w:val="0084384A"/>
    <w:rsid w:val="008460C6"/>
    <w:rsid w:val="00853AD5"/>
    <w:rsid w:val="008605A8"/>
    <w:rsid w:val="00864567"/>
    <w:rsid w:val="00864698"/>
    <w:rsid w:val="00866522"/>
    <w:rsid w:val="00877815"/>
    <w:rsid w:val="008848B0"/>
    <w:rsid w:val="00890C01"/>
    <w:rsid w:val="00891128"/>
    <w:rsid w:val="00891CD1"/>
    <w:rsid w:val="008970AD"/>
    <w:rsid w:val="008A2730"/>
    <w:rsid w:val="008A3EE8"/>
    <w:rsid w:val="008A637F"/>
    <w:rsid w:val="008A6506"/>
    <w:rsid w:val="008B02FC"/>
    <w:rsid w:val="008B0991"/>
    <w:rsid w:val="008B2C78"/>
    <w:rsid w:val="008B3F07"/>
    <w:rsid w:val="008B4888"/>
    <w:rsid w:val="008B7F52"/>
    <w:rsid w:val="008C0926"/>
    <w:rsid w:val="008C3663"/>
    <w:rsid w:val="008C3FCF"/>
    <w:rsid w:val="008D0E9D"/>
    <w:rsid w:val="008D32B3"/>
    <w:rsid w:val="008D475B"/>
    <w:rsid w:val="008D621D"/>
    <w:rsid w:val="008E2863"/>
    <w:rsid w:val="008E31F8"/>
    <w:rsid w:val="008E7D8B"/>
    <w:rsid w:val="008F2D91"/>
    <w:rsid w:val="008F713D"/>
    <w:rsid w:val="00905B1C"/>
    <w:rsid w:val="00907284"/>
    <w:rsid w:val="00907676"/>
    <w:rsid w:val="009121D3"/>
    <w:rsid w:val="009142C8"/>
    <w:rsid w:val="00921E93"/>
    <w:rsid w:val="00924A6E"/>
    <w:rsid w:val="00925D41"/>
    <w:rsid w:val="00930CE7"/>
    <w:rsid w:val="00932DE6"/>
    <w:rsid w:val="009377A9"/>
    <w:rsid w:val="00940EEF"/>
    <w:rsid w:val="00946747"/>
    <w:rsid w:val="00950A50"/>
    <w:rsid w:val="00952477"/>
    <w:rsid w:val="0095326F"/>
    <w:rsid w:val="0095692C"/>
    <w:rsid w:val="00961F4F"/>
    <w:rsid w:val="0096338F"/>
    <w:rsid w:val="00963806"/>
    <w:rsid w:val="009658A2"/>
    <w:rsid w:val="00971435"/>
    <w:rsid w:val="00971575"/>
    <w:rsid w:val="009736AB"/>
    <w:rsid w:val="0097425B"/>
    <w:rsid w:val="009766D4"/>
    <w:rsid w:val="00976B06"/>
    <w:rsid w:val="00976C84"/>
    <w:rsid w:val="00980CBA"/>
    <w:rsid w:val="0098130B"/>
    <w:rsid w:val="00981559"/>
    <w:rsid w:val="009821E3"/>
    <w:rsid w:val="00987633"/>
    <w:rsid w:val="00987B10"/>
    <w:rsid w:val="00987B51"/>
    <w:rsid w:val="00991253"/>
    <w:rsid w:val="00991774"/>
    <w:rsid w:val="009938EE"/>
    <w:rsid w:val="009970A9"/>
    <w:rsid w:val="009A0EA9"/>
    <w:rsid w:val="009A16B1"/>
    <w:rsid w:val="009A398C"/>
    <w:rsid w:val="009A43CE"/>
    <w:rsid w:val="009A602D"/>
    <w:rsid w:val="009A6523"/>
    <w:rsid w:val="009A674E"/>
    <w:rsid w:val="009A7784"/>
    <w:rsid w:val="009A7A1B"/>
    <w:rsid w:val="009B1E1A"/>
    <w:rsid w:val="009B57B8"/>
    <w:rsid w:val="009B6622"/>
    <w:rsid w:val="009B79E3"/>
    <w:rsid w:val="009C156E"/>
    <w:rsid w:val="009C1B02"/>
    <w:rsid w:val="009C2631"/>
    <w:rsid w:val="009C56D9"/>
    <w:rsid w:val="009D22F1"/>
    <w:rsid w:val="009D3E05"/>
    <w:rsid w:val="009D7586"/>
    <w:rsid w:val="009E029F"/>
    <w:rsid w:val="009E0562"/>
    <w:rsid w:val="009E0EAE"/>
    <w:rsid w:val="009E2454"/>
    <w:rsid w:val="009E5204"/>
    <w:rsid w:val="009E7A2D"/>
    <w:rsid w:val="009F06C5"/>
    <w:rsid w:val="009F1C7F"/>
    <w:rsid w:val="009F6F03"/>
    <w:rsid w:val="00A003A7"/>
    <w:rsid w:val="00A10197"/>
    <w:rsid w:val="00A105A8"/>
    <w:rsid w:val="00A10C62"/>
    <w:rsid w:val="00A1339A"/>
    <w:rsid w:val="00A138C6"/>
    <w:rsid w:val="00A1400C"/>
    <w:rsid w:val="00A200E4"/>
    <w:rsid w:val="00A21C68"/>
    <w:rsid w:val="00A24594"/>
    <w:rsid w:val="00A24732"/>
    <w:rsid w:val="00A24AD8"/>
    <w:rsid w:val="00A250C5"/>
    <w:rsid w:val="00A340C3"/>
    <w:rsid w:val="00A35985"/>
    <w:rsid w:val="00A3752E"/>
    <w:rsid w:val="00A376FE"/>
    <w:rsid w:val="00A40344"/>
    <w:rsid w:val="00A40A56"/>
    <w:rsid w:val="00A42245"/>
    <w:rsid w:val="00A43533"/>
    <w:rsid w:val="00A45272"/>
    <w:rsid w:val="00A4651E"/>
    <w:rsid w:val="00A5628A"/>
    <w:rsid w:val="00A61238"/>
    <w:rsid w:val="00A62A5D"/>
    <w:rsid w:val="00A6487F"/>
    <w:rsid w:val="00A64885"/>
    <w:rsid w:val="00A70C3C"/>
    <w:rsid w:val="00A71D43"/>
    <w:rsid w:val="00A72E50"/>
    <w:rsid w:val="00A74C23"/>
    <w:rsid w:val="00A81B1E"/>
    <w:rsid w:val="00A83A4F"/>
    <w:rsid w:val="00A86FED"/>
    <w:rsid w:val="00A87296"/>
    <w:rsid w:val="00A90D9C"/>
    <w:rsid w:val="00A9101E"/>
    <w:rsid w:val="00A91C62"/>
    <w:rsid w:val="00A9234C"/>
    <w:rsid w:val="00A9363B"/>
    <w:rsid w:val="00A94EEE"/>
    <w:rsid w:val="00A965D9"/>
    <w:rsid w:val="00AA427B"/>
    <w:rsid w:val="00AA58C1"/>
    <w:rsid w:val="00AA64D7"/>
    <w:rsid w:val="00AA7AE6"/>
    <w:rsid w:val="00AB134F"/>
    <w:rsid w:val="00AB148A"/>
    <w:rsid w:val="00AB15EF"/>
    <w:rsid w:val="00AB2485"/>
    <w:rsid w:val="00AB7C0E"/>
    <w:rsid w:val="00AC1384"/>
    <w:rsid w:val="00AC149F"/>
    <w:rsid w:val="00AC33F5"/>
    <w:rsid w:val="00AD3478"/>
    <w:rsid w:val="00AD64BA"/>
    <w:rsid w:val="00AD700A"/>
    <w:rsid w:val="00AE01CA"/>
    <w:rsid w:val="00AE798D"/>
    <w:rsid w:val="00AF26D3"/>
    <w:rsid w:val="00AF482E"/>
    <w:rsid w:val="00AF493C"/>
    <w:rsid w:val="00B009F5"/>
    <w:rsid w:val="00B03DFA"/>
    <w:rsid w:val="00B059F1"/>
    <w:rsid w:val="00B07428"/>
    <w:rsid w:val="00B110AF"/>
    <w:rsid w:val="00B1179D"/>
    <w:rsid w:val="00B122C2"/>
    <w:rsid w:val="00B13A3D"/>
    <w:rsid w:val="00B14666"/>
    <w:rsid w:val="00B1522D"/>
    <w:rsid w:val="00B15B4B"/>
    <w:rsid w:val="00B16A5C"/>
    <w:rsid w:val="00B241C6"/>
    <w:rsid w:val="00B24898"/>
    <w:rsid w:val="00B24A47"/>
    <w:rsid w:val="00B26B6B"/>
    <w:rsid w:val="00B34B06"/>
    <w:rsid w:val="00B34DC4"/>
    <w:rsid w:val="00B37686"/>
    <w:rsid w:val="00B4522A"/>
    <w:rsid w:val="00B46C2B"/>
    <w:rsid w:val="00B52C3A"/>
    <w:rsid w:val="00B573AD"/>
    <w:rsid w:val="00B60440"/>
    <w:rsid w:val="00B61049"/>
    <w:rsid w:val="00B62C2E"/>
    <w:rsid w:val="00B64DAA"/>
    <w:rsid w:val="00B660C9"/>
    <w:rsid w:val="00B71006"/>
    <w:rsid w:val="00B72DC8"/>
    <w:rsid w:val="00B73AA1"/>
    <w:rsid w:val="00B75896"/>
    <w:rsid w:val="00B759C1"/>
    <w:rsid w:val="00B809D6"/>
    <w:rsid w:val="00B813A7"/>
    <w:rsid w:val="00B85040"/>
    <w:rsid w:val="00B86F6B"/>
    <w:rsid w:val="00BA2F7E"/>
    <w:rsid w:val="00BA5959"/>
    <w:rsid w:val="00BB0E7B"/>
    <w:rsid w:val="00BB3EEE"/>
    <w:rsid w:val="00BBAE1B"/>
    <w:rsid w:val="00BC4BB7"/>
    <w:rsid w:val="00BD49A5"/>
    <w:rsid w:val="00BD5285"/>
    <w:rsid w:val="00BD5587"/>
    <w:rsid w:val="00BE0F0B"/>
    <w:rsid w:val="00BE2724"/>
    <w:rsid w:val="00BE315E"/>
    <w:rsid w:val="00BE4DD6"/>
    <w:rsid w:val="00BE53BB"/>
    <w:rsid w:val="00BE6834"/>
    <w:rsid w:val="00BF0A6B"/>
    <w:rsid w:val="00BF25CB"/>
    <w:rsid w:val="00BF398C"/>
    <w:rsid w:val="00C044DB"/>
    <w:rsid w:val="00C126FC"/>
    <w:rsid w:val="00C15BBB"/>
    <w:rsid w:val="00C176CE"/>
    <w:rsid w:val="00C202AC"/>
    <w:rsid w:val="00C22ACE"/>
    <w:rsid w:val="00C25ABC"/>
    <w:rsid w:val="00C26644"/>
    <w:rsid w:val="00C31D6F"/>
    <w:rsid w:val="00C324CD"/>
    <w:rsid w:val="00C34542"/>
    <w:rsid w:val="00C35F0B"/>
    <w:rsid w:val="00C365BB"/>
    <w:rsid w:val="00C44493"/>
    <w:rsid w:val="00C458D1"/>
    <w:rsid w:val="00C501AD"/>
    <w:rsid w:val="00C5030F"/>
    <w:rsid w:val="00C50F65"/>
    <w:rsid w:val="00C51F8E"/>
    <w:rsid w:val="00C52DC8"/>
    <w:rsid w:val="00C53687"/>
    <w:rsid w:val="00C56700"/>
    <w:rsid w:val="00C615BB"/>
    <w:rsid w:val="00C62C34"/>
    <w:rsid w:val="00C657A3"/>
    <w:rsid w:val="00C74040"/>
    <w:rsid w:val="00C8022F"/>
    <w:rsid w:val="00C8036C"/>
    <w:rsid w:val="00C840EC"/>
    <w:rsid w:val="00C844E1"/>
    <w:rsid w:val="00C85F2A"/>
    <w:rsid w:val="00C86D10"/>
    <w:rsid w:val="00C90E0A"/>
    <w:rsid w:val="00C929E4"/>
    <w:rsid w:val="00C92BCB"/>
    <w:rsid w:val="00C93DB8"/>
    <w:rsid w:val="00C9513C"/>
    <w:rsid w:val="00C95F1B"/>
    <w:rsid w:val="00CA0740"/>
    <w:rsid w:val="00CA120D"/>
    <w:rsid w:val="00CA1CF8"/>
    <w:rsid w:val="00CA228B"/>
    <w:rsid w:val="00CA54E7"/>
    <w:rsid w:val="00CA552B"/>
    <w:rsid w:val="00CB36EE"/>
    <w:rsid w:val="00CB3C4D"/>
    <w:rsid w:val="00CB4A5B"/>
    <w:rsid w:val="00CB4D58"/>
    <w:rsid w:val="00CB523F"/>
    <w:rsid w:val="00CB5E2E"/>
    <w:rsid w:val="00CC72F0"/>
    <w:rsid w:val="00CC7D93"/>
    <w:rsid w:val="00CD26E3"/>
    <w:rsid w:val="00CD5BC3"/>
    <w:rsid w:val="00CD601F"/>
    <w:rsid w:val="00CD6EBC"/>
    <w:rsid w:val="00CD7647"/>
    <w:rsid w:val="00CE13FD"/>
    <w:rsid w:val="00CE23A5"/>
    <w:rsid w:val="00CE5BB0"/>
    <w:rsid w:val="00CE78FC"/>
    <w:rsid w:val="00CF0703"/>
    <w:rsid w:val="00D01CC4"/>
    <w:rsid w:val="00D01FAF"/>
    <w:rsid w:val="00D0250D"/>
    <w:rsid w:val="00D03523"/>
    <w:rsid w:val="00D0522E"/>
    <w:rsid w:val="00D126DB"/>
    <w:rsid w:val="00D127AD"/>
    <w:rsid w:val="00D13A7A"/>
    <w:rsid w:val="00D161C6"/>
    <w:rsid w:val="00D179B6"/>
    <w:rsid w:val="00D22DF3"/>
    <w:rsid w:val="00D26D92"/>
    <w:rsid w:val="00D337D0"/>
    <w:rsid w:val="00D33CB3"/>
    <w:rsid w:val="00D342FA"/>
    <w:rsid w:val="00D34FFA"/>
    <w:rsid w:val="00D413FC"/>
    <w:rsid w:val="00D44D9B"/>
    <w:rsid w:val="00D44FD9"/>
    <w:rsid w:val="00D4746E"/>
    <w:rsid w:val="00D50BA7"/>
    <w:rsid w:val="00D50F6D"/>
    <w:rsid w:val="00D51F3F"/>
    <w:rsid w:val="00D55227"/>
    <w:rsid w:val="00D565F0"/>
    <w:rsid w:val="00D572D4"/>
    <w:rsid w:val="00D62BAA"/>
    <w:rsid w:val="00D64CF6"/>
    <w:rsid w:val="00D64ECA"/>
    <w:rsid w:val="00D6795F"/>
    <w:rsid w:val="00D67AF4"/>
    <w:rsid w:val="00D71090"/>
    <w:rsid w:val="00D7691F"/>
    <w:rsid w:val="00D77C43"/>
    <w:rsid w:val="00D80EEC"/>
    <w:rsid w:val="00D84840"/>
    <w:rsid w:val="00D856FC"/>
    <w:rsid w:val="00D85724"/>
    <w:rsid w:val="00D86470"/>
    <w:rsid w:val="00D8673C"/>
    <w:rsid w:val="00D9143E"/>
    <w:rsid w:val="00D93056"/>
    <w:rsid w:val="00D95DAF"/>
    <w:rsid w:val="00D95FB4"/>
    <w:rsid w:val="00DA7C86"/>
    <w:rsid w:val="00DB15FF"/>
    <w:rsid w:val="00DB36AC"/>
    <w:rsid w:val="00DB48BA"/>
    <w:rsid w:val="00DC2083"/>
    <w:rsid w:val="00DC57EB"/>
    <w:rsid w:val="00DD6BD4"/>
    <w:rsid w:val="00DD76AE"/>
    <w:rsid w:val="00DD7B47"/>
    <w:rsid w:val="00DE1BA3"/>
    <w:rsid w:val="00DE743D"/>
    <w:rsid w:val="00DF212A"/>
    <w:rsid w:val="00DF4A62"/>
    <w:rsid w:val="00DF590D"/>
    <w:rsid w:val="00DF60A9"/>
    <w:rsid w:val="00DF6327"/>
    <w:rsid w:val="00DF6690"/>
    <w:rsid w:val="00E02C32"/>
    <w:rsid w:val="00E133F3"/>
    <w:rsid w:val="00E139A3"/>
    <w:rsid w:val="00E1509F"/>
    <w:rsid w:val="00E155E3"/>
    <w:rsid w:val="00E16D01"/>
    <w:rsid w:val="00E179C6"/>
    <w:rsid w:val="00E249EC"/>
    <w:rsid w:val="00E27A9A"/>
    <w:rsid w:val="00E311BF"/>
    <w:rsid w:val="00E31E13"/>
    <w:rsid w:val="00E32795"/>
    <w:rsid w:val="00E34783"/>
    <w:rsid w:val="00E35D5D"/>
    <w:rsid w:val="00E35E28"/>
    <w:rsid w:val="00E412C3"/>
    <w:rsid w:val="00E41713"/>
    <w:rsid w:val="00E4203F"/>
    <w:rsid w:val="00E4276A"/>
    <w:rsid w:val="00E470F7"/>
    <w:rsid w:val="00E51DA0"/>
    <w:rsid w:val="00E550CC"/>
    <w:rsid w:val="00E60849"/>
    <w:rsid w:val="00E67056"/>
    <w:rsid w:val="00E67231"/>
    <w:rsid w:val="00E67BFE"/>
    <w:rsid w:val="00E71FBC"/>
    <w:rsid w:val="00E832E1"/>
    <w:rsid w:val="00E83E70"/>
    <w:rsid w:val="00E9019D"/>
    <w:rsid w:val="00E90F6F"/>
    <w:rsid w:val="00E9498F"/>
    <w:rsid w:val="00EA3220"/>
    <w:rsid w:val="00EA3EE4"/>
    <w:rsid w:val="00EA4508"/>
    <w:rsid w:val="00EA49A8"/>
    <w:rsid w:val="00EA4DB2"/>
    <w:rsid w:val="00EB21B4"/>
    <w:rsid w:val="00EB4F93"/>
    <w:rsid w:val="00EB5636"/>
    <w:rsid w:val="00EB6654"/>
    <w:rsid w:val="00EB67EF"/>
    <w:rsid w:val="00EB6864"/>
    <w:rsid w:val="00EB7149"/>
    <w:rsid w:val="00EC3A23"/>
    <w:rsid w:val="00ED0D29"/>
    <w:rsid w:val="00ED1362"/>
    <w:rsid w:val="00ED25F1"/>
    <w:rsid w:val="00ED3089"/>
    <w:rsid w:val="00ED5BCF"/>
    <w:rsid w:val="00ED5E5A"/>
    <w:rsid w:val="00ED677B"/>
    <w:rsid w:val="00ED7171"/>
    <w:rsid w:val="00EE0368"/>
    <w:rsid w:val="00EE1A9A"/>
    <w:rsid w:val="00EE48A7"/>
    <w:rsid w:val="00EE6B46"/>
    <w:rsid w:val="00EF7CEC"/>
    <w:rsid w:val="00F002A0"/>
    <w:rsid w:val="00F0276F"/>
    <w:rsid w:val="00F06DEB"/>
    <w:rsid w:val="00F078FC"/>
    <w:rsid w:val="00F1589A"/>
    <w:rsid w:val="00F20802"/>
    <w:rsid w:val="00F20DF1"/>
    <w:rsid w:val="00F246BF"/>
    <w:rsid w:val="00F24E4E"/>
    <w:rsid w:val="00F25700"/>
    <w:rsid w:val="00F30C87"/>
    <w:rsid w:val="00F32D8D"/>
    <w:rsid w:val="00F35005"/>
    <w:rsid w:val="00F37692"/>
    <w:rsid w:val="00F40C0D"/>
    <w:rsid w:val="00F40EAB"/>
    <w:rsid w:val="00F42A4D"/>
    <w:rsid w:val="00F45ED6"/>
    <w:rsid w:val="00F52F25"/>
    <w:rsid w:val="00F54ACC"/>
    <w:rsid w:val="00F55430"/>
    <w:rsid w:val="00F5668A"/>
    <w:rsid w:val="00F61514"/>
    <w:rsid w:val="00F61D63"/>
    <w:rsid w:val="00F66930"/>
    <w:rsid w:val="00F71A08"/>
    <w:rsid w:val="00F72A1D"/>
    <w:rsid w:val="00F740F2"/>
    <w:rsid w:val="00F75271"/>
    <w:rsid w:val="00F76F63"/>
    <w:rsid w:val="00F81790"/>
    <w:rsid w:val="00F83CD3"/>
    <w:rsid w:val="00F84C98"/>
    <w:rsid w:val="00F86520"/>
    <w:rsid w:val="00F96E67"/>
    <w:rsid w:val="00FA02EB"/>
    <w:rsid w:val="00FB0E9D"/>
    <w:rsid w:val="00FB33C6"/>
    <w:rsid w:val="00FB4835"/>
    <w:rsid w:val="00FC058B"/>
    <w:rsid w:val="00FC3D5A"/>
    <w:rsid w:val="00FD1EF6"/>
    <w:rsid w:val="00FD2714"/>
    <w:rsid w:val="00FD294C"/>
    <w:rsid w:val="00FD41C1"/>
    <w:rsid w:val="00FE13C9"/>
    <w:rsid w:val="00FE2CA6"/>
    <w:rsid w:val="00FE4796"/>
    <w:rsid w:val="00FE651B"/>
    <w:rsid w:val="00FE677E"/>
    <w:rsid w:val="00FE7ED4"/>
    <w:rsid w:val="00FF04F1"/>
    <w:rsid w:val="00FF061B"/>
    <w:rsid w:val="00FF0931"/>
    <w:rsid w:val="00FF2BBA"/>
    <w:rsid w:val="00FF3479"/>
    <w:rsid w:val="00FF3C63"/>
    <w:rsid w:val="00FF492F"/>
    <w:rsid w:val="00FF73C0"/>
    <w:rsid w:val="018E0CF6"/>
    <w:rsid w:val="024DB201"/>
    <w:rsid w:val="03A03215"/>
    <w:rsid w:val="03F124D1"/>
    <w:rsid w:val="04AF5FD0"/>
    <w:rsid w:val="060C19C2"/>
    <w:rsid w:val="0642B49A"/>
    <w:rsid w:val="066C3F26"/>
    <w:rsid w:val="08B30FD7"/>
    <w:rsid w:val="09BCA0EA"/>
    <w:rsid w:val="0AE4EAF5"/>
    <w:rsid w:val="0B3E390A"/>
    <w:rsid w:val="0BD8E2A3"/>
    <w:rsid w:val="0C139F74"/>
    <w:rsid w:val="0C7D40BD"/>
    <w:rsid w:val="0CA6D3EE"/>
    <w:rsid w:val="0E24B3BD"/>
    <w:rsid w:val="0E4115FF"/>
    <w:rsid w:val="0EC06E44"/>
    <w:rsid w:val="0F33A2C7"/>
    <w:rsid w:val="12F8C196"/>
    <w:rsid w:val="13085310"/>
    <w:rsid w:val="14F16780"/>
    <w:rsid w:val="17DE8EE7"/>
    <w:rsid w:val="1877CCFB"/>
    <w:rsid w:val="1948BDE7"/>
    <w:rsid w:val="198B6848"/>
    <w:rsid w:val="1C7E68E6"/>
    <w:rsid w:val="1CD3CF31"/>
    <w:rsid w:val="1E362FC6"/>
    <w:rsid w:val="1E4F98BD"/>
    <w:rsid w:val="1F4BA7A2"/>
    <w:rsid w:val="1FBD65C4"/>
    <w:rsid w:val="21DE717C"/>
    <w:rsid w:val="22018439"/>
    <w:rsid w:val="22AC8AE2"/>
    <w:rsid w:val="22E7AEBE"/>
    <w:rsid w:val="23F24567"/>
    <w:rsid w:val="24E3C247"/>
    <w:rsid w:val="25D75955"/>
    <w:rsid w:val="280C8101"/>
    <w:rsid w:val="2B20CDDB"/>
    <w:rsid w:val="2BC7F2DB"/>
    <w:rsid w:val="2C574A58"/>
    <w:rsid w:val="2CB795B6"/>
    <w:rsid w:val="2EA5E114"/>
    <w:rsid w:val="2EC7B5A1"/>
    <w:rsid w:val="2EF3A34B"/>
    <w:rsid w:val="2F98C197"/>
    <w:rsid w:val="301C0258"/>
    <w:rsid w:val="302BE34A"/>
    <w:rsid w:val="307A642D"/>
    <w:rsid w:val="32F4E57F"/>
    <w:rsid w:val="332F6D14"/>
    <w:rsid w:val="3334B2BF"/>
    <w:rsid w:val="379868CE"/>
    <w:rsid w:val="388D3E81"/>
    <w:rsid w:val="390414CD"/>
    <w:rsid w:val="39CD1411"/>
    <w:rsid w:val="3BB098CA"/>
    <w:rsid w:val="3C586FEF"/>
    <w:rsid w:val="3C689F4B"/>
    <w:rsid w:val="3CE7828E"/>
    <w:rsid w:val="3E9D9250"/>
    <w:rsid w:val="3F434C77"/>
    <w:rsid w:val="3F6034F8"/>
    <w:rsid w:val="4129779B"/>
    <w:rsid w:val="44D08744"/>
    <w:rsid w:val="4629AB00"/>
    <w:rsid w:val="46B50B6F"/>
    <w:rsid w:val="46CE6E38"/>
    <w:rsid w:val="46D13B56"/>
    <w:rsid w:val="478B2268"/>
    <w:rsid w:val="481CF8BD"/>
    <w:rsid w:val="48B40ED9"/>
    <w:rsid w:val="4A56BDC6"/>
    <w:rsid w:val="4C8A2ED1"/>
    <w:rsid w:val="524D7D9A"/>
    <w:rsid w:val="52D1A329"/>
    <w:rsid w:val="541CDDC2"/>
    <w:rsid w:val="545C13CA"/>
    <w:rsid w:val="54A5BFC7"/>
    <w:rsid w:val="54B0E670"/>
    <w:rsid w:val="55139583"/>
    <w:rsid w:val="5560CAFD"/>
    <w:rsid w:val="57C896EB"/>
    <w:rsid w:val="580A618D"/>
    <w:rsid w:val="590899EA"/>
    <w:rsid w:val="59D18A31"/>
    <w:rsid w:val="5B6F2C50"/>
    <w:rsid w:val="5F1C761B"/>
    <w:rsid w:val="5FFAF273"/>
    <w:rsid w:val="66FA0B35"/>
    <w:rsid w:val="67BC9070"/>
    <w:rsid w:val="6820E6AC"/>
    <w:rsid w:val="694A5591"/>
    <w:rsid w:val="6951206F"/>
    <w:rsid w:val="69B9834E"/>
    <w:rsid w:val="6E375936"/>
    <w:rsid w:val="70471CE1"/>
    <w:rsid w:val="70EA25EC"/>
    <w:rsid w:val="7154B6FF"/>
    <w:rsid w:val="72B9C6C5"/>
    <w:rsid w:val="72EFEF33"/>
    <w:rsid w:val="72F84137"/>
    <w:rsid w:val="73275690"/>
    <w:rsid w:val="7441BA3B"/>
    <w:rsid w:val="746290FD"/>
    <w:rsid w:val="74777353"/>
    <w:rsid w:val="7486B654"/>
    <w:rsid w:val="75B3DBD1"/>
    <w:rsid w:val="762FDBA4"/>
    <w:rsid w:val="76F56DD0"/>
    <w:rsid w:val="77820EC9"/>
    <w:rsid w:val="78455678"/>
    <w:rsid w:val="7856224C"/>
    <w:rsid w:val="786FA2DC"/>
    <w:rsid w:val="78BEEACF"/>
    <w:rsid w:val="792A5B17"/>
    <w:rsid w:val="7AE1A348"/>
    <w:rsid w:val="7D4E0A67"/>
    <w:rsid w:val="7F0B3C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90B25"/>
  <w15:chartTrackingRefBased/>
  <w15:docId w15:val="{F8F279BD-A522-49CA-AC84-8D763EBAC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68B3"/>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D68B3"/>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D68B3"/>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D68B3"/>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D68B3"/>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D68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68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68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68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68B3"/>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D68B3"/>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D68B3"/>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D68B3"/>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D68B3"/>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68B3"/>
    <w:rPr>
      <w:rFonts w:eastAsiaTheme="majorEastAsia" w:cstheme="majorBidi"/>
      <w:color w:val="272727" w:themeColor="text1" w:themeTint="D8"/>
    </w:rPr>
  </w:style>
  <w:style w:type="paragraph" w:styleId="Title">
    <w:name w:val="Title"/>
    <w:basedOn w:val="Normal"/>
    <w:next w:val="Normal"/>
    <w:link w:val="TitleChar"/>
    <w:uiPriority w:val="10"/>
    <w:qFormat/>
    <w:rsid w:val="006D68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68B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68B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D68B3"/>
    <w:rPr>
      <w:i/>
      <w:iCs/>
      <w:color w:val="404040" w:themeColor="text1" w:themeTint="BF"/>
    </w:rPr>
  </w:style>
  <w:style w:type="paragraph" w:styleId="ListParagraph">
    <w:name w:val="List Paragraph"/>
    <w:basedOn w:val="Normal"/>
    <w:uiPriority w:val="34"/>
    <w:qFormat/>
    <w:rsid w:val="006D68B3"/>
    <w:pPr>
      <w:ind w:left="720"/>
      <w:contextualSpacing/>
    </w:pPr>
  </w:style>
  <w:style w:type="character" w:styleId="IntenseEmphasis">
    <w:name w:val="Intense Emphasis"/>
    <w:basedOn w:val="DefaultParagraphFont"/>
    <w:uiPriority w:val="21"/>
    <w:qFormat/>
    <w:rsid w:val="006D68B3"/>
    <w:rPr>
      <w:i/>
      <w:iCs/>
      <w:color w:val="365F91" w:themeColor="accent1" w:themeShade="BF"/>
    </w:rPr>
  </w:style>
  <w:style w:type="paragraph" w:styleId="IntenseQuote">
    <w:name w:val="Intense Quote"/>
    <w:basedOn w:val="Normal"/>
    <w:next w:val="Normal"/>
    <w:link w:val="IntenseQuoteChar"/>
    <w:uiPriority w:val="30"/>
    <w:qFormat/>
    <w:rsid w:val="006D68B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D68B3"/>
    <w:rPr>
      <w:i/>
      <w:iCs/>
      <w:color w:val="365F91" w:themeColor="accent1" w:themeShade="BF"/>
    </w:rPr>
  </w:style>
  <w:style w:type="character" w:styleId="IntenseReference">
    <w:name w:val="Intense Reference"/>
    <w:basedOn w:val="DefaultParagraphFont"/>
    <w:uiPriority w:val="32"/>
    <w:qFormat/>
    <w:rsid w:val="006D68B3"/>
    <w:rPr>
      <w:b/>
      <w:bCs/>
      <w:smallCaps/>
      <w:color w:val="365F91" w:themeColor="accent1" w:themeShade="BF"/>
      <w:spacing w:val="5"/>
    </w:rPr>
  </w:style>
  <w:style w:type="paragraph" w:styleId="Header">
    <w:name w:val="header"/>
    <w:basedOn w:val="Normal"/>
    <w:link w:val="HeaderChar"/>
    <w:uiPriority w:val="99"/>
    <w:unhideWhenUsed/>
    <w:rsid w:val="006D68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68B3"/>
  </w:style>
  <w:style w:type="paragraph" w:styleId="Footer">
    <w:name w:val="footer"/>
    <w:basedOn w:val="Normal"/>
    <w:link w:val="FooterChar"/>
    <w:uiPriority w:val="99"/>
    <w:unhideWhenUsed/>
    <w:rsid w:val="006D68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68B3"/>
  </w:style>
  <w:style w:type="character" w:styleId="Hyperlink">
    <w:name w:val="Hyperlink"/>
    <w:basedOn w:val="DefaultParagraphFont"/>
    <w:uiPriority w:val="99"/>
    <w:unhideWhenUsed/>
    <w:rsid w:val="002C47D5"/>
    <w:rPr>
      <w:color w:val="0000FF" w:themeColor="hyperlink"/>
      <w:u w:val="single"/>
    </w:rPr>
  </w:style>
  <w:style w:type="character" w:styleId="UnresolvedMention">
    <w:name w:val="Unresolved Mention"/>
    <w:basedOn w:val="DefaultParagraphFont"/>
    <w:uiPriority w:val="99"/>
    <w:semiHidden/>
    <w:unhideWhenUsed/>
    <w:rsid w:val="002C47D5"/>
    <w:rPr>
      <w:color w:val="605E5C"/>
      <w:shd w:val="clear" w:color="auto" w:fill="E1DFDD"/>
    </w:rPr>
  </w:style>
  <w:style w:type="paragraph" w:styleId="FootnoteText">
    <w:name w:val="footnote text"/>
    <w:basedOn w:val="Normal"/>
    <w:link w:val="FootnoteTextChar"/>
    <w:uiPriority w:val="99"/>
    <w:semiHidden/>
    <w:unhideWhenUsed/>
    <w:rsid w:val="0080526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5265"/>
    <w:rPr>
      <w:sz w:val="20"/>
      <w:szCs w:val="20"/>
    </w:rPr>
  </w:style>
  <w:style w:type="character" w:styleId="FootnoteReference">
    <w:name w:val="footnote reference"/>
    <w:basedOn w:val="DefaultParagraphFont"/>
    <w:uiPriority w:val="99"/>
    <w:semiHidden/>
    <w:unhideWhenUsed/>
    <w:rsid w:val="009F1C7F"/>
    <w:rPr>
      <w:vertAlign w:val="superscript"/>
    </w:rPr>
  </w:style>
  <w:style w:type="table" w:styleId="TableGrid">
    <w:name w:val="Table Grid"/>
    <w:basedOn w:val="TableNormal"/>
    <w:uiPriority w:val="59"/>
    <w:rsid w:val="000B27A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lawinsider.com/dictionary/public-exhib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2519</Words>
  <Characters>14363</Characters>
  <Application>Microsoft Office Word</Application>
  <DocSecurity>4</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ailiyarizvi27@gmail.com</dc:creator>
  <cp:keywords/>
  <dc:description/>
  <cp:lastModifiedBy>Mazhar Ahmed</cp:lastModifiedBy>
  <cp:revision>2</cp:revision>
  <cp:lastPrinted>2025-06-19T09:29:00Z</cp:lastPrinted>
  <dcterms:created xsi:type="dcterms:W3CDTF">2025-06-24T20:20:00Z</dcterms:created>
  <dcterms:modified xsi:type="dcterms:W3CDTF">2025-06-24T20:20:00Z</dcterms:modified>
</cp:coreProperties>
</file>