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F21" w:rsidRDefault="00A40F21">
      <w:pPr>
        <w:pStyle w:val="normal0"/>
        <w:spacing w:before="240" w:after="24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Jessica Sana Minj</w:t>
      </w:r>
    </w:p>
    <w:p w:rsidR="00A40F21" w:rsidRDefault="00A40F21">
      <w:pPr>
        <w:pStyle w:val="normal0"/>
        <w:spacing w:before="240" w:after="24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Hidayatullah National Law University, Raipur </w:t>
      </w:r>
    </w:p>
    <w:p w:rsidR="00A40F21" w:rsidRDefault="00A40F21">
      <w:pPr>
        <w:pStyle w:val="normal0"/>
        <w:spacing w:before="240" w:after="240" w:line="360" w:lineRule="auto"/>
        <w:jc w:val="both"/>
        <w:rPr>
          <w:rFonts w:ascii="Times New Roman" w:eastAsia="Times New Roman" w:hAnsi="Times New Roman" w:cs="Times New Roman"/>
          <w:sz w:val="28"/>
          <w:szCs w:val="28"/>
        </w:rPr>
      </w:pPr>
    </w:p>
    <w:p w:rsidR="009C1E15" w:rsidRDefault="00BA34FE">
      <w:pPr>
        <w:pStyle w:val="normal0"/>
        <w:spacing w:before="240" w:after="24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AI REGULATION IN INDIA: IS THE DRAFT DIGITAL INDIA BILL 2025 ADEQUATE?</w:t>
      </w:r>
    </w:p>
    <w:p w:rsidR="009C1E15" w:rsidRDefault="00BA34FE">
      <w:pPr>
        <w:pStyle w:val="normal0"/>
        <w:spacing w:before="240" w:after="24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Introduction</w:t>
      </w:r>
    </w:p>
    <w:p w:rsidR="009C1E15" w:rsidRDefault="00BA34FE">
      <w:pPr>
        <w:pStyle w:val="normal0"/>
        <w:spacing w:before="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Rapid developments in artificial intelligence (AI) have brought up innovative opportunities as well as complicated risks pertaining to accountability, privacy, and prejudice in industries like surveillance, healthcare, finance, and government. There is a regulatory gap in India as a result of the rapid advancement of technology overtaking the establishment of a strong legal framework to control risks related to artificial intelligence. Concerns about unchecked AI deployment, data exploitation, and a lack of accountability systems have been highlighted by the lack of clear norms. In order to update the antiquate</w:t>
      </w:r>
      <w:r w:rsidR="007C7D0B">
        <w:rPr>
          <w:rFonts w:ascii="Times New Roman" w:eastAsia="Times New Roman" w:hAnsi="Times New Roman" w:cs="Times New Roman"/>
          <w:sz w:val="24"/>
          <w:szCs w:val="24"/>
        </w:rPr>
        <w:t xml:space="preserve">d Information Technology Act, </w:t>
      </w:r>
      <w:r>
        <w:rPr>
          <w:rFonts w:ascii="Times New Roman" w:eastAsia="Times New Roman" w:hAnsi="Times New Roman" w:cs="Times New Roman"/>
          <w:sz w:val="24"/>
          <w:szCs w:val="24"/>
        </w:rPr>
        <w:t>2000</w:t>
      </w:r>
      <w:r w:rsidR="007C7D0B">
        <w:rPr>
          <w:rStyle w:val="FootnoteReference"/>
          <w:rFonts w:ascii="Times New Roman" w:eastAsia="Times New Roman" w:hAnsi="Times New Roman" w:cs="Times New Roman"/>
          <w:sz w:val="24"/>
          <w:szCs w:val="24"/>
        </w:rPr>
        <w:footnoteReference w:id="2"/>
      </w:r>
      <w:r>
        <w:rPr>
          <w:rFonts w:ascii="Times New Roman" w:eastAsia="Times New Roman" w:hAnsi="Times New Roman" w:cs="Times New Roman"/>
          <w:sz w:val="24"/>
          <w:szCs w:val="24"/>
        </w:rPr>
        <w:t>, the Indian government unveiled</w:t>
      </w:r>
      <w:r w:rsidR="007C7D0B">
        <w:rPr>
          <w:rFonts w:ascii="Times New Roman" w:eastAsia="Times New Roman" w:hAnsi="Times New Roman" w:cs="Times New Roman"/>
          <w:sz w:val="24"/>
          <w:szCs w:val="24"/>
        </w:rPr>
        <w:t xml:space="preserve"> the Draft Digital India Bill,</w:t>
      </w:r>
      <w:r>
        <w:rPr>
          <w:rFonts w:ascii="Times New Roman" w:eastAsia="Times New Roman" w:hAnsi="Times New Roman" w:cs="Times New Roman"/>
          <w:sz w:val="24"/>
          <w:szCs w:val="24"/>
        </w:rPr>
        <w:t xml:space="preserve"> 2025. This article aims to assess whether the proposed legislation sufficiently takes into account the regulatory requirements of India's AI ecosystem. By examining its provisions related to algorithmic accountability, intermediary obligations, user protection, and digital trust, we assess if the bill can serve as a foundational framework for responsible AI governance in the country.</w:t>
      </w:r>
    </w:p>
    <w:p w:rsidR="009C1E15" w:rsidRDefault="00BA34FE">
      <w:pPr>
        <w:pStyle w:val="normal0"/>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Key features of the Draft Digital India Bill, 2025</w:t>
      </w:r>
      <w:r>
        <w:rPr>
          <w:rFonts w:ascii="Times New Roman" w:eastAsia="Times New Roman" w:hAnsi="Times New Roman" w:cs="Times New Roman"/>
          <w:sz w:val="24"/>
          <w:szCs w:val="24"/>
        </w:rPr>
        <w:t>.</w:t>
      </w:r>
      <w:r w:rsidRPr="002A4DB9">
        <w:rPr>
          <w:rStyle w:val="FootnoteReference"/>
        </w:rPr>
        <w:footnoteReference w:id="3"/>
      </w:r>
      <w:r>
        <w:rPr>
          <w:rFonts w:ascii="Times New Roman" w:eastAsia="Times New Roman" w:hAnsi="Times New Roman" w:cs="Times New Roman"/>
          <w:sz w:val="24"/>
          <w:szCs w:val="24"/>
        </w:rPr>
        <w:t xml:space="preserve">  </w:t>
      </w:r>
    </w:p>
    <w:p w:rsidR="009C1E15" w:rsidRDefault="00BA34FE">
      <w:pPr>
        <w:pStyle w:val="normal0"/>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order to improve India's digital legal framework, the Information Technology Act, 2000 is to be completely replaced with the Draft Digital India Bill, 2025. Its main goal is to promote an online ecosystem that is transparent, safe, reliable, and accountable. The bill lists important responsibilities for digital intermediaries, such as prompt grievance resolution, transparency in algorithmic decision-making, and due investigation. It presents the idea of algorithmic accountability, which calls on platforms to reveal AI-related procedures and prevent systemic harms like discrimination or false information. The bill also proposes </w:t>
      </w:r>
      <w:r>
        <w:rPr>
          <w:rFonts w:ascii="Times New Roman" w:eastAsia="Times New Roman" w:hAnsi="Times New Roman" w:cs="Times New Roman"/>
          <w:sz w:val="24"/>
          <w:szCs w:val="24"/>
        </w:rPr>
        <w:lastRenderedPageBreak/>
        <w:t>stricter cyber security regulations to increase digital trust while highlighting user safety, privacy protections, and defenses against online threats. A partial framework for regulation is laid by a number of regulations that, while not specifically focused on AI, indirectly address issues linked to AI.  How these general principles are put into practice through institutional procedures, regulatory monitoring, and subordinate rules will determine how well the law addresses AI threats.</w:t>
      </w:r>
    </w:p>
    <w:p w:rsidR="009C1E15" w:rsidRDefault="00BA34FE">
      <w:pPr>
        <w:pStyle w:val="normal0"/>
        <w:spacing w:before="240" w:after="24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Critical Gaps in the Draft Legislation</w:t>
      </w:r>
    </w:p>
    <w:p w:rsidR="009C1E15" w:rsidRDefault="00BA34FE">
      <w:pPr>
        <w:pStyle w:val="normal0"/>
        <w:spacing w:before="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Although modernizing India's digital legislation is the goal of the Draft Digital India Bill, 2025, it is unable to adequately meet the complex legal requirements of artificial intelligence (AI). A thorough legal framework is necessary as AI systems have a greater and greater impact on important decisions in industries including healthcare, banking, education, and governance. However, there are significant regulatory gaps in the current draft that threaten attempts to deploy AI responsibly.</w:t>
      </w:r>
    </w:p>
    <w:p w:rsidR="009C1E15" w:rsidRDefault="00BA34FE">
      <w:pPr>
        <w:pStyle w:val="normal0"/>
        <w:numPr>
          <w:ilvl w:val="0"/>
          <w:numId w:val="5"/>
        </w:numPr>
        <w:spacing w:before="240" w:line="360" w:lineRule="auto"/>
        <w:jc w:val="both"/>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i/>
          <w:sz w:val="24"/>
          <w:szCs w:val="24"/>
          <w:u w:val="single"/>
        </w:rPr>
        <w:t>Lack of Risk-Based Classification:</w:t>
      </w:r>
      <w:r>
        <w:rPr>
          <w:rFonts w:ascii="Times New Roman" w:eastAsia="Times New Roman" w:hAnsi="Times New Roman" w:cs="Times New Roman"/>
          <w:sz w:val="24"/>
          <w:szCs w:val="24"/>
        </w:rPr>
        <w:t xml:space="preserve"> A tiered system for regulating AI according to impact and risk is not included in the Draft Digital India Bill.</w:t>
      </w:r>
    </w:p>
    <w:p w:rsidR="009C1E15" w:rsidRDefault="00BA34FE">
      <w:pPr>
        <w:pStyle w:val="normal0"/>
        <w:spacing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By classifying systems as minimum, limited, high-risk, or restricted, the EU Artificial Intelligence Act</w:t>
      </w:r>
      <w:r w:rsidRPr="002A4DB9">
        <w:rPr>
          <w:rStyle w:val="FootnoteReference"/>
        </w:rPr>
        <w:footnoteReference w:id="4"/>
      </w:r>
      <w:r>
        <w:rPr>
          <w:rFonts w:ascii="Times New Roman" w:eastAsia="Times New Roman" w:hAnsi="Times New Roman" w:cs="Times New Roman"/>
          <w:sz w:val="24"/>
          <w:szCs w:val="24"/>
        </w:rPr>
        <w:t xml:space="preserve"> permits appropriate control.</w:t>
      </w:r>
      <w:r>
        <w:rPr>
          <w:rFonts w:ascii="Times New Roman" w:eastAsia="Times New Roman" w:hAnsi="Times New Roman" w:cs="Times New Roman"/>
          <w:sz w:val="24"/>
          <w:szCs w:val="24"/>
        </w:rPr>
        <w:br/>
        <w:t xml:space="preserve"> In contrast, the Digital India Bill does not distinguish between "automated systems" and "digital intermediaries" based on risk or application domain.</w:t>
      </w:r>
    </w:p>
    <w:p w:rsidR="009C1E15" w:rsidRDefault="00BA34FE">
      <w:pPr>
        <w:pStyle w:val="normal0"/>
        <w:numPr>
          <w:ilvl w:val="0"/>
          <w:numId w:val="5"/>
        </w:numPr>
        <w:spacing w:line="360" w:lineRule="auto"/>
        <w:jc w:val="both"/>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i/>
          <w:sz w:val="24"/>
          <w:szCs w:val="24"/>
          <w:u w:val="single"/>
        </w:rPr>
        <w:t>Absence of Accountability Mechanism</w:t>
      </w:r>
      <w:r>
        <w:rPr>
          <w:rFonts w:ascii="Times New Roman" w:eastAsia="Times New Roman" w:hAnsi="Times New Roman" w:cs="Times New Roman"/>
          <w:sz w:val="24"/>
          <w:szCs w:val="24"/>
        </w:rPr>
        <w:t>: The Bill does not specify whether the developer, deployer, or middleman is responsible for damages resulting from an autonomous AI's poor choice.</w:t>
      </w:r>
      <w:r>
        <w:rPr>
          <w:rFonts w:ascii="Times New Roman" w:eastAsia="Times New Roman" w:hAnsi="Times New Roman" w:cs="Times New Roman"/>
          <w:sz w:val="24"/>
          <w:szCs w:val="24"/>
        </w:rPr>
        <w:br/>
        <w:t xml:space="preserve"> In the event that, for instance, an inaccurate algorithm rejects a loan or errors a patient, it becomes difficult for users to pursue compensation in the absence of a clear line of accountability.</w:t>
      </w:r>
      <w:r w:rsidRPr="002A4DB9">
        <w:rPr>
          <w:rStyle w:val="FootnoteReference"/>
        </w:rPr>
        <w:footnoteReference w:id="5"/>
      </w:r>
    </w:p>
    <w:p w:rsidR="009C1E15" w:rsidRDefault="00BA34FE">
      <w:pPr>
        <w:pStyle w:val="normal0"/>
        <w:numPr>
          <w:ilvl w:val="0"/>
          <w:numId w:val="5"/>
        </w:numPr>
        <w:spacing w:line="360" w:lineRule="auto"/>
        <w:jc w:val="both"/>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i/>
          <w:sz w:val="24"/>
          <w:szCs w:val="24"/>
          <w:u w:val="single"/>
        </w:rPr>
        <w:t>Lack of Ethical Guidelines:</w:t>
      </w:r>
      <w:r>
        <w:rPr>
          <w:rFonts w:ascii="Times New Roman" w:eastAsia="Times New Roman" w:hAnsi="Times New Roman" w:cs="Times New Roman"/>
          <w:sz w:val="24"/>
          <w:szCs w:val="24"/>
        </w:rPr>
        <w:t xml:space="preserve"> The Bill does not include any required ethical guidelines or protections against bias, injustice, and discrimination in algorithm creation.</w:t>
      </w:r>
      <w:r>
        <w:rPr>
          <w:rFonts w:ascii="Times New Roman" w:eastAsia="Times New Roman" w:hAnsi="Times New Roman" w:cs="Times New Roman"/>
          <w:sz w:val="24"/>
          <w:szCs w:val="24"/>
        </w:rPr>
        <w:br/>
        <w:t xml:space="preserve"> In light of India's uneven society, it does not mandate that developers test or audit their algorithms for biases or discriminatory impacts.</w:t>
      </w:r>
    </w:p>
    <w:p w:rsidR="009C1E15" w:rsidRDefault="00BA34FE">
      <w:pPr>
        <w:pStyle w:val="normal0"/>
        <w:numPr>
          <w:ilvl w:val="0"/>
          <w:numId w:val="5"/>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u w:val="single"/>
        </w:rPr>
        <w:t>Absence of a Specialized Oversight Body:</w:t>
      </w:r>
      <w:r>
        <w:rPr>
          <w:rFonts w:ascii="Times New Roman" w:eastAsia="Times New Roman" w:hAnsi="Times New Roman" w:cs="Times New Roman"/>
          <w:sz w:val="24"/>
          <w:szCs w:val="24"/>
        </w:rPr>
        <w:t xml:space="preserve"> The Digital India Bill does not create a commission or regulatory authority to regulate and supervise AI technologies.</w:t>
      </w:r>
    </w:p>
    <w:p w:rsidR="009C1E15" w:rsidRDefault="00BA34FE">
      <w:pPr>
        <w:pStyle w:val="normal0"/>
        <w:spacing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India now uses disconnected and reactive supervision procedures, although other jurisdictions, such as the UK and Canada, have AI Safety Institutes or authorities.</w:t>
      </w:r>
      <w:r w:rsidRPr="002A4DB9">
        <w:rPr>
          <w:rStyle w:val="FootnoteReference"/>
        </w:rPr>
        <w:footnoteReference w:id="6"/>
      </w:r>
    </w:p>
    <w:p w:rsidR="009C1E15" w:rsidRDefault="00BA34FE">
      <w:pPr>
        <w:pStyle w:val="normal0"/>
        <w:numPr>
          <w:ilvl w:val="0"/>
          <w:numId w:val="5"/>
        </w:numPr>
        <w:spacing w:before="240" w:line="256"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u w:val="single"/>
        </w:rPr>
        <w:t>Algorithmic Accountability Vagueness:</w:t>
      </w:r>
      <w:r>
        <w:rPr>
          <w:rFonts w:ascii="Times New Roman" w:eastAsia="Times New Roman" w:hAnsi="Times New Roman" w:cs="Times New Roman"/>
          <w:sz w:val="24"/>
          <w:szCs w:val="24"/>
        </w:rPr>
        <w:t xml:space="preserve"> The terms "algorithmic accountability" and "automated decision-making" are non-operational and ambiguous.</w:t>
      </w:r>
    </w:p>
    <w:p w:rsidR="009C1E15" w:rsidRDefault="00BA34FE">
      <w:pPr>
        <w:pStyle w:val="normal0"/>
        <w:spacing w:before="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Impact assessments, public disclosure, and explain ability—all essential for openness and confidence in high-risk algorithmic systems—do not have explicit regulations</w:t>
      </w:r>
      <w:r w:rsidRPr="002A4DB9">
        <w:rPr>
          <w:rStyle w:val="FootnoteReference"/>
        </w:rPr>
        <w:footnoteReference w:id="7"/>
      </w:r>
    </w:p>
    <w:p w:rsidR="009C1E15" w:rsidRDefault="00BA34FE">
      <w:pPr>
        <w:pStyle w:val="normal0"/>
        <w:spacing w:before="240" w:after="24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Comparative Legal Perspective from Global AI Laws</w:t>
      </w:r>
    </w:p>
    <w:p w:rsidR="009C1E15" w:rsidRDefault="00BA34FE">
      <w:pPr>
        <w:pStyle w:val="normal0"/>
        <w:spacing w:before="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few countries have become world leaders in creating regulatory frameworks that strike a balance between innovation and accountability as countries struggle with the complexities of artificial intelligence (AI). Countries such as the United States (US), China, and the European Union (EU) have implemented enhanced legal measures in contrast to India's less successful initiatives, particularly the Draft Digital India Bill, 2025. India can apply the regulatory models and insightful observations provided by these global examples to its own socio-technical and legal environment.</w:t>
      </w:r>
    </w:p>
    <w:p w:rsidR="009C1E15" w:rsidRDefault="00BA34FE">
      <w:pPr>
        <w:pStyle w:val="normal0"/>
        <w:numPr>
          <w:ilvl w:val="0"/>
          <w:numId w:val="4"/>
        </w:numPr>
        <w:spacing w:before="240" w:line="360" w:lineRule="auto"/>
        <w:ind w:left="170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u w:val="single"/>
        </w:rPr>
        <w:t>EU Artificial Intelligence Act:</w:t>
      </w:r>
    </w:p>
    <w:p w:rsidR="009C1E15" w:rsidRDefault="00BA34FE">
      <w:pPr>
        <w:pStyle w:val="normal0"/>
        <w:numPr>
          <w:ilvl w:val="0"/>
          <w:numId w:val="2"/>
        </w:numPr>
        <w:spacing w:line="360" w:lineRule="auto"/>
        <w:jc w:val="both"/>
        <w:rPr>
          <w:rFonts w:ascii="Times New Roman" w:eastAsia="Times New Roman" w:hAnsi="Times New Roman" w:cs="Times New Roman"/>
        </w:rPr>
      </w:pPr>
      <w:r>
        <w:rPr>
          <w:rFonts w:ascii="Times New Roman" w:eastAsia="Times New Roman" w:hAnsi="Times New Roman" w:cs="Times New Roman"/>
          <w:sz w:val="24"/>
          <w:szCs w:val="24"/>
        </w:rPr>
        <w:t>Uses a classification system based on risk (minimum, limited, high-risk, unacceptable).</w:t>
      </w:r>
    </w:p>
    <w:p w:rsidR="009C1E15" w:rsidRDefault="00BA34FE">
      <w:pPr>
        <w:pStyle w:val="normal0"/>
        <w:numPr>
          <w:ilvl w:val="0"/>
          <w:numId w:val="2"/>
        </w:numPr>
        <w:spacing w:line="360" w:lineRule="auto"/>
        <w:jc w:val="both"/>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Strict requirements for impact assessments, data governance, human monitoring, and transparency apply to high-risk applications (such biometric surveillance and court rulings).</w:t>
      </w:r>
      <w:r w:rsidRPr="002A4DB9">
        <w:rPr>
          <w:rStyle w:val="FootnoteReference"/>
        </w:rPr>
        <w:footnoteReference w:id="8"/>
      </w:r>
    </w:p>
    <w:p w:rsidR="009C1E15" w:rsidRDefault="00BA34FE">
      <w:pPr>
        <w:pStyle w:val="normal0"/>
        <w:numPr>
          <w:ilvl w:val="0"/>
          <w:numId w:val="2"/>
        </w:numPr>
        <w:spacing w:line="360" w:lineRule="auto"/>
        <w:jc w:val="both"/>
        <w:rPr>
          <w:rFonts w:ascii="Times New Roman" w:eastAsia="Times New Roman" w:hAnsi="Times New Roman" w:cs="Times New Roman"/>
        </w:rPr>
      </w:pPr>
      <w:r>
        <w:rPr>
          <w:rFonts w:ascii="Times New Roman" w:eastAsia="Times New Roman" w:hAnsi="Times New Roman" w:cs="Times New Roman"/>
          <w:sz w:val="24"/>
          <w:szCs w:val="24"/>
        </w:rPr>
        <w:t>By enabling innovators to test their systems under supervision, regulatory sandboxes lower uncertainty and promote creativity.</w:t>
      </w:r>
      <w:r w:rsidRPr="002A4DB9">
        <w:rPr>
          <w:rStyle w:val="FootnoteReference"/>
        </w:rPr>
        <w:footnoteReference w:id="9"/>
      </w:r>
    </w:p>
    <w:p w:rsidR="009C1E15" w:rsidRDefault="00BA34FE">
      <w:pPr>
        <w:pStyle w:val="normal0"/>
        <w:numPr>
          <w:ilvl w:val="0"/>
          <w:numId w:val="4"/>
        </w:numPr>
        <w:spacing w:line="360" w:lineRule="auto"/>
        <w:ind w:left="170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u w:val="single"/>
        </w:rPr>
        <w:t>United States Algorithmic Accountability Act:</w:t>
      </w:r>
    </w:p>
    <w:p w:rsidR="009C1E15" w:rsidRDefault="00BA34FE">
      <w:pPr>
        <w:pStyle w:val="normal0"/>
        <w:numPr>
          <w:ilvl w:val="0"/>
          <w:numId w:val="6"/>
        </w:numPr>
        <w:spacing w:line="360" w:lineRule="auto"/>
        <w:jc w:val="both"/>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 2022 Algorithmic Accountability Act, which was reintroduced, requires businesses to evaluate the effects of automated systems, particularly when those systems have an impact on decisions on housing, employment, or financing.</w:t>
      </w:r>
      <w:r w:rsidRPr="002A4DB9">
        <w:rPr>
          <w:rStyle w:val="FootnoteReference"/>
        </w:rPr>
        <w:footnoteReference w:id="10"/>
      </w:r>
      <w:r>
        <w:rPr>
          <w:rFonts w:ascii="Times New Roman" w:eastAsia="Times New Roman" w:hAnsi="Times New Roman" w:cs="Times New Roman"/>
          <w:sz w:val="24"/>
          <w:szCs w:val="24"/>
        </w:rPr>
        <w:t xml:space="preserve"> </w:t>
      </w:r>
    </w:p>
    <w:p w:rsidR="009C1E15" w:rsidRDefault="00BA34FE">
      <w:pPr>
        <w:pStyle w:val="normal0"/>
        <w:numPr>
          <w:ilvl w:val="0"/>
          <w:numId w:val="6"/>
        </w:numPr>
        <w:spacing w:line="360" w:lineRule="auto"/>
        <w:jc w:val="both"/>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 In an attempt to ensure fairness, explainability, and reliability in algorithm design, the NIST and AI Safety Institutes are working to create technical standards and testing procedures.</w:t>
      </w:r>
    </w:p>
    <w:p w:rsidR="009C1E15" w:rsidRDefault="009C1E15">
      <w:pPr>
        <w:pStyle w:val="normal0"/>
        <w:spacing w:line="360" w:lineRule="auto"/>
        <w:ind w:left="2160"/>
        <w:jc w:val="both"/>
        <w:rPr>
          <w:rFonts w:ascii="Times New Roman" w:eastAsia="Times New Roman" w:hAnsi="Times New Roman" w:cs="Times New Roman"/>
          <w:sz w:val="24"/>
          <w:szCs w:val="24"/>
        </w:rPr>
      </w:pPr>
    </w:p>
    <w:p w:rsidR="009C1E15" w:rsidRDefault="00BA34FE">
      <w:pPr>
        <w:pStyle w:val="normal0"/>
        <w:numPr>
          <w:ilvl w:val="0"/>
          <w:numId w:val="4"/>
        </w:numPr>
        <w:spacing w:before="240" w:after="240" w:line="360" w:lineRule="auto"/>
        <w:ind w:left="170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u w:val="single"/>
        </w:rPr>
        <w:t>China's Approach:</w:t>
      </w:r>
    </w:p>
    <w:p w:rsidR="009C1E15" w:rsidRDefault="00BA34FE">
      <w:pPr>
        <w:pStyle w:val="normal0"/>
        <w:spacing w:line="360" w:lineRule="auto"/>
        <w:ind w:left="10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2022 Deep Synthesis Regulation, which is motivated by social stability and national security, requires businesses to label artificial content and refrain from its abusive use. It focuses on state control and supervision of technologies like as voice synthesis, deep fake, and facial recognition.</w:t>
      </w:r>
      <w:r w:rsidRPr="002A4DB9">
        <w:rPr>
          <w:rStyle w:val="FootnoteReference"/>
        </w:rPr>
        <w:footnoteReference w:id="11"/>
      </w:r>
    </w:p>
    <w:p w:rsidR="009C1E15" w:rsidRDefault="009C1E15">
      <w:pPr>
        <w:pStyle w:val="normal0"/>
        <w:spacing w:before="240" w:line="360" w:lineRule="auto"/>
        <w:jc w:val="both"/>
        <w:rPr>
          <w:rFonts w:ascii="Times New Roman" w:eastAsia="Times New Roman" w:hAnsi="Times New Roman" w:cs="Times New Roman"/>
          <w:sz w:val="24"/>
          <w:szCs w:val="24"/>
        </w:rPr>
      </w:pPr>
    </w:p>
    <w:p w:rsidR="009C1E15" w:rsidRDefault="00BA34FE">
      <w:pPr>
        <w:pStyle w:val="normal0"/>
        <w:numPr>
          <w:ilvl w:val="0"/>
          <w:numId w:val="4"/>
        </w:numPr>
        <w:spacing w:before="240" w:line="360" w:lineRule="auto"/>
        <w:ind w:left="1700"/>
        <w:jc w:val="both"/>
        <w:rPr>
          <w:rFonts w:ascii="Times New Roman" w:eastAsia="Times New Roman" w:hAnsi="Times New Roman" w:cs="Times New Roman"/>
        </w:rPr>
      </w:pPr>
      <w:r>
        <w:rPr>
          <w:rFonts w:ascii="Times New Roman" w:eastAsia="Times New Roman" w:hAnsi="Times New Roman" w:cs="Times New Roman"/>
          <w:sz w:val="14"/>
          <w:szCs w:val="14"/>
        </w:rPr>
        <w:t xml:space="preserve">     </w:t>
      </w:r>
      <w:r>
        <w:rPr>
          <w:rFonts w:ascii="Times New Roman" w:eastAsia="Times New Roman" w:hAnsi="Times New Roman" w:cs="Times New Roman"/>
          <w:i/>
          <w:sz w:val="24"/>
          <w:szCs w:val="24"/>
          <w:u w:val="single"/>
        </w:rPr>
        <w:t>Lessons for India:</w:t>
      </w:r>
    </w:p>
    <w:p w:rsidR="009C1E15" w:rsidRDefault="00BA34FE">
      <w:pPr>
        <w:pStyle w:val="normal0"/>
        <w:numPr>
          <w:ilvl w:val="0"/>
          <w:numId w:val="1"/>
        </w:num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adjust supervision according to possible harm, implement a risk-based framework (such as the EU).</w:t>
      </w:r>
    </w:p>
    <w:p w:rsidR="009C1E15" w:rsidRDefault="00BA34FE">
      <w:pPr>
        <w:pStyle w:val="normal0"/>
        <w:numPr>
          <w:ilvl w:val="0"/>
          <w:numId w:val="1"/>
        </w:num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improve accountability and fairness, mandate audits and impact analyses (as in the US).</w:t>
      </w:r>
    </w:p>
    <w:p w:rsidR="009C1E15" w:rsidRDefault="00BA34FE">
      <w:pPr>
        <w:pStyle w:val="normal0"/>
        <w:numPr>
          <w:ilvl w:val="0"/>
          <w:numId w:val="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empower those who are impacted, provide legal rights to clarification and compensation. </w:t>
      </w:r>
    </w:p>
    <w:p w:rsidR="009C1E15" w:rsidRDefault="00BA34FE">
      <w:pPr>
        <w:pStyle w:val="normal0"/>
        <w:numPr>
          <w:ilvl w:val="0"/>
          <w:numId w:val="1"/>
        </w:num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Expand regulatory sandboxes, which the RBI now uses in fintech, to encourage ethical innovation in the AI space.</w:t>
      </w:r>
    </w:p>
    <w:p w:rsidR="009C1E15" w:rsidRDefault="00BA34FE">
      <w:pPr>
        <w:pStyle w:val="normal0"/>
        <w:spacing w:before="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By adding these components to India's AI regulatory framework, the Draft Digital India Bill's defects would be filled and the nation would be in line with the growing international norms for efficient and ethical artificial intelligence governance.</w:t>
      </w:r>
    </w:p>
    <w:p w:rsidR="009C1E15" w:rsidRDefault="009C1E15">
      <w:pPr>
        <w:pStyle w:val="normal0"/>
        <w:spacing w:before="240" w:line="360" w:lineRule="auto"/>
        <w:jc w:val="both"/>
        <w:rPr>
          <w:rFonts w:ascii="Times New Roman" w:eastAsia="Times New Roman" w:hAnsi="Times New Roman" w:cs="Times New Roman"/>
          <w:sz w:val="24"/>
          <w:szCs w:val="24"/>
        </w:rPr>
      </w:pPr>
    </w:p>
    <w:p w:rsidR="009C1E15" w:rsidRDefault="00BA34FE">
      <w:pPr>
        <w:pStyle w:val="normal0"/>
        <w:spacing w:before="240" w:after="24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Constitutional and Human Rights Concerns</w:t>
      </w:r>
    </w:p>
    <w:p w:rsidR="009C1E15" w:rsidRDefault="00BA34FE">
      <w:pPr>
        <w:pStyle w:val="normal0"/>
        <w:spacing w:before="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relationship between new technologies and basic rights presents pressing ethical and legal issues as India negotiates the challenges of regulating artificial intelligence (AI). The Indian Constitution's fundamental rights, especially the freedom of speech and expression, the right to privacy, and the right to equality and nondiscrimination, are significantly impacted by the use of AI in both public and private domains, from content moderation and automated hiring to surveillance and predictive policing.</w:t>
      </w:r>
    </w:p>
    <w:p w:rsidR="009C1E15" w:rsidRDefault="00BA34FE">
      <w:pPr>
        <w:pStyle w:val="normal0"/>
        <w:spacing w:line="360" w:lineRule="auto"/>
        <w:ind w:left="1080"/>
        <w:jc w:val="both"/>
        <w:rPr>
          <w:rFonts w:ascii="Times New Roman" w:eastAsia="Times New Roman" w:hAnsi="Times New Roman" w:cs="Times New Roman"/>
          <w:i/>
          <w:sz w:val="24"/>
          <w:szCs w:val="24"/>
          <w:u w:val="single"/>
        </w:rPr>
      </w:pPr>
      <w:r>
        <w:rPr>
          <w:rFonts w:ascii="Times New Roman" w:eastAsia="Times New Roman" w:hAnsi="Times New Roman" w:cs="Times New Roman"/>
          <w:sz w:val="24"/>
          <w:szCs w:val="24"/>
        </w:rPr>
        <w:t>a.</w:t>
      </w:r>
      <w:r>
        <w:rPr>
          <w:rFonts w:ascii="Times New Roman" w:eastAsia="Times New Roman" w:hAnsi="Times New Roman" w:cs="Times New Roman"/>
          <w:sz w:val="14"/>
          <w:szCs w:val="14"/>
        </w:rPr>
        <w:t xml:space="preserve">   </w:t>
      </w:r>
      <w:r>
        <w:rPr>
          <w:rFonts w:ascii="Times New Roman" w:eastAsia="Times New Roman" w:hAnsi="Times New Roman" w:cs="Times New Roman"/>
          <w:i/>
          <w:sz w:val="14"/>
          <w:szCs w:val="14"/>
          <w:u w:val="single"/>
        </w:rPr>
        <w:t xml:space="preserve">  </w:t>
      </w:r>
      <w:r>
        <w:rPr>
          <w:rFonts w:ascii="Times New Roman" w:eastAsia="Times New Roman" w:hAnsi="Times New Roman" w:cs="Times New Roman"/>
          <w:i/>
          <w:sz w:val="24"/>
          <w:szCs w:val="24"/>
          <w:u w:val="single"/>
        </w:rPr>
        <w:t>Right to privacy and Algorithmic Surveillance:</w:t>
      </w:r>
    </w:p>
    <w:p w:rsidR="00D00F29" w:rsidRDefault="00BA34FE">
      <w:pPr>
        <w:pStyle w:val="normal0"/>
        <w:spacing w:line="360" w:lineRule="auto"/>
        <w:ind w:left="10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Serious constitutional issues are raised by the growth of AI-powered monitoring, especially in relation to the right to privacy that was maintained in Justice K.S. Puttaswamy v. Union of India (2017)</w:t>
      </w:r>
      <w:r w:rsidR="00D1646A">
        <w:rPr>
          <w:rStyle w:val="FootnoteReference"/>
          <w:rFonts w:ascii="Times New Roman" w:eastAsia="Times New Roman" w:hAnsi="Times New Roman" w:cs="Times New Roman"/>
          <w:sz w:val="24"/>
          <w:szCs w:val="24"/>
        </w:rPr>
        <w:footnoteReference w:id="12"/>
      </w:r>
      <w:r>
        <w:rPr>
          <w:rFonts w:ascii="Times New Roman" w:eastAsia="Times New Roman" w:hAnsi="Times New Roman" w:cs="Times New Roman"/>
          <w:sz w:val="24"/>
          <w:szCs w:val="24"/>
        </w:rPr>
        <w:t xml:space="preserve">, where the Supreme Court ruled that </w:t>
      </w:r>
    </w:p>
    <w:p w:rsidR="009C1E15" w:rsidRDefault="00BA34FE">
      <w:pPr>
        <w:pStyle w:val="normal0"/>
        <w:spacing w:line="360" w:lineRule="auto"/>
        <w:ind w:left="10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privacy is inherent to Article 21. This historic ruling made clear that any governmental intrusion must pass the proportionality, necessity, and legality standards. However, worries about widespread surveillance without explicit legal support have been raised by the expanding usage of facial recognition technology (FRT), such as the Delhi Police's AFRS</w:t>
      </w:r>
      <w:r w:rsidRPr="002A4DB9">
        <w:rPr>
          <w:rStyle w:val="FootnoteReference"/>
        </w:rPr>
        <w:footnoteReference w:id="13"/>
      </w:r>
      <w:r>
        <w:rPr>
          <w:rFonts w:ascii="Times New Roman" w:eastAsia="Times New Roman" w:hAnsi="Times New Roman" w:cs="Times New Roman"/>
          <w:sz w:val="24"/>
          <w:szCs w:val="24"/>
        </w:rPr>
        <w:t>. A PIL contested the uncontrolled implementation of FRT in Internet Freedom Foundation v. Union of India (2023)</w:t>
      </w:r>
      <w:r w:rsidRPr="002A4DB9">
        <w:rPr>
          <w:rStyle w:val="FootnoteReference"/>
        </w:rPr>
        <w:footnoteReference w:id="14"/>
      </w:r>
      <w:r>
        <w:rPr>
          <w:rFonts w:ascii="Times New Roman" w:eastAsia="Times New Roman" w:hAnsi="Times New Roman" w:cs="Times New Roman"/>
          <w:sz w:val="24"/>
          <w:szCs w:val="24"/>
        </w:rPr>
        <w:t xml:space="preserve">, arguing that it violated both the proportionality doctrine and privacy. Although the </w:t>
      </w:r>
      <w:r>
        <w:rPr>
          <w:rFonts w:ascii="Times New Roman" w:eastAsia="Times New Roman" w:hAnsi="Times New Roman" w:cs="Times New Roman"/>
          <w:i/>
          <w:sz w:val="24"/>
          <w:szCs w:val="24"/>
        </w:rPr>
        <w:t>Digital Personal Data Protection Act, 2023</w:t>
      </w:r>
      <w:r w:rsidRPr="002A4DB9">
        <w:rPr>
          <w:rStyle w:val="FootnoteReference"/>
        </w:rPr>
        <w:footnoteReference w:id="15"/>
      </w:r>
      <w:r>
        <w:rPr>
          <w:rFonts w:ascii="Times New Roman" w:eastAsia="Times New Roman" w:hAnsi="Times New Roman" w:cs="Times New Roman"/>
          <w:sz w:val="24"/>
          <w:szCs w:val="24"/>
        </w:rPr>
        <w:t xml:space="preserve"> provides certain safeguards, its broad state exemptions under the guise of “national interest” dilute its protective scope, leaving fundamental rights vulnerable in the AI era.</w:t>
      </w:r>
    </w:p>
    <w:p w:rsidR="009C1E15" w:rsidRDefault="00BA34FE">
      <w:pPr>
        <w:pStyle w:val="normal0"/>
        <w:spacing w:line="360" w:lineRule="auto"/>
        <w:ind w:left="1080"/>
        <w:jc w:val="both"/>
        <w:rPr>
          <w:rFonts w:ascii="Times New Roman" w:eastAsia="Times New Roman" w:hAnsi="Times New Roman" w:cs="Times New Roman"/>
          <w:i/>
          <w:sz w:val="24"/>
          <w:szCs w:val="24"/>
          <w:u w:val="single"/>
        </w:rPr>
      </w:pPr>
      <w:r>
        <w:rPr>
          <w:rFonts w:ascii="Times New Roman" w:eastAsia="Times New Roman" w:hAnsi="Times New Roman" w:cs="Times New Roman"/>
          <w:sz w:val="24"/>
          <w:szCs w:val="24"/>
        </w:rPr>
        <w:t>b.</w:t>
      </w:r>
      <w:r>
        <w:rPr>
          <w:rFonts w:ascii="Times New Roman" w:eastAsia="Times New Roman" w:hAnsi="Times New Roman" w:cs="Times New Roman"/>
          <w:sz w:val="14"/>
          <w:szCs w:val="14"/>
        </w:rPr>
        <w:t xml:space="preserve">    </w:t>
      </w:r>
      <w:r>
        <w:rPr>
          <w:rFonts w:ascii="Times New Roman" w:eastAsia="Times New Roman" w:hAnsi="Times New Roman" w:cs="Times New Roman"/>
          <w:i/>
          <w:sz w:val="14"/>
          <w:szCs w:val="14"/>
          <w:u w:val="single"/>
        </w:rPr>
        <w:t xml:space="preserve"> </w:t>
      </w:r>
      <w:r>
        <w:rPr>
          <w:rFonts w:ascii="Times New Roman" w:eastAsia="Times New Roman" w:hAnsi="Times New Roman" w:cs="Times New Roman"/>
          <w:i/>
          <w:sz w:val="24"/>
          <w:szCs w:val="24"/>
          <w:u w:val="single"/>
        </w:rPr>
        <w:t>Freedom of Speech vs AI based Content Moderation</w:t>
      </w:r>
    </w:p>
    <w:p w:rsidR="009C1E15" w:rsidRDefault="00BA34FE">
      <w:pPr>
        <w:pStyle w:val="normal0"/>
        <w:spacing w:line="360" w:lineRule="auto"/>
        <w:ind w:left="10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Freedom of speech is protected by Article 19(1)(a), but AI-based content regulation is rapidly defining its parameters, frequently without openness or constitutional protections. AI techniques are intended to reduce harmful content, but because of their limited contextual understanding—particularly in India's linguistic landscape—they run the risk of over-censoring. This may lead to arbitrary removals and restricting of free expression, repeating issues raised in Shreya Singhal v. Union of India (2015), </w:t>
      </w:r>
      <w:r w:rsidR="009319AD">
        <w:rPr>
          <w:rStyle w:val="FootnoteReference"/>
          <w:rFonts w:ascii="Times New Roman" w:eastAsia="Times New Roman" w:hAnsi="Times New Roman" w:cs="Times New Roman"/>
          <w:sz w:val="24"/>
          <w:szCs w:val="24"/>
        </w:rPr>
        <w:footnoteReference w:id="16"/>
      </w:r>
      <w:r>
        <w:rPr>
          <w:rFonts w:ascii="Times New Roman" w:eastAsia="Times New Roman" w:hAnsi="Times New Roman" w:cs="Times New Roman"/>
          <w:sz w:val="24"/>
          <w:szCs w:val="24"/>
        </w:rPr>
        <w:t>when ambiguous speech limitations were overturned. While intermediary and algorithmic accountability are introduced in the Draft Digital India Bill, 2025, it is unclear if these principles—such as notice, hearing, and proportionality—will be upheld in the regulation of online expression.</w:t>
      </w:r>
    </w:p>
    <w:p w:rsidR="009C1E15" w:rsidRDefault="00BA34FE">
      <w:pPr>
        <w:pStyle w:val="normal0"/>
        <w:spacing w:line="360" w:lineRule="auto"/>
        <w:ind w:left="1080"/>
        <w:jc w:val="both"/>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rPr>
        <w:t>c.</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24"/>
          <w:szCs w:val="24"/>
          <w:u w:val="single"/>
        </w:rPr>
        <w:t>Equality and Non-Discrimination: Algorithmic Bias and Fairness</w:t>
      </w:r>
    </w:p>
    <w:p w:rsidR="009C1E15" w:rsidRDefault="00BA34FE">
      <w:pPr>
        <w:pStyle w:val="normal0"/>
        <w:spacing w:line="360" w:lineRule="auto"/>
        <w:ind w:left="10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Articles 14, 15, and 16 of the Indian Constitution, which protect equality, forbid discrimination, and assure equal opportunity, raise serious concerns about the use of AI in decision-making. In India, where caste, religion, and gender connections are prevalent, AI systems that are trained on biased data run the risk of perpetuating social injustices. Similar problems exist in India, as evidenced by research conducted worldwide that demonstrate AI bias in hiring, policing, and credit decisions. The problem is made worse by the absence of laws requiring algorithmic audits or fairness checks. Marginalized communities continue to be particularly vulnerable to algorithmic discrimination in the absence of enforceable rights to explain or redress, as demonstrated by the EU's GDPR.</w:t>
      </w:r>
    </w:p>
    <w:p w:rsidR="009C1E15" w:rsidRDefault="00BA34FE">
      <w:pPr>
        <w:pStyle w:val="normal0"/>
        <w:spacing w:line="360" w:lineRule="auto"/>
        <w:ind w:left="1080"/>
        <w:jc w:val="both"/>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rPr>
        <w:t>d.</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u w:val="single"/>
        </w:rPr>
        <w:t xml:space="preserve"> </w:t>
      </w:r>
      <w:r>
        <w:rPr>
          <w:rFonts w:ascii="Times New Roman" w:eastAsia="Times New Roman" w:hAnsi="Times New Roman" w:cs="Times New Roman"/>
          <w:i/>
          <w:sz w:val="24"/>
          <w:szCs w:val="24"/>
          <w:u w:val="single"/>
        </w:rPr>
        <w:t xml:space="preserve">Need for a rights Respecting AI framework </w:t>
      </w:r>
    </w:p>
    <w:p w:rsidR="009C1E15" w:rsidRDefault="00BA34FE">
      <w:pPr>
        <w:pStyle w:val="normal0"/>
        <w:spacing w:line="360" w:lineRule="auto"/>
        <w:ind w:left="10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India's current constitutional jurisprudence provides a strong basis for human rights-compliant AI regulation. However, these ideas are not fully incorporated into existing or proposed laws, such as the Digital India Bill, 2025.</w:t>
      </w:r>
    </w:p>
    <w:p w:rsidR="009C1E15" w:rsidRDefault="00BA34FE">
      <w:pPr>
        <w:pStyle w:val="normal0"/>
        <w:spacing w:line="360" w:lineRule="auto"/>
        <w:ind w:left="10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following are important reforms:</w:t>
      </w:r>
    </w:p>
    <w:p w:rsidR="009C1E15" w:rsidRDefault="00BA34FE">
      <w:pPr>
        <w:pStyle w:val="normal0"/>
        <w:numPr>
          <w:ilvl w:val="1"/>
          <w:numId w:val="3"/>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Required algorithmic audits for nondiscrimination, privacy, and fairness.</w:t>
      </w:r>
    </w:p>
    <w:p w:rsidR="009C1E15" w:rsidRDefault="00BA34FE">
      <w:pPr>
        <w:pStyle w:val="normal0"/>
        <w:numPr>
          <w:ilvl w:val="1"/>
          <w:numId w:val="3"/>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Legal protections against AI-powered monitoring, supervised by courts; • Mandatory rights to justification and compensation for those impacted by automated judgments.</w:t>
      </w:r>
    </w:p>
    <w:p w:rsidR="009C1E15" w:rsidRDefault="00BA34FE">
      <w:pPr>
        <w:pStyle w:val="normal0"/>
        <w:numPr>
          <w:ilvl w:val="1"/>
          <w:numId w:val="3"/>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Explicit speech moderation rules that uphold due process and constitutional bounds.</w:t>
      </w:r>
    </w:p>
    <w:p w:rsidR="009C1E15" w:rsidRDefault="00BA34FE">
      <w:pPr>
        <w:pStyle w:val="normal0"/>
        <w:numPr>
          <w:ilvl w:val="1"/>
          <w:numId w:val="3"/>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Without these protections, regulating AI runs the risk of being a weapon for censorship, monitoring, and exclusion rather than empowerment.</w:t>
      </w:r>
    </w:p>
    <w:p w:rsidR="009C1E15" w:rsidRDefault="00BA34FE">
      <w:pPr>
        <w:pStyle w:val="normal0"/>
        <w:numPr>
          <w:ilvl w:val="0"/>
          <w:numId w:val="3"/>
        </w:numPr>
        <w:spacing w:after="24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Recommendations for a Stronger AI Legal Framework</w:t>
      </w:r>
    </w:p>
    <w:p w:rsidR="003664EB" w:rsidRPr="003664EB" w:rsidRDefault="003664EB" w:rsidP="003664EB">
      <w:pPr>
        <w:pStyle w:val="ListParagraph"/>
        <w:spacing w:line="360" w:lineRule="auto"/>
        <w:jc w:val="both"/>
        <w:rPr>
          <w:rFonts w:ascii="Times New Roman" w:eastAsia="Times New Roman" w:hAnsi="Times New Roman" w:cs="Times New Roman"/>
          <w:sz w:val="24"/>
          <w:szCs w:val="24"/>
        </w:rPr>
      </w:pPr>
      <w:r w:rsidRPr="003664EB">
        <w:rPr>
          <w:rFonts w:ascii="Times New Roman" w:eastAsia="Times New Roman" w:hAnsi="Times New Roman" w:cs="Times New Roman"/>
          <w:sz w:val="24"/>
          <w:szCs w:val="24"/>
        </w:rPr>
        <w:t>Artificial Intelligence (AI) regulation is increasingly necessary as India moves closer to becoming a digitally empowered society. Although the 2025 Draft Digital India Bill is a remarkable attempt to modernize India's digital laws, it is insufficiently detailed and precise to address the unique difficulties posed by AI. The following suggestions are essential for creating a thorough and rights-respecting AI legal framework in India in order to guarantee that AI development is in line with constitutional principles, innovation objectives, and the public interest.</w:t>
      </w:r>
    </w:p>
    <w:p w:rsidR="009C1E15" w:rsidRDefault="00BA34FE">
      <w:pPr>
        <w:pStyle w:val="normal0"/>
        <w:spacing w:before="240" w:after="240" w:line="360" w:lineRule="auto"/>
        <w:ind w:left="1080"/>
        <w:jc w:val="both"/>
        <w:rPr>
          <w:rFonts w:ascii="Times New Roman" w:eastAsia="Times New Roman" w:hAnsi="Times New Roman" w:cs="Times New Roman"/>
          <w:i/>
          <w:sz w:val="24"/>
          <w:szCs w:val="24"/>
          <w:u w:val="single"/>
        </w:rPr>
      </w:pPr>
      <w:r w:rsidRPr="003664EB">
        <w:rPr>
          <w:rFonts w:ascii="Times New Roman" w:eastAsia="Times New Roman" w:hAnsi="Times New Roman" w:cs="Times New Roman"/>
          <w:i/>
          <w:sz w:val="24"/>
          <w:szCs w:val="24"/>
          <w:u w:val="single"/>
        </w:rPr>
        <w:t>a.</w:t>
      </w:r>
      <w:r w:rsidRPr="003664EB">
        <w:rPr>
          <w:rFonts w:ascii="Times New Roman" w:eastAsia="Times New Roman" w:hAnsi="Times New Roman" w:cs="Times New Roman"/>
          <w:i/>
          <w:sz w:val="14"/>
          <w:szCs w:val="14"/>
          <w:u w:val="single"/>
        </w:rPr>
        <w:t xml:space="preserve">     </w:t>
      </w:r>
      <w:r w:rsidRPr="003664EB">
        <w:rPr>
          <w:rFonts w:ascii="Times New Roman" w:eastAsia="Times New Roman" w:hAnsi="Times New Roman" w:cs="Times New Roman"/>
          <w:i/>
          <w:sz w:val="24"/>
          <w:szCs w:val="24"/>
          <w:u w:val="single"/>
        </w:rPr>
        <w:t>Enact a Dedicated AI Law</w:t>
      </w:r>
    </w:p>
    <w:p w:rsidR="003664EB" w:rsidRPr="003664EB" w:rsidRDefault="003664EB">
      <w:pPr>
        <w:pStyle w:val="normal0"/>
        <w:spacing w:before="240" w:after="240" w:line="360" w:lineRule="auto"/>
        <w:ind w:left="1080"/>
        <w:jc w:val="both"/>
        <w:rPr>
          <w:rFonts w:ascii="Times New Roman" w:eastAsia="Times New Roman" w:hAnsi="Times New Roman" w:cs="Times New Roman"/>
          <w:sz w:val="24"/>
          <w:szCs w:val="24"/>
        </w:rPr>
      </w:pPr>
      <w:r w:rsidRPr="003664EB">
        <w:rPr>
          <w:rFonts w:ascii="Times New Roman" w:eastAsia="Times New Roman" w:hAnsi="Times New Roman" w:cs="Times New Roman"/>
          <w:sz w:val="24"/>
          <w:szCs w:val="24"/>
        </w:rPr>
        <w:t>The Digital India Bill's generalist approach needs to be discarded and India should think about enacting specific AI laws akin to the EU's Artificial Intelligence Act.  Clear definitions of AI systems, ethical development guidelines, and duties for developers, implementers, and regulators should all be outlined in such legislation.  Particularly in relation to high-risk use cases like facial recognition, credit scoring, or predictive policing, this would guarantee legal certainty and close current regulatory gaps.</w:t>
      </w:r>
    </w:p>
    <w:p w:rsidR="009C1E15" w:rsidRDefault="00BA34FE">
      <w:pPr>
        <w:pStyle w:val="normal0"/>
        <w:spacing w:before="240" w:after="240" w:line="360" w:lineRule="auto"/>
        <w:ind w:left="1080"/>
        <w:jc w:val="both"/>
        <w:rPr>
          <w:rFonts w:ascii="Times New Roman" w:eastAsia="Times New Roman" w:hAnsi="Times New Roman" w:cs="Times New Roman"/>
          <w:i/>
          <w:sz w:val="24"/>
          <w:szCs w:val="24"/>
          <w:u w:val="single"/>
        </w:rPr>
      </w:pPr>
      <w:r w:rsidRPr="003664EB">
        <w:rPr>
          <w:rFonts w:ascii="Times New Roman" w:eastAsia="Times New Roman" w:hAnsi="Times New Roman" w:cs="Times New Roman"/>
          <w:i/>
          <w:sz w:val="24"/>
          <w:szCs w:val="24"/>
          <w:u w:val="single"/>
        </w:rPr>
        <w:t>b.</w:t>
      </w:r>
      <w:r w:rsidRPr="003664EB">
        <w:rPr>
          <w:rFonts w:ascii="Times New Roman" w:eastAsia="Times New Roman" w:hAnsi="Times New Roman" w:cs="Times New Roman"/>
          <w:i/>
          <w:sz w:val="14"/>
          <w:szCs w:val="14"/>
          <w:u w:val="single"/>
        </w:rPr>
        <w:t xml:space="preserve">     </w:t>
      </w:r>
      <w:r w:rsidRPr="003664EB">
        <w:rPr>
          <w:rFonts w:ascii="Times New Roman" w:eastAsia="Times New Roman" w:hAnsi="Times New Roman" w:cs="Times New Roman"/>
          <w:i/>
          <w:sz w:val="24"/>
          <w:szCs w:val="24"/>
          <w:u w:val="single"/>
        </w:rPr>
        <w:t>Adopt a Risk Based Classification System</w:t>
      </w:r>
    </w:p>
    <w:p w:rsidR="003664EB" w:rsidRPr="003664EB" w:rsidRDefault="00DB430D">
      <w:pPr>
        <w:pStyle w:val="normal0"/>
        <w:spacing w:before="240" w:after="240" w:line="360" w:lineRule="auto"/>
        <w:ind w:left="1080"/>
        <w:jc w:val="both"/>
        <w:rPr>
          <w:rFonts w:ascii="Times New Roman" w:eastAsia="Times New Roman" w:hAnsi="Times New Roman" w:cs="Times New Roman"/>
          <w:sz w:val="24"/>
          <w:szCs w:val="24"/>
        </w:rPr>
      </w:pPr>
      <w:r w:rsidRPr="00DB430D">
        <w:rPr>
          <w:rFonts w:ascii="Times New Roman" w:eastAsia="Times New Roman" w:hAnsi="Times New Roman" w:cs="Times New Roman"/>
          <w:sz w:val="24"/>
          <w:szCs w:val="24"/>
        </w:rPr>
        <w:t>Separating low-, medium-, and high-risk AI systems is a crucial component of efficient AI governance.  Mandatory audits, human monitoring, and impact assessments should be applied to high-risk systems—those that have an influence on safety, fundamental rights, or public service accessibility.  This strategy protects the public interest in delicate sectors while permitting innovation in low-risk areas and enabling a proportional regulatory response.</w:t>
      </w:r>
    </w:p>
    <w:p w:rsidR="009C1E15" w:rsidRDefault="00BA34FE">
      <w:pPr>
        <w:pStyle w:val="normal0"/>
        <w:spacing w:before="240" w:after="240" w:line="360" w:lineRule="auto"/>
        <w:ind w:left="1080"/>
        <w:jc w:val="both"/>
        <w:rPr>
          <w:rFonts w:ascii="Times New Roman" w:eastAsia="Times New Roman" w:hAnsi="Times New Roman" w:cs="Times New Roman"/>
          <w:i/>
          <w:sz w:val="24"/>
          <w:szCs w:val="24"/>
          <w:u w:val="single"/>
        </w:rPr>
      </w:pPr>
      <w:r w:rsidRPr="003664EB">
        <w:rPr>
          <w:rFonts w:ascii="Times New Roman" w:eastAsia="Times New Roman" w:hAnsi="Times New Roman" w:cs="Times New Roman"/>
          <w:i/>
          <w:sz w:val="24"/>
          <w:szCs w:val="24"/>
          <w:u w:val="single"/>
        </w:rPr>
        <w:t>c.</w:t>
      </w:r>
      <w:r w:rsidRPr="003664EB">
        <w:rPr>
          <w:rFonts w:ascii="Times New Roman" w:eastAsia="Times New Roman" w:hAnsi="Times New Roman" w:cs="Times New Roman"/>
          <w:i/>
          <w:sz w:val="14"/>
          <w:szCs w:val="14"/>
          <w:u w:val="single"/>
        </w:rPr>
        <w:t xml:space="preserve">     </w:t>
      </w:r>
      <w:r w:rsidRPr="003664EB">
        <w:rPr>
          <w:rFonts w:ascii="Times New Roman" w:eastAsia="Times New Roman" w:hAnsi="Times New Roman" w:cs="Times New Roman"/>
          <w:i/>
          <w:sz w:val="24"/>
          <w:szCs w:val="24"/>
          <w:u w:val="single"/>
        </w:rPr>
        <w:t>Mandate Algorithmic Audits and Transparency</w:t>
      </w:r>
    </w:p>
    <w:p w:rsidR="00DB430D" w:rsidRPr="00DB430D" w:rsidRDefault="00DB430D">
      <w:pPr>
        <w:pStyle w:val="normal0"/>
        <w:spacing w:before="240" w:after="240" w:line="360" w:lineRule="auto"/>
        <w:ind w:left="1080"/>
        <w:jc w:val="both"/>
        <w:rPr>
          <w:rFonts w:ascii="Times New Roman" w:eastAsia="Times New Roman" w:hAnsi="Times New Roman" w:cs="Times New Roman"/>
          <w:sz w:val="24"/>
          <w:szCs w:val="24"/>
        </w:rPr>
      </w:pPr>
      <w:r w:rsidRPr="00DB430D">
        <w:rPr>
          <w:rFonts w:ascii="Times New Roman" w:eastAsia="Times New Roman" w:hAnsi="Times New Roman" w:cs="Times New Roman"/>
          <w:sz w:val="24"/>
          <w:szCs w:val="24"/>
        </w:rPr>
        <w:t>For AI to be accountable, transparency is essential.  Algorithmic audits ought to be required by legislation for systems used in vital industries like healthcare, education, banking, and law enforcement.  Bias, fairness, explainability, and data quality should all be evaluated throughout these audits.  Additionally, end users should have the right to an explanation when their decisions are greatly impacted by automated decisions, and developers should be obliged to keep records and documentation outlining the decision-making process.</w:t>
      </w:r>
    </w:p>
    <w:p w:rsidR="009C1E15" w:rsidRDefault="00BA34FE">
      <w:pPr>
        <w:pStyle w:val="normal0"/>
        <w:spacing w:before="240" w:after="240" w:line="360" w:lineRule="auto"/>
        <w:ind w:left="1080"/>
        <w:jc w:val="both"/>
        <w:rPr>
          <w:rFonts w:ascii="Times New Roman" w:eastAsia="Times New Roman" w:hAnsi="Times New Roman" w:cs="Times New Roman"/>
          <w:i/>
          <w:sz w:val="24"/>
          <w:szCs w:val="24"/>
          <w:u w:val="single"/>
        </w:rPr>
      </w:pPr>
      <w:r w:rsidRPr="003664EB">
        <w:rPr>
          <w:rFonts w:ascii="Times New Roman" w:eastAsia="Times New Roman" w:hAnsi="Times New Roman" w:cs="Times New Roman"/>
          <w:i/>
          <w:sz w:val="24"/>
          <w:szCs w:val="24"/>
          <w:u w:val="single"/>
        </w:rPr>
        <w:t>d.</w:t>
      </w:r>
      <w:r w:rsidRPr="003664EB">
        <w:rPr>
          <w:rFonts w:ascii="Times New Roman" w:eastAsia="Times New Roman" w:hAnsi="Times New Roman" w:cs="Times New Roman"/>
          <w:i/>
          <w:sz w:val="14"/>
          <w:szCs w:val="14"/>
          <w:u w:val="single"/>
        </w:rPr>
        <w:t xml:space="preserve">     </w:t>
      </w:r>
      <w:r w:rsidRPr="003664EB">
        <w:rPr>
          <w:rFonts w:ascii="Times New Roman" w:eastAsia="Times New Roman" w:hAnsi="Times New Roman" w:cs="Times New Roman"/>
          <w:i/>
          <w:sz w:val="24"/>
          <w:szCs w:val="24"/>
          <w:u w:val="single"/>
        </w:rPr>
        <w:t>Establish an Independent AI regulatory Authority</w:t>
      </w:r>
    </w:p>
    <w:p w:rsidR="00DB430D" w:rsidRPr="00DB430D" w:rsidRDefault="00DB430D">
      <w:pPr>
        <w:pStyle w:val="normal0"/>
        <w:spacing w:before="240" w:after="240" w:line="360" w:lineRule="auto"/>
        <w:ind w:left="1080"/>
        <w:jc w:val="both"/>
        <w:rPr>
          <w:rFonts w:ascii="Times New Roman" w:eastAsia="Times New Roman" w:hAnsi="Times New Roman" w:cs="Times New Roman"/>
          <w:sz w:val="24"/>
          <w:szCs w:val="24"/>
        </w:rPr>
      </w:pPr>
      <w:r w:rsidRPr="00DB430D">
        <w:rPr>
          <w:rFonts w:ascii="Times New Roman" w:eastAsia="Times New Roman" w:hAnsi="Times New Roman" w:cs="Times New Roman"/>
          <w:sz w:val="24"/>
          <w:szCs w:val="24"/>
        </w:rPr>
        <w:t>An "AI Commission" or "Digital Technology Authority" with specialists in data science, ethics, law, and public policy is what India needs as a specialized AI regulatory organization.  This organization should administer regulatory sandboxes, create compliance guidelines, supervise AI system certification, and handle complaints.  Where AI converges with markets, telecom, and finance, such an authority might also work with sectoral regulators like TRAI, SEBI, and RBI.</w:t>
      </w:r>
    </w:p>
    <w:p w:rsidR="00164159" w:rsidRDefault="00BA34FE" w:rsidP="00164159">
      <w:pPr>
        <w:pStyle w:val="normal0"/>
        <w:numPr>
          <w:ilvl w:val="0"/>
          <w:numId w:val="4"/>
        </w:numPr>
        <w:spacing w:before="240" w:after="240" w:line="360" w:lineRule="auto"/>
        <w:ind w:left="1170" w:firstLine="0"/>
        <w:jc w:val="both"/>
        <w:rPr>
          <w:rFonts w:ascii="Times New Roman" w:eastAsia="Times New Roman" w:hAnsi="Times New Roman" w:cs="Times New Roman"/>
          <w:i/>
          <w:sz w:val="24"/>
          <w:szCs w:val="24"/>
          <w:u w:val="single"/>
        </w:rPr>
      </w:pPr>
      <w:r w:rsidRPr="003664EB">
        <w:rPr>
          <w:rFonts w:ascii="Times New Roman" w:eastAsia="Times New Roman" w:hAnsi="Times New Roman" w:cs="Times New Roman"/>
          <w:i/>
          <w:sz w:val="24"/>
          <w:szCs w:val="24"/>
          <w:u w:val="single"/>
        </w:rPr>
        <w:t>Protect Fundamental rights through AI specified safeguards</w:t>
      </w:r>
    </w:p>
    <w:p w:rsidR="00164159" w:rsidRPr="00164159" w:rsidRDefault="00164159" w:rsidP="00164159">
      <w:pPr>
        <w:pStyle w:val="normal0"/>
        <w:spacing w:before="240" w:after="240" w:line="360" w:lineRule="auto"/>
        <w:ind w:left="1170"/>
        <w:jc w:val="both"/>
        <w:rPr>
          <w:rFonts w:ascii="Times New Roman" w:eastAsia="Times New Roman" w:hAnsi="Times New Roman" w:cs="Times New Roman"/>
          <w:i/>
          <w:sz w:val="24"/>
          <w:szCs w:val="24"/>
          <w:u w:val="single"/>
        </w:rPr>
      </w:pPr>
      <w:r w:rsidRPr="00164159">
        <w:rPr>
          <w:rFonts w:ascii="Times New Roman" w:eastAsia="Times New Roman" w:hAnsi="Times New Roman" w:cs="Times New Roman"/>
          <w:sz w:val="24"/>
          <w:szCs w:val="24"/>
        </w:rPr>
        <w:t>The framework should explicitly protect constitutional rights in the digital age:</w:t>
      </w:r>
    </w:p>
    <w:p w:rsidR="00164159" w:rsidRPr="00164159" w:rsidRDefault="00164159" w:rsidP="00164159">
      <w:pPr>
        <w:pStyle w:val="normal0"/>
        <w:spacing w:before="240" w:after="240" w:line="360" w:lineRule="auto"/>
        <w:ind w:left="1080"/>
        <w:jc w:val="both"/>
        <w:rPr>
          <w:rFonts w:ascii="Times New Roman" w:eastAsia="Times New Roman" w:hAnsi="Times New Roman" w:cs="Times New Roman"/>
          <w:sz w:val="24"/>
          <w:szCs w:val="24"/>
        </w:rPr>
      </w:pPr>
      <w:r w:rsidRPr="00164159">
        <w:rPr>
          <w:rFonts w:ascii="Times New Roman" w:eastAsia="Times New Roman" w:hAnsi="Times New Roman" w:cs="Times New Roman"/>
          <w:sz w:val="24"/>
          <w:szCs w:val="24"/>
        </w:rPr>
        <w:t>• Right to privacy: Puttaswamy principles dictate that AI surveillance techniques must be proportionate, necessary, and authorized by law.</w:t>
      </w:r>
    </w:p>
    <w:p w:rsidR="00164159" w:rsidRPr="00164159" w:rsidRDefault="00164159" w:rsidP="00164159">
      <w:pPr>
        <w:pStyle w:val="normal0"/>
        <w:spacing w:before="240" w:after="240" w:line="360" w:lineRule="auto"/>
        <w:ind w:left="1080"/>
        <w:jc w:val="both"/>
        <w:rPr>
          <w:rFonts w:ascii="Times New Roman" w:eastAsia="Times New Roman" w:hAnsi="Times New Roman" w:cs="Times New Roman"/>
          <w:sz w:val="24"/>
          <w:szCs w:val="24"/>
        </w:rPr>
      </w:pPr>
      <w:r w:rsidRPr="00164159">
        <w:rPr>
          <w:rFonts w:ascii="Times New Roman" w:eastAsia="Times New Roman" w:hAnsi="Times New Roman" w:cs="Times New Roman"/>
          <w:sz w:val="24"/>
          <w:szCs w:val="24"/>
        </w:rPr>
        <w:t xml:space="preserve"> • Freedom of expression: Algorithms used for content moderation must not excessively filter speech or impede legitimate expression without following the proper procedures.</w:t>
      </w:r>
    </w:p>
    <w:p w:rsidR="00DB430D" w:rsidRPr="00DB430D" w:rsidRDefault="00164159" w:rsidP="00164159">
      <w:pPr>
        <w:pStyle w:val="normal0"/>
        <w:spacing w:before="240" w:after="240" w:line="360" w:lineRule="auto"/>
        <w:ind w:left="1080"/>
        <w:jc w:val="both"/>
        <w:rPr>
          <w:rFonts w:ascii="Times New Roman" w:eastAsia="Times New Roman" w:hAnsi="Times New Roman" w:cs="Times New Roman"/>
          <w:sz w:val="24"/>
          <w:szCs w:val="24"/>
        </w:rPr>
      </w:pPr>
      <w:r w:rsidRPr="00164159">
        <w:rPr>
          <w:rFonts w:ascii="Times New Roman" w:eastAsia="Times New Roman" w:hAnsi="Times New Roman" w:cs="Times New Roman"/>
          <w:sz w:val="24"/>
          <w:szCs w:val="24"/>
        </w:rPr>
        <w:t xml:space="preserve"> • Right to equality: To stop systemic discrimination, hiring, lending, and welfare distribution processes must all need bias audits and fairness evaluations.</w:t>
      </w:r>
    </w:p>
    <w:p w:rsidR="00164159" w:rsidRPr="00164159" w:rsidRDefault="00BA34FE" w:rsidP="00164159">
      <w:pPr>
        <w:pStyle w:val="normal0"/>
        <w:spacing w:before="240" w:after="240" w:line="360" w:lineRule="auto"/>
        <w:ind w:left="1080"/>
        <w:jc w:val="both"/>
        <w:rPr>
          <w:rFonts w:ascii="Times New Roman" w:eastAsia="Times New Roman" w:hAnsi="Times New Roman" w:cs="Times New Roman"/>
          <w:i/>
          <w:sz w:val="24"/>
          <w:szCs w:val="24"/>
          <w:u w:val="single"/>
        </w:rPr>
      </w:pPr>
      <w:r w:rsidRPr="003664EB">
        <w:rPr>
          <w:rFonts w:ascii="Times New Roman" w:eastAsia="Times New Roman" w:hAnsi="Times New Roman" w:cs="Times New Roman"/>
          <w:i/>
          <w:sz w:val="24"/>
          <w:szCs w:val="24"/>
          <w:u w:val="single"/>
        </w:rPr>
        <w:t>f.</w:t>
      </w:r>
      <w:r w:rsidRPr="003664EB">
        <w:rPr>
          <w:rFonts w:ascii="Times New Roman" w:eastAsia="Times New Roman" w:hAnsi="Times New Roman" w:cs="Times New Roman"/>
          <w:i/>
          <w:sz w:val="14"/>
          <w:szCs w:val="14"/>
          <w:u w:val="single"/>
        </w:rPr>
        <w:t xml:space="preserve">      </w:t>
      </w:r>
      <w:r w:rsidRPr="003664EB">
        <w:rPr>
          <w:rFonts w:ascii="Times New Roman" w:eastAsia="Times New Roman" w:hAnsi="Times New Roman" w:cs="Times New Roman"/>
          <w:i/>
          <w:sz w:val="24"/>
          <w:szCs w:val="24"/>
          <w:u w:val="single"/>
        </w:rPr>
        <w:t>Enable Grievance Redressal  and Legal Remedies</w:t>
      </w:r>
    </w:p>
    <w:p w:rsidR="00164159" w:rsidRPr="00164159" w:rsidRDefault="00164159">
      <w:pPr>
        <w:pStyle w:val="normal0"/>
        <w:spacing w:before="240" w:after="240" w:line="360" w:lineRule="auto"/>
        <w:ind w:left="1080"/>
        <w:jc w:val="both"/>
        <w:rPr>
          <w:rFonts w:ascii="Times New Roman" w:eastAsia="Times New Roman" w:hAnsi="Times New Roman" w:cs="Times New Roman"/>
          <w:sz w:val="24"/>
          <w:szCs w:val="24"/>
        </w:rPr>
      </w:pPr>
      <w:r w:rsidRPr="00164159">
        <w:rPr>
          <w:rFonts w:ascii="Times New Roman" w:eastAsia="Times New Roman" w:hAnsi="Times New Roman" w:cs="Times New Roman"/>
          <w:sz w:val="24"/>
          <w:szCs w:val="24"/>
        </w:rPr>
        <w:t>Access to efficient redressal procedures should be available to all who are impacted.  AI deployers should be required by legislation to establish easily navigable grievance procedures and guarantee that users can contest automatic choices.  In order to punish violations and order corrections, regulatory agencies should also have the ability to conduct investigations and enforce the law.</w:t>
      </w:r>
    </w:p>
    <w:p w:rsidR="009C1E15" w:rsidRDefault="00BA34FE">
      <w:pPr>
        <w:pStyle w:val="normal0"/>
        <w:spacing w:before="240" w:after="240" w:line="360" w:lineRule="auto"/>
        <w:ind w:left="1080"/>
        <w:jc w:val="both"/>
        <w:rPr>
          <w:rFonts w:ascii="Times New Roman" w:eastAsia="Times New Roman" w:hAnsi="Times New Roman" w:cs="Times New Roman"/>
          <w:i/>
          <w:sz w:val="24"/>
          <w:szCs w:val="24"/>
          <w:u w:val="single"/>
        </w:rPr>
      </w:pPr>
      <w:r w:rsidRPr="00DB430D">
        <w:rPr>
          <w:rFonts w:ascii="Times New Roman" w:eastAsia="Times New Roman" w:hAnsi="Times New Roman" w:cs="Times New Roman"/>
          <w:i/>
          <w:sz w:val="24"/>
          <w:szCs w:val="24"/>
          <w:u w:val="single"/>
        </w:rPr>
        <w:t>g.</w:t>
      </w:r>
      <w:r w:rsidRPr="00DB430D">
        <w:rPr>
          <w:rFonts w:ascii="Times New Roman" w:eastAsia="Times New Roman" w:hAnsi="Times New Roman" w:cs="Times New Roman"/>
          <w:i/>
          <w:sz w:val="14"/>
          <w:szCs w:val="14"/>
          <w:u w:val="single"/>
        </w:rPr>
        <w:t xml:space="preserve">     </w:t>
      </w:r>
      <w:r w:rsidRPr="00DB430D">
        <w:rPr>
          <w:rFonts w:ascii="Times New Roman" w:eastAsia="Times New Roman" w:hAnsi="Times New Roman" w:cs="Times New Roman"/>
          <w:i/>
          <w:sz w:val="24"/>
          <w:szCs w:val="24"/>
          <w:u w:val="single"/>
        </w:rPr>
        <w:t>Promote Responsible Innovation through sandboxes</w:t>
      </w:r>
    </w:p>
    <w:p w:rsidR="00164159" w:rsidRPr="00164159" w:rsidRDefault="00164159">
      <w:pPr>
        <w:pStyle w:val="normal0"/>
        <w:spacing w:before="240" w:after="240" w:line="360" w:lineRule="auto"/>
        <w:ind w:left="1080"/>
        <w:jc w:val="both"/>
        <w:rPr>
          <w:rFonts w:ascii="Times New Roman" w:eastAsia="Times New Roman" w:hAnsi="Times New Roman" w:cs="Times New Roman"/>
          <w:sz w:val="24"/>
          <w:szCs w:val="24"/>
        </w:rPr>
      </w:pPr>
      <w:r w:rsidRPr="00164159">
        <w:rPr>
          <w:rFonts w:ascii="Times New Roman" w:eastAsia="Times New Roman" w:hAnsi="Times New Roman" w:cs="Times New Roman"/>
          <w:sz w:val="24"/>
          <w:szCs w:val="24"/>
        </w:rPr>
        <w:t>By offering regulatory sandboxes where developers and startups can test AI systems in real-world settings with loose compliance, under supervision, the legal framework should promote innovation.  This encourages experimentation and agility without sacrificing ethics or public safety.</w:t>
      </w:r>
    </w:p>
    <w:p w:rsidR="009C1E15" w:rsidRDefault="00BA34FE">
      <w:pPr>
        <w:pStyle w:val="normal0"/>
        <w:spacing w:before="240" w:after="24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Conclusion</w:t>
      </w:r>
    </w:p>
    <w:p w:rsidR="009C1E15" w:rsidRDefault="00BA34FE">
      <w:pPr>
        <w:pStyle w:val="normal0"/>
        <w:spacing w:before="240" w:after="240" w:line="360" w:lineRule="auto"/>
        <w:ind w:left="10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Both revolutionary opportunities and intricate regulatory challenges are presented by artificial intelligence's rise in India. The country's digital governance framework has been updated with the Draft Digital India Bill, 2025, however it does not adequately address the particular concerns that artificial intelligence (AI) technologies provide. Significant legal and institutional gaps are shown by the lack of explicit requirements for algorithmic accountability, ethical safeguards, and rights-based protections. Comparable global models, including the U.S. Algorithmic Accountability projects and the EU AI Act, provide important insights into developing a transparent, risk-based, and human-centered regulatory framework. India has to develop a specific legal framework that strikes a balance between innovation and individual rights in order to guarantee that AI upholds democratic values rather than undermines them. Integrating constitutional values privacy, equality, and freedom of expression—into AI governance is not merely ideal but essential. A proactive, rights-respecting, and future-ready AI law is the need of the hour to secure digital trust and inclusive growth.</w:t>
      </w:r>
    </w:p>
    <w:p w:rsidR="009C1E15" w:rsidRDefault="00BA34FE">
      <w:pPr>
        <w:pStyle w:val="normal0"/>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C1E15" w:rsidRDefault="00BA34FE">
      <w:pPr>
        <w:pStyle w:val="normal0"/>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C1E15" w:rsidRDefault="00BA34FE">
      <w:pPr>
        <w:pStyle w:val="normal0"/>
        <w:spacing w:before="240" w:after="240" w:line="360" w:lineRule="auto"/>
        <w:ind w:left="10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C1E15" w:rsidRDefault="009C1E15">
      <w:pPr>
        <w:pStyle w:val="normal0"/>
        <w:spacing w:before="240" w:line="360" w:lineRule="auto"/>
        <w:jc w:val="both"/>
        <w:rPr>
          <w:rFonts w:ascii="Times New Roman" w:eastAsia="Times New Roman" w:hAnsi="Times New Roman" w:cs="Times New Roman"/>
          <w:sz w:val="24"/>
          <w:szCs w:val="24"/>
        </w:rPr>
      </w:pPr>
    </w:p>
    <w:p w:rsidR="009C1E15" w:rsidRDefault="009C1E15">
      <w:pPr>
        <w:pStyle w:val="normal0"/>
        <w:spacing w:before="240" w:line="360" w:lineRule="auto"/>
        <w:jc w:val="both"/>
        <w:rPr>
          <w:rFonts w:ascii="Times New Roman" w:eastAsia="Times New Roman" w:hAnsi="Times New Roman" w:cs="Times New Roman"/>
          <w:b/>
          <w:sz w:val="24"/>
          <w:szCs w:val="24"/>
        </w:rPr>
      </w:pPr>
    </w:p>
    <w:p w:rsidR="009C1E15" w:rsidRDefault="009C1E15">
      <w:pPr>
        <w:pStyle w:val="normal0"/>
        <w:spacing w:before="240" w:line="360" w:lineRule="auto"/>
        <w:jc w:val="both"/>
        <w:rPr>
          <w:rFonts w:ascii="Times New Roman" w:eastAsia="Times New Roman" w:hAnsi="Times New Roman" w:cs="Times New Roman"/>
          <w:sz w:val="24"/>
          <w:szCs w:val="24"/>
        </w:rPr>
      </w:pPr>
    </w:p>
    <w:p w:rsidR="009C1E15" w:rsidRDefault="009C1E15">
      <w:pPr>
        <w:pStyle w:val="normal0"/>
        <w:spacing w:before="240" w:after="240"/>
        <w:ind w:left="720"/>
        <w:jc w:val="both"/>
        <w:rPr>
          <w:rFonts w:ascii="Times New Roman" w:eastAsia="Times New Roman" w:hAnsi="Times New Roman" w:cs="Times New Roman"/>
          <w:color w:val="0000FF"/>
          <w:sz w:val="18"/>
          <w:szCs w:val="18"/>
          <w:u w:val="single"/>
        </w:rPr>
      </w:pPr>
    </w:p>
    <w:p w:rsidR="009C1E15" w:rsidRDefault="00BA34FE">
      <w:pPr>
        <w:pStyle w:val="normal0"/>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C1E15" w:rsidRDefault="009C1E15">
      <w:pPr>
        <w:pStyle w:val="normal0"/>
        <w:spacing w:before="240" w:line="360" w:lineRule="auto"/>
        <w:jc w:val="both"/>
        <w:rPr>
          <w:rFonts w:ascii="Times New Roman" w:eastAsia="Times New Roman" w:hAnsi="Times New Roman" w:cs="Times New Roman"/>
          <w:sz w:val="24"/>
          <w:szCs w:val="24"/>
        </w:rPr>
      </w:pPr>
    </w:p>
    <w:p w:rsidR="009C1E15" w:rsidRDefault="009C1E15">
      <w:pPr>
        <w:pStyle w:val="normal0"/>
        <w:spacing w:before="240" w:line="360" w:lineRule="auto"/>
        <w:jc w:val="both"/>
        <w:rPr>
          <w:rFonts w:ascii="Times New Roman" w:eastAsia="Times New Roman" w:hAnsi="Times New Roman" w:cs="Times New Roman"/>
          <w:sz w:val="24"/>
          <w:szCs w:val="24"/>
        </w:rPr>
      </w:pPr>
    </w:p>
    <w:p w:rsidR="009C1E15" w:rsidRDefault="009C1E15">
      <w:pPr>
        <w:pStyle w:val="normal0"/>
        <w:spacing w:line="360" w:lineRule="auto"/>
        <w:jc w:val="both"/>
        <w:rPr>
          <w:rFonts w:ascii="Times New Roman" w:eastAsia="Times New Roman" w:hAnsi="Times New Roman" w:cs="Times New Roman"/>
          <w:sz w:val="24"/>
          <w:szCs w:val="24"/>
        </w:rPr>
      </w:pPr>
    </w:p>
    <w:sectPr w:rsidR="009C1E15" w:rsidSect="009C1E15">
      <w:pgSz w:w="11909" w:h="16834"/>
      <w:pgMar w:top="1440" w:right="1440" w:bottom="144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2A82" w:rsidRDefault="00AE2A82" w:rsidP="009C1E15">
      <w:pPr>
        <w:spacing w:line="240" w:lineRule="auto"/>
      </w:pPr>
      <w:r>
        <w:separator/>
      </w:r>
    </w:p>
  </w:endnote>
  <w:endnote w:type="continuationSeparator" w:id="1">
    <w:p w:rsidR="00AE2A82" w:rsidRDefault="00AE2A82" w:rsidP="009C1E1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rdo">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2A82" w:rsidRDefault="00AE2A82" w:rsidP="009C1E15">
      <w:pPr>
        <w:spacing w:line="240" w:lineRule="auto"/>
      </w:pPr>
      <w:r>
        <w:separator/>
      </w:r>
    </w:p>
  </w:footnote>
  <w:footnote w:type="continuationSeparator" w:id="1">
    <w:p w:rsidR="00AE2A82" w:rsidRDefault="00AE2A82" w:rsidP="009C1E15">
      <w:pPr>
        <w:spacing w:line="240" w:lineRule="auto"/>
      </w:pPr>
      <w:r>
        <w:continuationSeparator/>
      </w:r>
    </w:p>
  </w:footnote>
  <w:footnote w:id="2">
    <w:p w:rsidR="007C7D0B" w:rsidRPr="00245995" w:rsidRDefault="007C7D0B">
      <w:pPr>
        <w:pStyle w:val="FootnoteText"/>
        <w:rPr>
          <w:rFonts w:ascii="Times New Roman" w:hAnsi="Times New Roman" w:cs="Times New Roman"/>
        </w:rPr>
      </w:pPr>
      <w:r w:rsidRPr="00245995">
        <w:rPr>
          <w:rStyle w:val="FootnoteReference"/>
          <w:rFonts w:ascii="Times New Roman" w:hAnsi="Times New Roman" w:cs="Times New Roman"/>
        </w:rPr>
        <w:footnoteRef/>
      </w:r>
      <w:r w:rsidRPr="00245995">
        <w:rPr>
          <w:rFonts w:ascii="Times New Roman" w:hAnsi="Times New Roman" w:cs="Times New Roman"/>
        </w:rPr>
        <w:t xml:space="preserve"> The Information Technology Act, 2000, 2000, No. 21 of 2000</w:t>
      </w:r>
    </w:p>
  </w:footnote>
  <w:footnote w:id="3">
    <w:p w:rsidR="009C1E15" w:rsidRPr="002A4DB9" w:rsidRDefault="00BA34FE">
      <w:pPr>
        <w:pStyle w:val="normal0"/>
        <w:spacing w:line="240" w:lineRule="auto"/>
        <w:rPr>
          <w:rFonts w:ascii="Times New Roman" w:hAnsi="Times New Roman" w:cs="Times New Roman"/>
          <w:sz w:val="24"/>
          <w:szCs w:val="24"/>
        </w:rPr>
      </w:pPr>
      <w:r w:rsidRPr="00245995">
        <w:rPr>
          <w:rStyle w:val="FootnoteReference"/>
          <w:rFonts w:ascii="Times New Roman" w:hAnsi="Times New Roman" w:cs="Times New Roman"/>
          <w:sz w:val="20"/>
          <w:szCs w:val="20"/>
        </w:rPr>
        <w:footnoteRef/>
      </w:r>
      <w:r w:rsidRPr="00245995">
        <w:rPr>
          <w:rFonts w:ascii="Times New Roman" w:hAnsi="Times New Roman" w:cs="Times New Roman"/>
          <w:sz w:val="20"/>
          <w:szCs w:val="20"/>
        </w:rPr>
        <w:t xml:space="preserve"> </w:t>
      </w:r>
      <w:r w:rsidR="00FB1F53" w:rsidRPr="00245995">
        <w:rPr>
          <w:rFonts w:ascii="Times New Roman" w:hAnsi="Times New Roman" w:cs="Times New Roman"/>
          <w:sz w:val="20"/>
          <w:szCs w:val="20"/>
        </w:rPr>
        <w:t xml:space="preserve">Draft Digital India Bill, 2025, Ministry of Electronics and Information Technology of India (2025). </w:t>
      </w:r>
      <w:hyperlink r:id="rId1">
        <w:r w:rsidRPr="00245995">
          <w:rPr>
            <w:rFonts w:ascii="Times New Roman" w:hAnsi="Times New Roman" w:cs="Times New Roman"/>
            <w:color w:val="1155CC"/>
            <w:sz w:val="20"/>
            <w:szCs w:val="20"/>
            <w:u w:val="single"/>
          </w:rPr>
          <w:t>https://innovateindia.mygov.in/dpdp-rules-2025/</w:t>
        </w:r>
      </w:hyperlink>
      <w:r w:rsidRPr="002A4DB9">
        <w:rPr>
          <w:rFonts w:ascii="Times New Roman" w:hAnsi="Times New Roman" w:cs="Times New Roman"/>
          <w:sz w:val="24"/>
          <w:szCs w:val="24"/>
        </w:rPr>
        <w:t xml:space="preserve"> </w:t>
      </w:r>
    </w:p>
  </w:footnote>
  <w:footnote w:id="4">
    <w:p w:rsidR="009C1E15" w:rsidRPr="00245995" w:rsidRDefault="00BA34FE">
      <w:pPr>
        <w:pStyle w:val="normal0"/>
        <w:spacing w:line="240" w:lineRule="auto"/>
        <w:rPr>
          <w:rFonts w:ascii="Times New Roman" w:eastAsia="Times New Roman" w:hAnsi="Times New Roman" w:cs="Times New Roman"/>
          <w:color w:val="0000FF"/>
          <w:sz w:val="20"/>
          <w:szCs w:val="20"/>
          <w:u w:val="single"/>
        </w:rPr>
      </w:pPr>
      <w:r w:rsidRPr="00245995">
        <w:rPr>
          <w:rStyle w:val="FootnoteReference"/>
          <w:rFonts w:ascii="Times New Roman" w:hAnsi="Times New Roman" w:cs="Times New Roman"/>
          <w:sz w:val="20"/>
          <w:szCs w:val="20"/>
        </w:rPr>
        <w:footnoteRef/>
      </w:r>
      <w:r w:rsidRPr="00245995">
        <w:rPr>
          <w:rFonts w:ascii="Times New Roman" w:hAnsi="Times New Roman" w:cs="Times New Roman"/>
          <w:sz w:val="20"/>
          <w:szCs w:val="20"/>
        </w:rPr>
        <w:t xml:space="preserve"> </w:t>
      </w:r>
      <w:r w:rsidRPr="00245995">
        <w:rPr>
          <w:rFonts w:ascii="Times New Roman" w:eastAsia="Times New Roman" w:hAnsi="Times New Roman" w:cs="Times New Roman"/>
          <w:sz w:val="20"/>
          <w:szCs w:val="20"/>
        </w:rPr>
        <w:t xml:space="preserve"> European Commission. (2021). </w:t>
      </w:r>
      <w:r w:rsidRPr="00245995">
        <w:rPr>
          <w:rFonts w:ascii="Times New Roman" w:eastAsia="Times New Roman" w:hAnsi="Times New Roman" w:cs="Times New Roman"/>
          <w:i/>
          <w:sz w:val="20"/>
          <w:szCs w:val="20"/>
        </w:rPr>
        <w:t>Proposal for a Regulation laying down harmonised rules on artificial intelligence (Artificial Intelligence Act)</w:t>
      </w:r>
      <w:r w:rsidRPr="00245995">
        <w:rPr>
          <w:rFonts w:ascii="Times New Roman" w:eastAsia="Times New Roman" w:hAnsi="Times New Roman" w:cs="Times New Roman"/>
          <w:sz w:val="20"/>
          <w:szCs w:val="20"/>
        </w:rPr>
        <w:t>.</w:t>
      </w:r>
      <w:hyperlink r:id="rId2">
        <w:r w:rsidRPr="00245995">
          <w:rPr>
            <w:rFonts w:ascii="Times New Roman" w:eastAsia="Times New Roman" w:hAnsi="Times New Roman" w:cs="Times New Roman"/>
            <w:sz w:val="20"/>
            <w:szCs w:val="20"/>
          </w:rPr>
          <w:t xml:space="preserve"> </w:t>
        </w:r>
      </w:hyperlink>
      <w:hyperlink r:id="rId3">
        <w:r w:rsidRPr="00245995">
          <w:rPr>
            <w:rFonts w:ascii="Times New Roman" w:eastAsia="Times New Roman" w:hAnsi="Times New Roman" w:cs="Times New Roman"/>
            <w:color w:val="0000FF"/>
            <w:sz w:val="20"/>
            <w:szCs w:val="20"/>
            <w:u w:val="single"/>
          </w:rPr>
          <w:t>https://eur-lex.europa.eu/legal-content/EN/TXT/?uri=CELEX%3A52021PC0206</w:t>
        </w:r>
      </w:hyperlink>
      <w:hyperlink r:id="rId4" w:anchor="user-content-fnref-1">
        <w:r w:rsidRPr="00245995">
          <w:rPr>
            <w:rFonts w:ascii="Times New Roman" w:eastAsia="Times New Roman" w:hAnsi="Times New Roman" w:cs="Times New Roman"/>
            <w:sz w:val="20"/>
            <w:szCs w:val="20"/>
          </w:rPr>
          <w:t xml:space="preserve"> </w:t>
        </w:r>
      </w:hyperlink>
      <w:hyperlink r:id="rId5" w:anchor="user-content-fnref-1">
        <w:r w:rsidRPr="00245995">
          <w:rPr>
            <w:rFonts w:ascii="Times New Roman" w:eastAsia="Times New Roman" w:hAnsi="Times New Roman" w:cs="Times New Roman"/>
            <w:color w:val="0000FF"/>
            <w:sz w:val="20"/>
            <w:szCs w:val="20"/>
            <w:u w:val="single"/>
          </w:rPr>
          <w:t>↩</w:t>
        </w:r>
      </w:hyperlink>
    </w:p>
    <w:p w:rsidR="009C1E15" w:rsidRPr="00245995" w:rsidRDefault="009C1E15">
      <w:pPr>
        <w:pStyle w:val="normal0"/>
        <w:spacing w:line="240" w:lineRule="auto"/>
        <w:rPr>
          <w:rFonts w:ascii="Times New Roman" w:hAnsi="Times New Roman" w:cs="Times New Roman"/>
          <w:sz w:val="20"/>
          <w:szCs w:val="20"/>
        </w:rPr>
      </w:pPr>
    </w:p>
  </w:footnote>
  <w:footnote w:id="5">
    <w:p w:rsidR="009C1E15" w:rsidRPr="002A4DB9" w:rsidRDefault="00BA34FE">
      <w:pPr>
        <w:pStyle w:val="normal0"/>
        <w:spacing w:line="240" w:lineRule="auto"/>
        <w:rPr>
          <w:rFonts w:ascii="Times New Roman" w:hAnsi="Times New Roman" w:cs="Times New Roman"/>
          <w:sz w:val="24"/>
          <w:szCs w:val="24"/>
        </w:rPr>
      </w:pPr>
      <w:r w:rsidRPr="00245995">
        <w:rPr>
          <w:rStyle w:val="FootnoteReference"/>
          <w:rFonts w:ascii="Times New Roman" w:hAnsi="Times New Roman" w:cs="Times New Roman"/>
          <w:sz w:val="20"/>
          <w:szCs w:val="20"/>
        </w:rPr>
        <w:footnoteRef/>
      </w:r>
      <w:r w:rsidRPr="00245995">
        <w:rPr>
          <w:rFonts w:ascii="Times New Roman" w:hAnsi="Times New Roman" w:cs="Times New Roman"/>
          <w:sz w:val="20"/>
          <w:szCs w:val="20"/>
        </w:rPr>
        <w:t xml:space="preserve"> </w:t>
      </w:r>
      <w:r w:rsidRPr="00245995">
        <w:rPr>
          <w:rFonts w:ascii="Times New Roman" w:eastAsia="Times New Roman" w:hAnsi="Times New Roman" w:cs="Times New Roman"/>
          <w:sz w:val="20"/>
          <w:szCs w:val="20"/>
        </w:rPr>
        <w:t xml:space="preserve"> </w:t>
      </w:r>
      <w:r w:rsidRPr="00245995">
        <w:rPr>
          <w:rFonts w:ascii="Times New Roman" w:eastAsia="Times New Roman" w:hAnsi="Times New Roman" w:cs="Times New Roman"/>
          <w:i/>
          <w:sz w:val="20"/>
          <w:szCs w:val="20"/>
        </w:rPr>
        <w:t>Principled Artificial Intelligence: Mapping Consensus in Ethical and Rights-Based Approaches to Principles for AI</w:t>
      </w:r>
      <w:r w:rsidRPr="00245995">
        <w:rPr>
          <w:rFonts w:ascii="Times New Roman" w:eastAsia="Times New Roman" w:hAnsi="Times New Roman" w:cs="Times New Roman"/>
          <w:sz w:val="20"/>
          <w:szCs w:val="20"/>
        </w:rPr>
        <w:t>.</w:t>
      </w:r>
      <w:r w:rsidR="00286377" w:rsidRPr="00245995">
        <w:rPr>
          <w:rFonts w:ascii="Times New Roman" w:hAnsi="Times New Roman" w:cs="Times New Roman"/>
          <w:sz w:val="20"/>
          <w:szCs w:val="20"/>
        </w:rPr>
        <w:t xml:space="preserve"> </w:t>
      </w:r>
      <w:hyperlink r:id="rId6" w:history="1">
        <w:r w:rsidR="00286377" w:rsidRPr="00245995">
          <w:rPr>
            <w:rStyle w:val="Hyperlink"/>
            <w:rFonts w:ascii="Times New Roman" w:hAnsi="Times New Roman" w:cs="Times New Roman"/>
            <w:sz w:val="20"/>
            <w:szCs w:val="20"/>
          </w:rPr>
          <w:t>https://papers.ssrn.com/sol3/papers.cfm?abstract_id=3518482</w:t>
        </w:r>
      </w:hyperlink>
      <w:r w:rsidR="00286377">
        <w:rPr>
          <w:rFonts w:ascii="Times New Roman" w:hAnsi="Times New Roman" w:cs="Times New Roman"/>
          <w:sz w:val="24"/>
          <w:szCs w:val="24"/>
        </w:rPr>
        <w:t xml:space="preserve"> </w:t>
      </w:r>
    </w:p>
  </w:footnote>
  <w:footnote w:id="6">
    <w:p w:rsidR="009C1E15" w:rsidRPr="00245995" w:rsidRDefault="00BA34FE" w:rsidP="002F3784">
      <w:pPr>
        <w:pStyle w:val="normal0"/>
        <w:spacing w:line="240" w:lineRule="auto"/>
        <w:ind w:left="720"/>
        <w:rPr>
          <w:rFonts w:ascii="Times New Roman" w:hAnsi="Times New Roman" w:cs="Times New Roman"/>
          <w:sz w:val="20"/>
          <w:szCs w:val="20"/>
        </w:rPr>
      </w:pPr>
      <w:r w:rsidRPr="00245995">
        <w:rPr>
          <w:rStyle w:val="FootnoteReference"/>
          <w:rFonts w:ascii="Times New Roman" w:hAnsi="Times New Roman" w:cs="Times New Roman"/>
          <w:sz w:val="20"/>
          <w:szCs w:val="20"/>
        </w:rPr>
        <w:footnoteRef/>
      </w:r>
      <w:r w:rsidRPr="00245995">
        <w:rPr>
          <w:rFonts w:ascii="Times New Roman" w:hAnsi="Times New Roman" w:cs="Times New Roman"/>
          <w:sz w:val="20"/>
          <w:szCs w:val="20"/>
        </w:rPr>
        <w:t xml:space="preserve"> </w:t>
      </w:r>
      <w:r w:rsidRPr="00245995">
        <w:rPr>
          <w:rFonts w:ascii="Times New Roman" w:eastAsia="Times New Roman" w:hAnsi="Times New Roman" w:cs="Times New Roman"/>
          <w:sz w:val="20"/>
          <w:szCs w:val="20"/>
        </w:rPr>
        <w:t xml:space="preserve"> </w:t>
      </w:r>
      <w:r w:rsidRPr="00245995">
        <w:rPr>
          <w:rFonts w:ascii="Times New Roman" w:eastAsia="Times New Roman" w:hAnsi="Times New Roman" w:cs="Times New Roman"/>
          <w:i/>
          <w:sz w:val="20"/>
          <w:szCs w:val="20"/>
        </w:rPr>
        <w:t>launches the world-first AI Safety Institute</w:t>
      </w:r>
      <w:r w:rsidRPr="00245995">
        <w:rPr>
          <w:rFonts w:ascii="Times New Roman" w:eastAsia="Times New Roman" w:hAnsi="Times New Roman" w:cs="Times New Roman"/>
          <w:sz w:val="20"/>
          <w:szCs w:val="20"/>
        </w:rPr>
        <w:t>.</w:t>
      </w:r>
      <w:hyperlink r:id="rId7">
        <w:r w:rsidRPr="00245995">
          <w:rPr>
            <w:rFonts w:ascii="Times New Roman" w:eastAsia="Times New Roman" w:hAnsi="Times New Roman" w:cs="Times New Roman"/>
            <w:sz w:val="20"/>
            <w:szCs w:val="20"/>
          </w:rPr>
          <w:t xml:space="preserve"> </w:t>
        </w:r>
      </w:hyperlink>
      <w:r w:rsidR="00724DB1" w:rsidRPr="00245995">
        <w:rPr>
          <w:rFonts w:ascii="Times New Roman" w:hAnsi="Times New Roman" w:cs="Times New Roman"/>
          <w:sz w:val="20"/>
          <w:szCs w:val="20"/>
        </w:rPr>
        <w:t xml:space="preserve"> </w:t>
      </w:r>
      <w:hyperlink r:id="rId8" w:history="1">
        <w:r w:rsidR="00724DB1" w:rsidRPr="00245995">
          <w:rPr>
            <w:rStyle w:val="Hyperlink"/>
            <w:rFonts w:ascii="Times New Roman" w:hAnsi="Times New Roman" w:cs="Times New Roman"/>
            <w:sz w:val="20"/>
            <w:szCs w:val="20"/>
          </w:rPr>
          <w:t>https://www.business-standard.com/world-news/world-s-first-ai-safety-institute-to-be-set-up-in-uk-rishi-sunak-123102600666_1.html</w:t>
        </w:r>
      </w:hyperlink>
      <w:r w:rsidR="00724DB1" w:rsidRPr="00245995">
        <w:rPr>
          <w:rFonts w:ascii="Times New Roman" w:hAnsi="Times New Roman" w:cs="Times New Roman"/>
          <w:sz w:val="20"/>
          <w:szCs w:val="20"/>
        </w:rPr>
        <w:t xml:space="preserve">  </w:t>
      </w:r>
    </w:p>
  </w:footnote>
  <w:footnote w:id="7">
    <w:p w:rsidR="009C1E15" w:rsidRPr="00245995" w:rsidRDefault="00BA34FE" w:rsidP="002F3784">
      <w:pPr>
        <w:pStyle w:val="normal0"/>
        <w:spacing w:before="240" w:after="240"/>
        <w:ind w:left="720"/>
        <w:rPr>
          <w:rFonts w:ascii="Times New Roman" w:hAnsi="Times New Roman" w:cs="Times New Roman"/>
          <w:sz w:val="20"/>
          <w:szCs w:val="20"/>
        </w:rPr>
      </w:pPr>
      <w:r w:rsidRPr="00245995">
        <w:rPr>
          <w:rStyle w:val="FootnoteReference"/>
          <w:rFonts w:ascii="Times New Roman" w:hAnsi="Times New Roman" w:cs="Times New Roman"/>
          <w:sz w:val="20"/>
          <w:szCs w:val="20"/>
        </w:rPr>
        <w:footnoteRef/>
      </w:r>
      <w:r w:rsidRPr="00245995">
        <w:rPr>
          <w:rFonts w:ascii="Times New Roman" w:eastAsia="Times New Roman" w:hAnsi="Times New Roman" w:cs="Times New Roman"/>
          <w:sz w:val="20"/>
          <w:szCs w:val="20"/>
        </w:rPr>
        <w:t xml:space="preserve"> </w:t>
      </w:r>
      <w:r w:rsidRPr="00245995">
        <w:rPr>
          <w:rFonts w:ascii="Times New Roman" w:eastAsia="Times New Roman" w:hAnsi="Times New Roman" w:cs="Times New Roman"/>
          <w:i/>
          <w:sz w:val="20"/>
          <w:szCs w:val="20"/>
        </w:rPr>
        <w:t>Initial Comments</w:t>
      </w:r>
      <w:r w:rsidR="00724DB1" w:rsidRPr="00245995">
        <w:rPr>
          <w:rFonts w:ascii="Times New Roman" w:eastAsia="Times New Roman" w:hAnsi="Times New Roman" w:cs="Times New Roman"/>
          <w:i/>
          <w:sz w:val="20"/>
          <w:szCs w:val="20"/>
        </w:rPr>
        <w:t xml:space="preserve"> on the Digital India </w:t>
      </w:r>
      <w:r w:rsidR="00724DB1" w:rsidRPr="00245995">
        <w:rPr>
          <w:rFonts w:ascii="Times New Roman" w:eastAsia="Times New Roman" w:hAnsi="Times New Roman" w:cs="Times New Roman"/>
          <w:color w:val="0000FF"/>
          <w:sz w:val="20"/>
          <w:szCs w:val="20"/>
          <w:u w:val="single"/>
        </w:rPr>
        <w:t xml:space="preserve"> </w:t>
      </w:r>
      <w:hyperlink r:id="rId9" w:history="1">
        <w:r w:rsidR="00724DB1" w:rsidRPr="00245995">
          <w:rPr>
            <w:rStyle w:val="Hyperlink"/>
            <w:rFonts w:ascii="Times New Roman" w:eastAsia="Times New Roman" w:hAnsi="Times New Roman" w:cs="Times New Roman"/>
            <w:sz w:val="20"/>
            <w:szCs w:val="20"/>
          </w:rPr>
          <w:t>https://www.india-briefing.com/news/digital-india-bill-2023-key-provisions-stakeholder-perspectives-28755.html/</w:t>
        </w:r>
      </w:hyperlink>
      <w:r w:rsidR="00724DB1" w:rsidRPr="00245995">
        <w:rPr>
          <w:rFonts w:ascii="Times New Roman" w:eastAsia="Times New Roman" w:hAnsi="Times New Roman" w:cs="Times New Roman"/>
          <w:color w:val="0000FF"/>
          <w:sz w:val="20"/>
          <w:szCs w:val="20"/>
          <w:u w:val="single"/>
        </w:rPr>
        <w:t xml:space="preserve"> </w:t>
      </w:r>
    </w:p>
  </w:footnote>
  <w:footnote w:id="8">
    <w:p w:rsidR="009C1E15" w:rsidRPr="002A4DB9" w:rsidRDefault="00BA34FE" w:rsidP="002F3784">
      <w:pPr>
        <w:pStyle w:val="normal0"/>
        <w:spacing w:before="240" w:after="240" w:line="360" w:lineRule="auto"/>
        <w:ind w:left="720"/>
        <w:rPr>
          <w:rFonts w:ascii="Times New Roman" w:hAnsi="Times New Roman" w:cs="Times New Roman"/>
          <w:sz w:val="24"/>
          <w:szCs w:val="24"/>
        </w:rPr>
      </w:pPr>
      <w:r w:rsidRPr="00245995">
        <w:rPr>
          <w:rStyle w:val="FootnoteReference"/>
          <w:rFonts w:ascii="Times New Roman" w:hAnsi="Times New Roman" w:cs="Times New Roman"/>
          <w:sz w:val="20"/>
          <w:szCs w:val="20"/>
        </w:rPr>
        <w:footnoteRef/>
      </w:r>
      <w:r w:rsidRPr="00245995">
        <w:rPr>
          <w:rFonts w:ascii="Times New Roman" w:eastAsia="Times New Roman" w:hAnsi="Times New Roman" w:cs="Times New Roman"/>
          <w:sz w:val="20"/>
          <w:szCs w:val="20"/>
        </w:rPr>
        <w:t xml:space="preserve">European Commission. (2021). </w:t>
      </w:r>
      <w:r w:rsidRPr="00245995">
        <w:rPr>
          <w:rFonts w:ascii="Times New Roman" w:eastAsia="Times New Roman" w:hAnsi="Times New Roman" w:cs="Times New Roman"/>
          <w:i/>
          <w:sz w:val="20"/>
          <w:szCs w:val="20"/>
        </w:rPr>
        <w:t>Proposal for a Regulation laying down harmonised rules on artificial intelligence (Artificial Intelligence Act)</w:t>
      </w:r>
      <w:r w:rsidRPr="00245995">
        <w:rPr>
          <w:rFonts w:ascii="Times New Roman" w:eastAsia="Times New Roman" w:hAnsi="Times New Roman" w:cs="Times New Roman"/>
          <w:sz w:val="20"/>
          <w:szCs w:val="20"/>
        </w:rPr>
        <w:t>.</w:t>
      </w:r>
      <w:hyperlink r:id="rId10">
        <w:r w:rsidRPr="00245995">
          <w:rPr>
            <w:rFonts w:ascii="Times New Roman" w:eastAsia="Times New Roman" w:hAnsi="Times New Roman" w:cs="Times New Roman"/>
            <w:sz w:val="20"/>
            <w:szCs w:val="20"/>
          </w:rPr>
          <w:t xml:space="preserve"> </w:t>
        </w:r>
      </w:hyperlink>
      <w:hyperlink r:id="rId11">
        <w:r w:rsidRPr="00245995">
          <w:rPr>
            <w:rFonts w:ascii="Times New Roman" w:eastAsia="Times New Roman" w:hAnsi="Times New Roman" w:cs="Times New Roman"/>
            <w:color w:val="0000FF"/>
            <w:sz w:val="20"/>
            <w:szCs w:val="20"/>
            <w:u w:val="single"/>
          </w:rPr>
          <w:t>https://eur-lex.europa.eu/legal-content/EN/TXT/?uri=CELEX%3A52021PC0206</w:t>
        </w:r>
      </w:hyperlink>
      <w:hyperlink r:id="rId12" w:anchor="user-content-fnref-1">
        <w:r w:rsidRPr="00245995">
          <w:rPr>
            <w:rFonts w:ascii="Times New Roman" w:eastAsia="Times New Roman" w:hAnsi="Times New Roman" w:cs="Times New Roman"/>
            <w:sz w:val="20"/>
            <w:szCs w:val="20"/>
          </w:rPr>
          <w:t xml:space="preserve"> </w:t>
        </w:r>
      </w:hyperlink>
      <w:r w:rsidRPr="00245995">
        <w:rPr>
          <w:rFonts w:ascii="Times New Roman" w:eastAsia="Times New Roman" w:hAnsi="Times New Roman" w:cs="Times New Roman"/>
          <w:color w:val="0000FF"/>
          <w:sz w:val="20"/>
          <w:szCs w:val="20"/>
          <w:u w:val="single"/>
        </w:rPr>
        <w:t>↩</w:t>
      </w:r>
    </w:p>
  </w:footnote>
  <w:footnote w:id="9">
    <w:p w:rsidR="009C1E15" w:rsidRPr="00245995" w:rsidRDefault="00BA34FE" w:rsidP="00850AC9">
      <w:pPr>
        <w:pStyle w:val="normal0"/>
        <w:spacing w:line="240" w:lineRule="auto"/>
        <w:ind w:left="720"/>
        <w:rPr>
          <w:rFonts w:ascii="Times New Roman" w:eastAsia="Times New Roman" w:hAnsi="Times New Roman" w:cs="Times New Roman"/>
          <w:color w:val="0000FF"/>
          <w:sz w:val="20"/>
          <w:szCs w:val="20"/>
          <w:u w:val="single"/>
        </w:rPr>
      </w:pPr>
      <w:r w:rsidRPr="00245995">
        <w:rPr>
          <w:rStyle w:val="FootnoteReference"/>
          <w:rFonts w:ascii="Times New Roman" w:hAnsi="Times New Roman" w:cs="Times New Roman"/>
          <w:sz w:val="20"/>
          <w:szCs w:val="20"/>
        </w:rPr>
        <w:footnoteRef/>
      </w:r>
      <w:r w:rsidRPr="00245995">
        <w:rPr>
          <w:rFonts w:ascii="Times New Roman" w:hAnsi="Times New Roman" w:cs="Times New Roman"/>
          <w:sz w:val="20"/>
          <w:szCs w:val="20"/>
        </w:rPr>
        <w:t xml:space="preserve"> </w:t>
      </w:r>
      <w:r w:rsidRPr="00245995">
        <w:rPr>
          <w:rFonts w:ascii="Times New Roman" w:eastAsia="Times New Roman" w:hAnsi="Times New Roman" w:cs="Times New Roman"/>
          <w:sz w:val="20"/>
          <w:szCs w:val="20"/>
        </w:rPr>
        <w:t xml:space="preserve">European Parliament. (2024). </w:t>
      </w:r>
      <w:r w:rsidRPr="00245995">
        <w:rPr>
          <w:rFonts w:ascii="Times New Roman" w:eastAsia="Times New Roman" w:hAnsi="Times New Roman" w:cs="Times New Roman"/>
          <w:i/>
          <w:sz w:val="20"/>
          <w:szCs w:val="20"/>
        </w:rPr>
        <w:t>AI Act: first regulation on artificial intelligence</w:t>
      </w:r>
      <w:r w:rsidRPr="00245995">
        <w:rPr>
          <w:rFonts w:ascii="Times New Roman" w:eastAsia="Times New Roman" w:hAnsi="Times New Roman" w:cs="Times New Roman"/>
          <w:sz w:val="20"/>
          <w:szCs w:val="20"/>
        </w:rPr>
        <w:t>.</w:t>
      </w:r>
      <w:hyperlink r:id="rId13">
        <w:r w:rsidRPr="00245995">
          <w:rPr>
            <w:rFonts w:ascii="Times New Roman" w:eastAsia="Times New Roman" w:hAnsi="Times New Roman" w:cs="Times New Roman"/>
            <w:sz w:val="20"/>
            <w:szCs w:val="20"/>
          </w:rPr>
          <w:t xml:space="preserve"> </w:t>
        </w:r>
      </w:hyperlink>
      <w:r w:rsidR="0068054F" w:rsidRPr="00245995">
        <w:rPr>
          <w:rFonts w:ascii="Times New Roman" w:eastAsia="Times New Roman" w:hAnsi="Times New Roman" w:cs="Times New Roman"/>
          <w:color w:val="0000FF"/>
          <w:sz w:val="20"/>
          <w:szCs w:val="20"/>
          <w:u w:val="single"/>
        </w:rPr>
        <w:t xml:space="preserve"> </w:t>
      </w:r>
      <w:hyperlink r:id="rId14" w:history="1">
        <w:r w:rsidR="0068054F" w:rsidRPr="00245995">
          <w:rPr>
            <w:rStyle w:val="Hyperlink"/>
            <w:rFonts w:ascii="Times New Roman" w:eastAsia="Times New Roman" w:hAnsi="Times New Roman" w:cs="Times New Roman"/>
            <w:sz w:val="20"/>
            <w:szCs w:val="20"/>
          </w:rPr>
          <w:t>https://www.europarl.europa.eu/topics/en/article/20230601STO93804/eu-ai-act-first-regulation-on-artificial-intelligence</w:t>
        </w:r>
      </w:hyperlink>
      <w:r w:rsidR="0068054F" w:rsidRPr="00245995">
        <w:rPr>
          <w:rFonts w:ascii="Times New Roman" w:eastAsia="Times New Roman" w:hAnsi="Times New Roman" w:cs="Times New Roman"/>
          <w:color w:val="0000FF"/>
          <w:sz w:val="20"/>
          <w:szCs w:val="20"/>
          <w:u w:val="single"/>
        </w:rPr>
        <w:t xml:space="preserve"> </w:t>
      </w:r>
    </w:p>
    <w:p w:rsidR="009C1E15" w:rsidRPr="00245995" w:rsidRDefault="009C1E15">
      <w:pPr>
        <w:pStyle w:val="normal0"/>
        <w:spacing w:line="240" w:lineRule="auto"/>
        <w:rPr>
          <w:rFonts w:ascii="Times New Roman" w:hAnsi="Times New Roman" w:cs="Times New Roman"/>
          <w:sz w:val="20"/>
          <w:szCs w:val="20"/>
        </w:rPr>
      </w:pPr>
    </w:p>
  </w:footnote>
  <w:footnote w:id="10">
    <w:p w:rsidR="009C1E15" w:rsidRPr="00245995" w:rsidRDefault="00BA34FE" w:rsidP="00245995">
      <w:pPr>
        <w:pStyle w:val="normal0"/>
        <w:spacing w:line="240" w:lineRule="auto"/>
        <w:ind w:left="566"/>
        <w:rPr>
          <w:rFonts w:ascii="Times New Roman" w:eastAsia="Times New Roman" w:hAnsi="Times New Roman" w:cs="Times New Roman"/>
          <w:color w:val="0000FF"/>
          <w:sz w:val="20"/>
          <w:szCs w:val="20"/>
          <w:u w:val="single"/>
        </w:rPr>
      </w:pPr>
      <w:r w:rsidRPr="00245995">
        <w:rPr>
          <w:rStyle w:val="FootnoteReference"/>
          <w:rFonts w:ascii="Times New Roman" w:hAnsi="Times New Roman" w:cs="Times New Roman"/>
          <w:sz w:val="20"/>
          <w:szCs w:val="20"/>
        </w:rPr>
        <w:footnoteRef/>
      </w:r>
      <w:r w:rsidRPr="00245995">
        <w:rPr>
          <w:rFonts w:ascii="Times New Roman" w:hAnsi="Times New Roman" w:cs="Times New Roman"/>
          <w:sz w:val="20"/>
          <w:szCs w:val="20"/>
        </w:rPr>
        <w:t xml:space="preserve"> </w:t>
      </w:r>
      <w:r w:rsidRPr="00245995">
        <w:rPr>
          <w:rFonts w:ascii="Times New Roman" w:eastAsia="Times New Roman" w:hAnsi="Times New Roman" w:cs="Times New Roman"/>
          <w:sz w:val="20"/>
          <w:szCs w:val="20"/>
        </w:rPr>
        <w:t xml:space="preserve">U.S. Congress. (2022). </w:t>
      </w:r>
      <w:r w:rsidRPr="00245995">
        <w:rPr>
          <w:rFonts w:ascii="Times New Roman" w:eastAsia="Times New Roman" w:hAnsi="Times New Roman" w:cs="Times New Roman"/>
          <w:i/>
          <w:sz w:val="20"/>
          <w:szCs w:val="20"/>
        </w:rPr>
        <w:t>Algorithmic Accountability Act of 2022</w:t>
      </w:r>
      <w:r w:rsidRPr="00245995">
        <w:rPr>
          <w:rFonts w:ascii="Times New Roman" w:eastAsia="Times New Roman" w:hAnsi="Times New Roman" w:cs="Times New Roman"/>
          <w:sz w:val="20"/>
          <w:szCs w:val="20"/>
        </w:rPr>
        <w:t>.</w:t>
      </w:r>
      <w:hyperlink r:id="rId15">
        <w:r w:rsidRPr="00245995">
          <w:rPr>
            <w:rFonts w:ascii="Times New Roman" w:eastAsia="Times New Roman" w:hAnsi="Times New Roman" w:cs="Times New Roman"/>
            <w:sz w:val="20"/>
            <w:szCs w:val="20"/>
          </w:rPr>
          <w:t xml:space="preserve"> </w:t>
        </w:r>
      </w:hyperlink>
      <w:hyperlink r:id="rId16">
        <w:r w:rsidRPr="00245995">
          <w:rPr>
            <w:rFonts w:ascii="Times New Roman" w:eastAsia="Times New Roman" w:hAnsi="Times New Roman" w:cs="Times New Roman"/>
            <w:color w:val="0000FF"/>
            <w:sz w:val="20"/>
            <w:szCs w:val="20"/>
            <w:u w:val="single"/>
          </w:rPr>
          <w:t>https://www.congress.gov/bill/117th-congress/house-bill/6580</w:t>
        </w:r>
      </w:hyperlink>
      <w:r w:rsidRPr="00245995">
        <w:rPr>
          <w:rFonts w:ascii="Times New Roman" w:eastAsia="Times New Roman" w:hAnsi="Times New Roman" w:cs="Times New Roman"/>
          <w:sz w:val="20"/>
          <w:szCs w:val="20"/>
        </w:rPr>
        <w:t xml:space="preserve"> </w:t>
      </w:r>
      <w:r w:rsidRPr="00245995">
        <w:rPr>
          <w:rFonts w:ascii="Times New Roman" w:eastAsia="Cardo" w:hAnsi="Cardo" w:cs="Times New Roman"/>
          <w:color w:val="0000FF"/>
          <w:sz w:val="20"/>
          <w:szCs w:val="20"/>
          <w:u w:val="single"/>
        </w:rPr>
        <w:t>↩</w:t>
      </w:r>
    </w:p>
  </w:footnote>
  <w:footnote w:id="11">
    <w:p w:rsidR="009C1E15" w:rsidRPr="00245995" w:rsidRDefault="00BA34FE">
      <w:pPr>
        <w:pStyle w:val="normal0"/>
        <w:spacing w:before="240" w:after="240" w:line="360" w:lineRule="auto"/>
        <w:ind w:left="566"/>
        <w:jc w:val="both"/>
        <w:rPr>
          <w:rFonts w:ascii="Times New Roman" w:eastAsia="Times New Roman" w:hAnsi="Times New Roman" w:cs="Times New Roman"/>
          <w:color w:val="0000FF"/>
          <w:sz w:val="20"/>
          <w:szCs w:val="20"/>
          <w:u w:val="single"/>
        </w:rPr>
      </w:pPr>
      <w:r w:rsidRPr="00245995">
        <w:rPr>
          <w:rStyle w:val="FootnoteReference"/>
          <w:rFonts w:ascii="Times New Roman" w:hAnsi="Times New Roman" w:cs="Times New Roman"/>
          <w:sz w:val="20"/>
          <w:szCs w:val="20"/>
        </w:rPr>
        <w:footnoteRef/>
      </w:r>
      <w:r w:rsidRPr="00245995">
        <w:rPr>
          <w:rFonts w:ascii="Times New Roman" w:eastAsia="Times New Roman" w:hAnsi="Times New Roman" w:cs="Times New Roman"/>
          <w:sz w:val="20"/>
          <w:szCs w:val="20"/>
        </w:rPr>
        <w:t xml:space="preserve">Cyberspace Administration of China. (2022). </w:t>
      </w:r>
      <w:r w:rsidRPr="00245995">
        <w:rPr>
          <w:rFonts w:ascii="Times New Roman" w:eastAsia="Times New Roman" w:hAnsi="Times New Roman" w:cs="Times New Roman"/>
          <w:i/>
          <w:sz w:val="20"/>
          <w:szCs w:val="20"/>
        </w:rPr>
        <w:t>Provisions on the Administration of D</w:t>
      </w:r>
      <w:r w:rsidR="00AC4CBD" w:rsidRPr="00245995">
        <w:rPr>
          <w:rFonts w:ascii="Times New Roman" w:eastAsia="Times New Roman" w:hAnsi="Times New Roman" w:cs="Times New Roman"/>
          <w:i/>
          <w:sz w:val="20"/>
          <w:szCs w:val="20"/>
        </w:rPr>
        <w:t>eep Synthesis</w:t>
      </w:r>
      <w:r w:rsidR="005D3E6B" w:rsidRPr="00245995">
        <w:rPr>
          <w:rFonts w:ascii="Times New Roman" w:eastAsia="Times New Roman" w:hAnsi="Times New Roman" w:cs="Times New Roman"/>
          <w:i/>
          <w:sz w:val="20"/>
          <w:szCs w:val="20"/>
        </w:rPr>
        <w:t xml:space="preserve"> Internet</w:t>
      </w:r>
      <w:r w:rsidRPr="00245995">
        <w:rPr>
          <w:rFonts w:ascii="Times New Roman" w:eastAsia="Times New Roman" w:hAnsi="Times New Roman" w:cs="Times New Roman"/>
          <w:i/>
          <w:sz w:val="20"/>
          <w:szCs w:val="20"/>
        </w:rPr>
        <w:t xml:space="preserve">  Information Services</w:t>
      </w:r>
      <w:r w:rsidRPr="00245995">
        <w:rPr>
          <w:rFonts w:ascii="Times New Roman" w:eastAsia="Times New Roman" w:hAnsi="Times New Roman" w:cs="Times New Roman"/>
          <w:sz w:val="20"/>
          <w:szCs w:val="20"/>
        </w:rPr>
        <w:t>.</w:t>
      </w:r>
      <w:hyperlink r:id="rId17">
        <w:r w:rsidRPr="00245995">
          <w:rPr>
            <w:rFonts w:ascii="Times New Roman" w:eastAsia="Times New Roman" w:hAnsi="Times New Roman" w:cs="Times New Roman"/>
            <w:sz w:val="20"/>
            <w:szCs w:val="20"/>
          </w:rPr>
          <w:t xml:space="preserve"> </w:t>
        </w:r>
      </w:hyperlink>
      <w:r w:rsidR="005D3E6B" w:rsidRPr="00245995">
        <w:rPr>
          <w:rFonts w:ascii="Times New Roman" w:eastAsia="Times New Roman" w:hAnsi="Times New Roman" w:cs="Times New Roman"/>
          <w:color w:val="0000FF"/>
          <w:sz w:val="20"/>
          <w:szCs w:val="20"/>
          <w:u w:val="single"/>
        </w:rPr>
        <w:t xml:space="preserve"> </w:t>
      </w:r>
      <w:hyperlink r:id="rId18" w:history="1">
        <w:r w:rsidR="00C06C28" w:rsidRPr="00245995">
          <w:rPr>
            <w:rStyle w:val="Hyperlink"/>
            <w:rFonts w:ascii="Times New Roman" w:eastAsia="Times New Roman" w:hAnsi="Times New Roman" w:cs="Times New Roman"/>
            <w:sz w:val="20"/>
            <w:szCs w:val="20"/>
          </w:rPr>
          <w:t>https://www.scirp.org/reference/referencespapers?referenceid=3962758</w:t>
        </w:r>
      </w:hyperlink>
      <w:r w:rsidR="00C06C28" w:rsidRPr="00245995">
        <w:rPr>
          <w:rFonts w:ascii="Times New Roman" w:eastAsia="Times New Roman" w:hAnsi="Times New Roman" w:cs="Times New Roman"/>
          <w:color w:val="0000FF"/>
          <w:sz w:val="20"/>
          <w:szCs w:val="20"/>
          <w:u w:val="single"/>
        </w:rPr>
        <w:t xml:space="preserve"> </w:t>
      </w:r>
    </w:p>
    <w:p w:rsidR="009C1E15" w:rsidRDefault="009C1E15">
      <w:pPr>
        <w:pStyle w:val="normal0"/>
        <w:spacing w:line="240" w:lineRule="auto"/>
        <w:rPr>
          <w:sz w:val="20"/>
          <w:szCs w:val="20"/>
        </w:rPr>
      </w:pPr>
    </w:p>
  </w:footnote>
  <w:footnote w:id="12">
    <w:p w:rsidR="00D1646A" w:rsidRPr="00811B7F" w:rsidRDefault="00D1646A" w:rsidP="00BD1C06">
      <w:pPr>
        <w:pStyle w:val="NormalWeb"/>
        <w:ind w:left="720"/>
        <w:rPr>
          <w:sz w:val="20"/>
          <w:szCs w:val="20"/>
        </w:rPr>
      </w:pPr>
      <w:r w:rsidRPr="00811B7F">
        <w:rPr>
          <w:rStyle w:val="FootnoteReference"/>
          <w:sz w:val="20"/>
          <w:szCs w:val="20"/>
        </w:rPr>
        <w:footnoteRef/>
      </w:r>
      <w:r w:rsidRPr="00811B7F">
        <w:rPr>
          <w:sz w:val="20"/>
          <w:szCs w:val="20"/>
        </w:rPr>
        <w:t xml:space="preserve"> </w:t>
      </w:r>
      <w:r w:rsidRPr="00811B7F">
        <w:rPr>
          <w:i/>
          <w:iCs/>
          <w:sz w:val="20"/>
          <w:szCs w:val="20"/>
        </w:rPr>
        <w:t xml:space="preserve">Justice K.S. Puttaswamy vs. Union of India  </w:t>
      </w:r>
      <w:r w:rsidR="005C175F" w:rsidRPr="00811B7F">
        <w:rPr>
          <w:i/>
          <w:iCs/>
          <w:sz w:val="20"/>
          <w:szCs w:val="20"/>
        </w:rPr>
        <w:t xml:space="preserve">AIR </w:t>
      </w:r>
      <w:r w:rsidRPr="00811B7F">
        <w:rPr>
          <w:i/>
          <w:iCs/>
          <w:sz w:val="20"/>
          <w:szCs w:val="20"/>
        </w:rPr>
        <w:t xml:space="preserve">2017 </w:t>
      </w:r>
      <w:r w:rsidRPr="00811B7F">
        <w:rPr>
          <w:sz w:val="20"/>
          <w:szCs w:val="20"/>
        </w:rPr>
        <w:t xml:space="preserve">(2021) </w:t>
      </w:r>
      <w:r w:rsidRPr="00811B7F">
        <w:rPr>
          <w:i/>
          <w:iCs/>
          <w:sz w:val="20"/>
          <w:szCs w:val="20"/>
        </w:rPr>
        <w:t>South Asian Translaw Database</w:t>
      </w:r>
      <w:r w:rsidRPr="00811B7F">
        <w:rPr>
          <w:sz w:val="20"/>
          <w:szCs w:val="20"/>
        </w:rPr>
        <w:t xml:space="preserve">. Available at </w:t>
      </w:r>
      <w:hyperlink r:id="rId19" w:history="1">
        <w:r w:rsidRPr="00811B7F">
          <w:rPr>
            <w:rStyle w:val="Hyperlink"/>
            <w:sz w:val="20"/>
            <w:szCs w:val="20"/>
          </w:rPr>
          <w:t>https://translaw.clpr.org.in/case-law/justice-k-s-puttaswamy-anr-vs-union-of-india-ors-privacy/</w:t>
        </w:r>
      </w:hyperlink>
      <w:r w:rsidRPr="00811B7F">
        <w:rPr>
          <w:sz w:val="20"/>
          <w:szCs w:val="20"/>
        </w:rPr>
        <w:t xml:space="preserve">  </w:t>
      </w:r>
    </w:p>
  </w:footnote>
  <w:footnote w:id="13">
    <w:p w:rsidR="009C1E15" w:rsidRPr="00811B7F" w:rsidRDefault="00BA34FE" w:rsidP="00BD1C06">
      <w:pPr>
        <w:pStyle w:val="Heading7"/>
        <w:ind w:left="720"/>
        <w:rPr>
          <w:rFonts w:ascii="Times New Roman" w:hAnsi="Times New Roman" w:cs="Times New Roman"/>
          <w:sz w:val="20"/>
          <w:szCs w:val="20"/>
        </w:rPr>
      </w:pPr>
      <w:r w:rsidRPr="00811B7F">
        <w:rPr>
          <w:rStyle w:val="FootnoteReference"/>
          <w:rFonts w:ascii="Times New Roman" w:hAnsi="Times New Roman" w:cs="Times New Roman"/>
          <w:sz w:val="20"/>
          <w:szCs w:val="20"/>
        </w:rPr>
        <w:footnoteRef/>
      </w:r>
      <w:r w:rsidRPr="00811B7F">
        <w:rPr>
          <w:rFonts w:ascii="Times New Roman" w:hAnsi="Times New Roman" w:cs="Times New Roman"/>
          <w:sz w:val="20"/>
          <w:szCs w:val="20"/>
        </w:rPr>
        <w:t xml:space="preserve"> </w:t>
      </w:r>
      <w:r w:rsidRPr="00811B7F">
        <w:rPr>
          <w:rFonts w:ascii="Times New Roman" w:eastAsia="Times New Roman" w:hAnsi="Times New Roman" w:cs="Times New Roman"/>
          <w:sz w:val="20"/>
          <w:szCs w:val="20"/>
        </w:rPr>
        <w:t>Facial Recognition Use by Delhi Police</w:t>
      </w:r>
      <w:r w:rsidR="00C22A52" w:rsidRPr="00811B7F">
        <w:rPr>
          <w:rFonts w:ascii="Times New Roman" w:hAnsi="Times New Roman" w:cs="Times New Roman"/>
          <w:sz w:val="20"/>
          <w:szCs w:val="20"/>
        </w:rPr>
        <w:t xml:space="preserve"> </w:t>
      </w:r>
      <w:hyperlink r:id="rId20" w:history="1">
        <w:r w:rsidR="00C22A52" w:rsidRPr="00811B7F">
          <w:rPr>
            <w:rStyle w:val="Hyperlink"/>
            <w:rFonts w:ascii="Times New Roman" w:eastAsia="Times New Roman" w:hAnsi="Times New Roman" w:cs="Times New Roman"/>
            <w:sz w:val="20"/>
            <w:szCs w:val="20"/>
          </w:rPr>
          <w:t>https://journals.sagepub.com/doi/10.1177/24551333241283992</w:t>
        </w:r>
      </w:hyperlink>
      <w:r w:rsidR="00C22A52" w:rsidRPr="00811B7F">
        <w:rPr>
          <w:rFonts w:ascii="Times New Roman" w:eastAsia="Times New Roman" w:hAnsi="Times New Roman" w:cs="Times New Roman"/>
          <w:sz w:val="20"/>
          <w:szCs w:val="20"/>
        </w:rPr>
        <w:t xml:space="preserve"> </w:t>
      </w:r>
    </w:p>
    <w:p w:rsidR="009C1E15" w:rsidRPr="00811B7F" w:rsidRDefault="009C1E15">
      <w:pPr>
        <w:pStyle w:val="normal0"/>
        <w:spacing w:line="240" w:lineRule="auto"/>
        <w:rPr>
          <w:rFonts w:ascii="Times New Roman" w:hAnsi="Times New Roman" w:cs="Times New Roman"/>
          <w:sz w:val="20"/>
          <w:szCs w:val="20"/>
        </w:rPr>
      </w:pPr>
    </w:p>
  </w:footnote>
  <w:footnote w:id="14">
    <w:p w:rsidR="00BC3056" w:rsidRPr="00811B7F" w:rsidRDefault="00BA34FE" w:rsidP="00BD1C06">
      <w:pPr>
        <w:pStyle w:val="normal0"/>
        <w:spacing w:line="240" w:lineRule="auto"/>
        <w:ind w:left="720"/>
        <w:rPr>
          <w:rFonts w:ascii="Times New Roman" w:hAnsi="Times New Roman" w:cs="Times New Roman"/>
          <w:sz w:val="20"/>
          <w:szCs w:val="20"/>
        </w:rPr>
      </w:pPr>
      <w:r w:rsidRPr="00811B7F">
        <w:rPr>
          <w:rStyle w:val="FootnoteReference"/>
          <w:rFonts w:ascii="Times New Roman" w:hAnsi="Times New Roman" w:cs="Times New Roman"/>
          <w:sz w:val="20"/>
          <w:szCs w:val="20"/>
        </w:rPr>
        <w:footnoteRef/>
      </w:r>
      <w:r w:rsidRPr="00811B7F">
        <w:rPr>
          <w:rFonts w:ascii="Times New Roman" w:hAnsi="Times New Roman" w:cs="Times New Roman"/>
          <w:sz w:val="20"/>
          <w:szCs w:val="20"/>
        </w:rPr>
        <w:t xml:space="preserve"> </w:t>
      </w:r>
      <w:r w:rsidRPr="00811B7F">
        <w:rPr>
          <w:rFonts w:ascii="Times New Roman" w:eastAsia="Times New Roman" w:hAnsi="Times New Roman" w:cs="Times New Roman"/>
          <w:sz w:val="20"/>
          <w:szCs w:val="20"/>
        </w:rPr>
        <w:t>WP (C) No. 685/2023</w:t>
      </w:r>
      <w:r w:rsidR="00BC3056" w:rsidRPr="00811B7F">
        <w:rPr>
          <w:rFonts w:ascii="Times New Roman" w:hAnsi="Times New Roman" w:cs="Times New Roman"/>
          <w:sz w:val="20"/>
          <w:szCs w:val="20"/>
        </w:rPr>
        <w:t xml:space="preserve"> </w:t>
      </w:r>
      <w:hyperlink r:id="rId21" w:history="1">
        <w:r w:rsidR="00BC3056" w:rsidRPr="00811B7F">
          <w:rPr>
            <w:rStyle w:val="Hyperlink"/>
            <w:rFonts w:ascii="Times New Roman" w:hAnsi="Times New Roman" w:cs="Times New Roman"/>
            <w:sz w:val="20"/>
            <w:szCs w:val="20"/>
          </w:rPr>
          <w:t>https://cyrilla.org/entity/s2537f5mcwc?page=1&amp;file=1568796690370tri95nanfmp.pdf</w:t>
        </w:r>
      </w:hyperlink>
      <w:r w:rsidR="00BC3056" w:rsidRPr="00811B7F">
        <w:rPr>
          <w:rFonts w:ascii="Times New Roman" w:hAnsi="Times New Roman" w:cs="Times New Roman"/>
          <w:sz w:val="20"/>
          <w:szCs w:val="20"/>
        </w:rPr>
        <w:t xml:space="preserve"> </w:t>
      </w:r>
    </w:p>
  </w:footnote>
  <w:footnote w:id="15">
    <w:p w:rsidR="009C1E15" w:rsidRPr="00811B7F" w:rsidRDefault="00BA34FE" w:rsidP="00BD1C06">
      <w:pPr>
        <w:pStyle w:val="normal0"/>
        <w:spacing w:line="240" w:lineRule="auto"/>
        <w:ind w:left="720"/>
        <w:rPr>
          <w:rFonts w:ascii="Times New Roman" w:hAnsi="Times New Roman" w:cs="Times New Roman"/>
          <w:sz w:val="20"/>
          <w:szCs w:val="20"/>
        </w:rPr>
      </w:pPr>
      <w:r w:rsidRPr="00811B7F">
        <w:rPr>
          <w:rStyle w:val="FootnoteReference"/>
          <w:rFonts w:ascii="Times New Roman" w:hAnsi="Times New Roman" w:cs="Times New Roman"/>
          <w:sz w:val="20"/>
          <w:szCs w:val="20"/>
        </w:rPr>
        <w:footnoteRef/>
      </w:r>
      <w:r w:rsidRPr="00811B7F">
        <w:rPr>
          <w:rFonts w:ascii="Times New Roman" w:hAnsi="Times New Roman" w:cs="Times New Roman"/>
          <w:sz w:val="20"/>
          <w:szCs w:val="20"/>
        </w:rPr>
        <w:t xml:space="preserve"> DPDP Act, </w:t>
      </w:r>
      <w:hyperlink r:id="rId22" w:history="1">
        <w:r w:rsidR="00BC3056" w:rsidRPr="00811B7F">
          <w:rPr>
            <w:rStyle w:val="Hyperlink"/>
            <w:rFonts w:ascii="Times New Roman" w:hAnsi="Times New Roman" w:cs="Times New Roman"/>
            <w:sz w:val="20"/>
            <w:szCs w:val="20"/>
          </w:rPr>
          <w:t>https://www.meity.gov.in/static/uploads/2024/06/2bf1f0e9f04e6fb4f8fef35e82c42aa5.pdf</w:t>
        </w:r>
      </w:hyperlink>
      <w:r w:rsidR="00BC3056" w:rsidRPr="00811B7F">
        <w:rPr>
          <w:rFonts w:ascii="Times New Roman" w:hAnsi="Times New Roman" w:cs="Times New Roman"/>
          <w:sz w:val="20"/>
          <w:szCs w:val="20"/>
        </w:rPr>
        <w:t xml:space="preserve"> </w:t>
      </w:r>
    </w:p>
  </w:footnote>
  <w:footnote w:id="16">
    <w:p w:rsidR="00B24758" w:rsidRPr="00811B7F" w:rsidRDefault="009319AD" w:rsidP="00BD1C06">
      <w:pPr>
        <w:pStyle w:val="FootnoteText"/>
        <w:spacing w:line="360" w:lineRule="auto"/>
        <w:ind w:left="720"/>
        <w:jc w:val="both"/>
        <w:rPr>
          <w:rFonts w:ascii="Times New Roman" w:hAnsi="Times New Roman" w:cs="Times New Roman"/>
        </w:rPr>
      </w:pPr>
      <w:r w:rsidRPr="00811B7F">
        <w:rPr>
          <w:rStyle w:val="FootnoteReference"/>
          <w:rFonts w:ascii="Times New Roman" w:hAnsi="Times New Roman" w:cs="Times New Roman"/>
        </w:rPr>
        <w:footnoteRef/>
      </w:r>
      <w:r w:rsidRPr="00811B7F">
        <w:rPr>
          <w:rFonts w:ascii="Times New Roman" w:hAnsi="Times New Roman" w:cs="Times New Roman"/>
        </w:rPr>
        <w:t xml:space="preserve"> </w:t>
      </w:r>
      <w:r w:rsidR="00500674" w:rsidRPr="00811B7F">
        <w:rPr>
          <w:rFonts w:ascii="Times New Roman" w:hAnsi="Times New Roman" w:cs="Times New Roman"/>
        </w:rPr>
        <w:t>Shreya Singhal v. Union of India, (2015) 5 SCC 1</w:t>
      </w:r>
    </w:p>
    <w:p w:rsidR="009319AD" w:rsidRPr="00811B7F" w:rsidRDefault="00B83560" w:rsidP="00BD1C06">
      <w:pPr>
        <w:pStyle w:val="FootnoteText"/>
        <w:spacing w:line="360" w:lineRule="auto"/>
        <w:ind w:left="720"/>
        <w:jc w:val="both"/>
        <w:rPr>
          <w:rFonts w:ascii="Times New Roman" w:hAnsi="Times New Roman" w:cs="Times New Roman"/>
        </w:rPr>
      </w:pPr>
      <w:hyperlink r:id="rId23" w:history="1">
        <w:r w:rsidR="00B24758" w:rsidRPr="00811B7F">
          <w:rPr>
            <w:rStyle w:val="Hyperlink"/>
            <w:rFonts w:ascii="Times New Roman" w:hAnsi="Times New Roman" w:cs="Times New Roman"/>
          </w:rPr>
          <w:t>https://www.legalserviceindia.com/legal/article-10124-shreya-singhal-v-union-of-india-air-2015-sc-1523.html</w:t>
        </w:r>
      </w:hyperlink>
    </w:p>
    <w:p w:rsidR="00B24758" w:rsidRPr="00500674" w:rsidRDefault="00B24758" w:rsidP="00500674">
      <w:pPr>
        <w:pStyle w:val="FootnoteText"/>
        <w:spacing w:line="360" w:lineRule="auto"/>
        <w:jc w:val="both"/>
        <w:rPr>
          <w:rFonts w:ascii="Times New Roman" w:hAnsi="Times New Roman" w:cs="Times New Roman"/>
          <w:sz w:val="24"/>
          <w:szCs w:val="24"/>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E56FC"/>
    <w:multiLevelType w:val="multilevel"/>
    <w:tmpl w:val="B69E60E8"/>
    <w:lvl w:ilvl="0">
      <w:start w:val="1"/>
      <w:numFmt w:val="lowerLetter"/>
      <w:lvlText w:val="%1."/>
      <w:lvlJc w:val="left"/>
      <w:pPr>
        <w:ind w:left="2880" w:hanging="360"/>
      </w:pPr>
      <w:rPr>
        <w:u w:val="none"/>
      </w:rPr>
    </w:lvl>
    <w:lvl w:ilvl="1">
      <w:start w:val="1"/>
      <w:numFmt w:val="lowerRoman"/>
      <w:lvlText w:val="%2."/>
      <w:lvlJc w:val="right"/>
      <w:pPr>
        <w:ind w:left="3600" w:hanging="360"/>
      </w:pPr>
      <w:rPr>
        <w:u w:val="none"/>
      </w:rPr>
    </w:lvl>
    <w:lvl w:ilvl="2">
      <w:start w:val="1"/>
      <w:numFmt w:val="decimal"/>
      <w:lvlText w:val="%3."/>
      <w:lvlJc w:val="left"/>
      <w:pPr>
        <w:ind w:left="4320" w:hanging="360"/>
      </w:pPr>
      <w:rPr>
        <w:u w:val="none"/>
      </w:rPr>
    </w:lvl>
    <w:lvl w:ilvl="3">
      <w:start w:val="1"/>
      <w:numFmt w:val="lowerLetter"/>
      <w:lvlText w:val="%4."/>
      <w:lvlJc w:val="left"/>
      <w:pPr>
        <w:ind w:left="5040" w:hanging="360"/>
      </w:pPr>
      <w:rPr>
        <w:u w:val="none"/>
      </w:rPr>
    </w:lvl>
    <w:lvl w:ilvl="4">
      <w:start w:val="1"/>
      <w:numFmt w:val="lowerRoman"/>
      <w:lvlText w:val="%5."/>
      <w:lvlJc w:val="right"/>
      <w:pPr>
        <w:ind w:left="5760" w:hanging="360"/>
      </w:pPr>
      <w:rPr>
        <w:u w:val="none"/>
      </w:rPr>
    </w:lvl>
    <w:lvl w:ilvl="5">
      <w:start w:val="1"/>
      <w:numFmt w:val="decimal"/>
      <w:lvlText w:val="%6."/>
      <w:lvlJc w:val="left"/>
      <w:pPr>
        <w:ind w:left="6480" w:hanging="360"/>
      </w:pPr>
      <w:rPr>
        <w:u w:val="none"/>
      </w:rPr>
    </w:lvl>
    <w:lvl w:ilvl="6">
      <w:start w:val="1"/>
      <w:numFmt w:val="lowerLetter"/>
      <w:lvlText w:val="%7."/>
      <w:lvlJc w:val="left"/>
      <w:pPr>
        <w:ind w:left="7200" w:hanging="360"/>
      </w:pPr>
      <w:rPr>
        <w:u w:val="none"/>
      </w:rPr>
    </w:lvl>
    <w:lvl w:ilvl="7">
      <w:start w:val="1"/>
      <w:numFmt w:val="lowerRoman"/>
      <w:lvlText w:val="%8."/>
      <w:lvlJc w:val="right"/>
      <w:pPr>
        <w:ind w:left="7920" w:hanging="360"/>
      </w:pPr>
      <w:rPr>
        <w:u w:val="none"/>
      </w:rPr>
    </w:lvl>
    <w:lvl w:ilvl="8">
      <w:start w:val="1"/>
      <w:numFmt w:val="decimal"/>
      <w:lvlText w:val="%9."/>
      <w:lvlJc w:val="left"/>
      <w:pPr>
        <w:ind w:left="8640" w:hanging="360"/>
      </w:pPr>
      <w:rPr>
        <w:u w:val="none"/>
      </w:rPr>
    </w:lvl>
  </w:abstractNum>
  <w:abstractNum w:abstractNumId="1">
    <w:nsid w:val="08D3339F"/>
    <w:multiLevelType w:val="multilevel"/>
    <w:tmpl w:val="166C80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0B492963"/>
    <w:multiLevelType w:val="multilevel"/>
    <w:tmpl w:val="09CC33AE"/>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3">
    <w:nsid w:val="0D547B55"/>
    <w:multiLevelType w:val="multilevel"/>
    <w:tmpl w:val="750A926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nsid w:val="5145164E"/>
    <w:multiLevelType w:val="multilevel"/>
    <w:tmpl w:val="B8D42AF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5">
    <w:nsid w:val="744709C4"/>
    <w:multiLevelType w:val="multilevel"/>
    <w:tmpl w:val="C9BA65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5"/>
  </w:num>
  <w:num w:numId="2">
    <w:abstractNumId w:val="2"/>
  </w:num>
  <w:num w:numId="3">
    <w:abstractNumId w:val="1"/>
  </w:num>
  <w:num w:numId="4">
    <w:abstractNumId w:val="0"/>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savePreviewPicture/>
  <w:footnotePr>
    <w:footnote w:id="0"/>
    <w:footnote w:id="1"/>
  </w:footnotePr>
  <w:endnotePr>
    <w:endnote w:id="0"/>
    <w:endnote w:id="1"/>
  </w:endnotePr>
  <w:compat/>
  <w:rsids>
    <w:rsidRoot w:val="009C1E15"/>
    <w:rsid w:val="00033C2C"/>
    <w:rsid w:val="00164159"/>
    <w:rsid w:val="00245995"/>
    <w:rsid w:val="00286377"/>
    <w:rsid w:val="002A4DB9"/>
    <w:rsid w:val="002F3784"/>
    <w:rsid w:val="003601CE"/>
    <w:rsid w:val="003664EB"/>
    <w:rsid w:val="00453B3F"/>
    <w:rsid w:val="00454CF4"/>
    <w:rsid w:val="0049017E"/>
    <w:rsid w:val="004D68E7"/>
    <w:rsid w:val="00500674"/>
    <w:rsid w:val="005C175F"/>
    <w:rsid w:val="005D3E6B"/>
    <w:rsid w:val="0068054F"/>
    <w:rsid w:val="006E44D1"/>
    <w:rsid w:val="00724DB1"/>
    <w:rsid w:val="007C7D0B"/>
    <w:rsid w:val="00811B7F"/>
    <w:rsid w:val="00850AC9"/>
    <w:rsid w:val="009319AD"/>
    <w:rsid w:val="009C1E15"/>
    <w:rsid w:val="00A20C97"/>
    <w:rsid w:val="00A40F21"/>
    <w:rsid w:val="00AC4CBD"/>
    <w:rsid w:val="00AE2A82"/>
    <w:rsid w:val="00B24758"/>
    <w:rsid w:val="00B83560"/>
    <w:rsid w:val="00BA34FE"/>
    <w:rsid w:val="00BC3056"/>
    <w:rsid w:val="00BD1C06"/>
    <w:rsid w:val="00C06C28"/>
    <w:rsid w:val="00C22A52"/>
    <w:rsid w:val="00C26F90"/>
    <w:rsid w:val="00D00F29"/>
    <w:rsid w:val="00D1646A"/>
    <w:rsid w:val="00D929C7"/>
    <w:rsid w:val="00DB430D"/>
    <w:rsid w:val="00FB1F5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17E"/>
  </w:style>
  <w:style w:type="paragraph" w:styleId="Heading1">
    <w:name w:val="heading 1"/>
    <w:basedOn w:val="normal0"/>
    <w:next w:val="normal0"/>
    <w:rsid w:val="009C1E15"/>
    <w:pPr>
      <w:keepNext/>
      <w:keepLines/>
      <w:spacing w:before="400" w:after="120"/>
      <w:outlineLvl w:val="0"/>
    </w:pPr>
    <w:rPr>
      <w:sz w:val="40"/>
      <w:szCs w:val="40"/>
    </w:rPr>
  </w:style>
  <w:style w:type="paragraph" w:styleId="Heading2">
    <w:name w:val="heading 2"/>
    <w:basedOn w:val="normal0"/>
    <w:next w:val="normal0"/>
    <w:rsid w:val="009C1E15"/>
    <w:pPr>
      <w:keepNext/>
      <w:keepLines/>
      <w:spacing w:before="360" w:after="120"/>
      <w:outlineLvl w:val="1"/>
    </w:pPr>
    <w:rPr>
      <w:sz w:val="32"/>
      <w:szCs w:val="32"/>
    </w:rPr>
  </w:style>
  <w:style w:type="paragraph" w:styleId="Heading3">
    <w:name w:val="heading 3"/>
    <w:basedOn w:val="normal0"/>
    <w:next w:val="normal0"/>
    <w:rsid w:val="009C1E15"/>
    <w:pPr>
      <w:keepNext/>
      <w:keepLines/>
      <w:spacing w:before="320" w:after="80"/>
      <w:outlineLvl w:val="2"/>
    </w:pPr>
    <w:rPr>
      <w:color w:val="434343"/>
      <w:sz w:val="28"/>
      <w:szCs w:val="28"/>
    </w:rPr>
  </w:style>
  <w:style w:type="paragraph" w:styleId="Heading4">
    <w:name w:val="heading 4"/>
    <w:basedOn w:val="normal0"/>
    <w:next w:val="normal0"/>
    <w:rsid w:val="009C1E15"/>
    <w:pPr>
      <w:keepNext/>
      <w:keepLines/>
      <w:spacing w:before="280" w:after="80"/>
      <w:outlineLvl w:val="3"/>
    </w:pPr>
    <w:rPr>
      <w:color w:val="666666"/>
      <w:sz w:val="24"/>
      <w:szCs w:val="24"/>
    </w:rPr>
  </w:style>
  <w:style w:type="paragraph" w:styleId="Heading5">
    <w:name w:val="heading 5"/>
    <w:basedOn w:val="normal0"/>
    <w:next w:val="normal0"/>
    <w:rsid w:val="009C1E15"/>
    <w:pPr>
      <w:keepNext/>
      <w:keepLines/>
      <w:spacing w:before="240" w:after="80"/>
      <w:outlineLvl w:val="4"/>
    </w:pPr>
    <w:rPr>
      <w:color w:val="666666"/>
    </w:rPr>
  </w:style>
  <w:style w:type="paragraph" w:styleId="Heading6">
    <w:name w:val="heading 6"/>
    <w:basedOn w:val="normal0"/>
    <w:next w:val="normal0"/>
    <w:rsid w:val="009C1E15"/>
    <w:pPr>
      <w:keepNext/>
      <w:keepLines/>
      <w:spacing w:before="240" w:after="80"/>
      <w:outlineLvl w:val="5"/>
    </w:pPr>
    <w:rPr>
      <w:i/>
      <w:color w:val="666666"/>
    </w:rPr>
  </w:style>
  <w:style w:type="paragraph" w:styleId="Heading7">
    <w:name w:val="heading 7"/>
    <w:basedOn w:val="Normal"/>
    <w:next w:val="Normal"/>
    <w:link w:val="Heading7Char"/>
    <w:uiPriority w:val="9"/>
    <w:unhideWhenUsed/>
    <w:qFormat/>
    <w:rsid w:val="00286377"/>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C1E15"/>
  </w:style>
  <w:style w:type="table" w:customStyle="1" w:styleId="TableNormal0">
    <w:name w:val="TableNormal"/>
    <w:rsid w:val="009C1E15"/>
    <w:tblPr>
      <w:tblCellMar>
        <w:top w:w="0" w:type="dxa"/>
        <w:left w:w="0" w:type="dxa"/>
        <w:bottom w:w="0" w:type="dxa"/>
        <w:right w:w="0" w:type="dxa"/>
      </w:tblCellMar>
    </w:tblPr>
  </w:style>
  <w:style w:type="paragraph" w:styleId="Title">
    <w:name w:val="Title"/>
    <w:basedOn w:val="normal0"/>
    <w:next w:val="normal0"/>
    <w:rsid w:val="009C1E15"/>
    <w:pPr>
      <w:keepNext/>
      <w:keepLines/>
      <w:spacing w:after="60"/>
    </w:pPr>
    <w:rPr>
      <w:sz w:val="52"/>
      <w:szCs w:val="52"/>
    </w:rPr>
  </w:style>
  <w:style w:type="paragraph" w:styleId="Subtitle">
    <w:name w:val="Subtitle"/>
    <w:basedOn w:val="normal0"/>
    <w:next w:val="normal0"/>
    <w:rsid w:val="009C1E15"/>
    <w:pPr>
      <w:keepNext/>
      <w:keepLines/>
      <w:spacing w:after="320"/>
    </w:pPr>
    <w:rPr>
      <w:color w:val="666666"/>
      <w:sz w:val="30"/>
      <w:szCs w:val="30"/>
    </w:rPr>
  </w:style>
  <w:style w:type="character" w:styleId="EndnoteReference">
    <w:name w:val="endnote reference"/>
    <w:basedOn w:val="DefaultParagraphFont"/>
    <w:uiPriority w:val="99"/>
    <w:semiHidden/>
    <w:unhideWhenUsed/>
    <w:rsid w:val="002A4DB9"/>
    <w:rPr>
      <w:vertAlign w:val="superscript"/>
    </w:rPr>
  </w:style>
  <w:style w:type="character" w:styleId="FootnoteReference">
    <w:name w:val="footnote reference"/>
    <w:basedOn w:val="DefaultParagraphFont"/>
    <w:uiPriority w:val="99"/>
    <w:semiHidden/>
    <w:unhideWhenUsed/>
    <w:rsid w:val="002A4DB9"/>
    <w:rPr>
      <w:vertAlign w:val="superscript"/>
    </w:rPr>
  </w:style>
  <w:style w:type="character" w:customStyle="1" w:styleId="Heading7Char">
    <w:name w:val="Heading 7 Char"/>
    <w:basedOn w:val="DefaultParagraphFont"/>
    <w:link w:val="Heading7"/>
    <w:uiPriority w:val="9"/>
    <w:rsid w:val="00286377"/>
    <w:rPr>
      <w:rFonts w:asciiTheme="majorHAnsi" w:eastAsiaTheme="majorEastAsia" w:hAnsiTheme="majorHAnsi" w:cstheme="majorBidi"/>
      <w:i/>
      <w:iCs/>
      <w:color w:val="404040" w:themeColor="text1" w:themeTint="BF"/>
    </w:rPr>
  </w:style>
  <w:style w:type="character" w:styleId="Hyperlink">
    <w:name w:val="Hyperlink"/>
    <w:basedOn w:val="DefaultParagraphFont"/>
    <w:uiPriority w:val="99"/>
    <w:unhideWhenUsed/>
    <w:rsid w:val="00286377"/>
    <w:rPr>
      <w:color w:val="0000FF" w:themeColor="hyperlink"/>
      <w:u w:val="single"/>
    </w:rPr>
  </w:style>
  <w:style w:type="paragraph" w:styleId="Header">
    <w:name w:val="header"/>
    <w:basedOn w:val="Normal"/>
    <w:link w:val="HeaderChar"/>
    <w:uiPriority w:val="99"/>
    <w:semiHidden/>
    <w:unhideWhenUsed/>
    <w:rsid w:val="00BC3056"/>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C3056"/>
  </w:style>
  <w:style w:type="paragraph" w:styleId="Footer">
    <w:name w:val="footer"/>
    <w:basedOn w:val="Normal"/>
    <w:link w:val="FooterChar"/>
    <w:uiPriority w:val="99"/>
    <w:semiHidden/>
    <w:unhideWhenUsed/>
    <w:rsid w:val="00BC3056"/>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BC3056"/>
  </w:style>
  <w:style w:type="paragraph" w:styleId="FootnoteText">
    <w:name w:val="footnote text"/>
    <w:basedOn w:val="Normal"/>
    <w:link w:val="FootnoteTextChar"/>
    <w:uiPriority w:val="99"/>
    <w:semiHidden/>
    <w:unhideWhenUsed/>
    <w:rsid w:val="00D1646A"/>
    <w:pPr>
      <w:spacing w:line="240" w:lineRule="auto"/>
    </w:pPr>
    <w:rPr>
      <w:sz w:val="20"/>
      <w:szCs w:val="20"/>
    </w:rPr>
  </w:style>
  <w:style w:type="character" w:customStyle="1" w:styleId="FootnoteTextChar">
    <w:name w:val="Footnote Text Char"/>
    <w:basedOn w:val="DefaultParagraphFont"/>
    <w:link w:val="FootnoteText"/>
    <w:uiPriority w:val="99"/>
    <w:semiHidden/>
    <w:rsid w:val="00D1646A"/>
    <w:rPr>
      <w:sz w:val="20"/>
      <w:szCs w:val="20"/>
    </w:rPr>
  </w:style>
  <w:style w:type="paragraph" w:styleId="NormalWeb">
    <w:name w:val="Normal (Web)"/>
    <w:basedOn w:val="Normal"/>
    <w:uiPriority w:val="99"/>
    <w:unhideWhenUsed/>
    <w:rsid w:val="00D1646A"/>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319AD"/>
    <w:rPr>
      <w:color w:val="800080" w:themeColor="followedHyperlink"/>
      <w:u w:val="single"/>
    </w:rPr>
  </w:style>
  <w:style w:type="paragraph" w:styleId="ListParagraph">
    <w:name w:val="List Paragraph"/>
    <w:basedOn w:val="Normal"/>
    <w:uiPriority w:val="34"/>
    <w:qFormat/>
    <w:rsid w:val="003664EB"/>
    <w:pPr>
      <w:ind w:left="720"/>
      <w:contextualSpacing/>
    </w:pPr>
  </w:style>
</w:styles>
</file>

<file path=word/webSettings.xml><?xml version="1.0" encoding="utf-8"?>
<w:webSettings xmlns:r="http://schemas.openxmlformats.org/officeDocument/2006/relationships" xmlns:w="http://schemas.openxmlformats.org/wordprocessingml/2006/main">
  <w:divs>
    <w:div w:id="50274048">
      <w:bodyDiv w:val="1"/>
      <w:marLeft w:val="0"/>
      <w:marRight w:val="0"/>
      <w:marTop w:val="0"/>
      <w:marBottom w:val="0"/>
      <w:divBdr>
        <w:top w:val="none" w:sz="0" w:space="0" w:color="auto"/>
        <w:left w:val="none" w:sz="0" w:space="0" w:color="auto"/>
        <w:bottom w:val="none" w:sz="0" w:space="0" w:color="auto"/>
        <w:right w:val="none" w:sz="0" w:space="0" w:color="auto"/>
      </w:divBdr>
    </w:div>
    <w:div w:id="479227178">
      <w:bodyDiv w:val="1"/>
      <w:marLeft w:val="0"/>
      <w:marRight w:val="0"/>
      <w:marTop w:val="0"/>
      <w:marBottom w:val="0"/>
      <w:divBdr>
        <w:top w:val="none" w:sz="0" w:space="0" w:color="auto"/>
        <w:left w:val="none" w:sz="0" w:space="0" w:color="auto"/>
        <w:bottom w:val="none" w:sz="0" w:space="0" w:color="auto"/>
        <w:right w:val="none" w:sz="0" w:space="0" w:color="auto"/>
      </w:divBdr>
    </w:div>
    <w:div w:id="789670794">
      <w:bodyDiv w:val="1"/>
      <w:marLeft w:val="0"/>
      <w:marRight w:val="0"/>
      <w:marTop w:val="0"/>
      <w:marBottom w:val="0"/>
      <w:divBdr>
        <w:top w:val="none" w:sz="0" w:space="0" w:color="auto"/>
        <w:left w:val="none" w:sz="0" w:space="0" w:color="auto"/>
        <w:bottom w:val="none" w:sz="0" w:space="0" w:color="auto"/>
        <w:right w:val="none" w:sz="0" w:space="0" w:color="auto"/>
      </w:divBdr>
    </w:div>
    <w:div w:id="793713423">
      <w:bodyDiv w:val="1"/>
      <w:marLeft w:val="0"/>
      <w:marRight w:val="0"/>
      <w:marTop w:val="0"/>
      <w:marBottom w:val="0"/>
      <w:divBdr>
        <w:top w:val="none" w:sz="0" w:space="0" w:color="auto"/>
        <w:left w:val="none" w:sz="0" w:space="0" w:color="auto"/>
        <w:bottom w:val="none" w:sz="0" w:space="0" w:color="auto"/>
        <w:right w:val="none" w:sz="0" w:space="0" w:color="auto"/>
      </w:divBdr>
    </w:div>
    <w:div w:id="1349677868">
      <w:bodyDiv w:val="1"/>
      <w:marLeft w:val="0"/>
      <w:marRight w:val="0"/>
      <w:marTop w:val="0"/>
      <w:marBottom w:val="0"/>
      <w:divBdr>
        <w:top w:val="none" w:sz="0" w:space="0" w:color="auto"/>
        <w:left w:val="none" w:sz="0" w:space="0" w:color="auto"/>
        <w:bottom w:val="none" w:sz="0" w:space="0" w:color="auto"/>
        <w:right w:val="none" w:sz="0" w:space="0" w:color="auto"/>
      </w:divBdr>
    </w:div>
    <w:div w:id="1416511954">
      <w:bodyDiv w:val="1"/>
      <w:marLeft w:val="0"/>
      <w:marRight w:val="0"/>
      <w:marTop w:val="0"/>
      <w:marBottom w:val="0"/>
      <w:divBdr>
        <w:top w:val="none" w:sz="0" w:space="0" w:color="auto"/>
        <w:left w:val="none" w:sz="0" w:space="0" w:color="auto"/>
        <w:bottom w:val="none" w:sz="0" w:space="0" w:color="auto"/>
        <w:right w:val="none" w:sz="0" w:space="0" w:color="auto"/>
      </w:divBdr>
    </w:div>
    <w:div w:id="1482187633">
      <w:bodyDiv w:val="1"/>
      <w:marLeft w:val="0"/>
      <w:marRight w:val="0"/>
      <w:marTop w:val="0"/>
      <w:marBottom w:val="0"/>
      <w:divBdr>
        <w:top w:val="none" w:sz="0" w:space="0" w:color="auto"/>
        <w:left w:val="none" w:sz="0" w:space="0" w:color="auto"/>
        <w:bottom w:val="none" w:sz="0" w:space="0" w:color="auto"/>
        <w:right w:val="none" w:sz="0" w:space="0" w:color="auto"/>
      </w:divBdr>
    </w:div>
    <w:div w:id="1761021597">
      <w:bodyDiv w:val="1"/>
      <w:marLeft w:val="0"/>
      <w:marRight w:val="0"/>
      <w:marTop w:val="0"/>
      <w:marBottom w:val="0"/>
      <w:divBdr>
        <w:top w:val="none" w:sz="0" w:space="0" w:color="auto"/>
        <w:left w:val="none" w:sz="0" w:space="0" w:color="auto"/>
        <w:bottom w:val="none" w:sz="0" w:space="0" w:color="auto"/>
        <w:right w:val="none" w:sz="0" w:space="0" w:color="auto"/>
      </w:divBdr>
    </w:div>
    <w:div w:id="20273645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business-standard.com/world-news/world-s-first-ai-safety-institute-to-be-set-up-in-uk-rishi-sunak-123102600666_1.html" TargetMode="External"/><Relationship Id="rId13" Type="http://schemas.openxmlformats.org/officeDocument/2006/relationships/hyperlink" Target="https://www.europarl.europa.eu/news/en/press-room/20240308IPR20506/ai-act-first-regulation-on-artificial-intelligence" TargetMode="External"/><Relationship Id="rId18" Type="http://schemas.openxmlformats.org/officeDocument/2006/relationships/hyperlink" Target="https://www.scirp.org/reference/referencespapers?referenceid=3962758" TargetMode="External"/><Relationship Id="rId3" Type="http://schemas.openxmlformats.org/officeDocument/2006/relationships/hyperlink" Target="https://eur-lex.europa.eu/legal-content/EN/TXT/?uri=CELEX%3A52021PC0206" TargetMode="External"/><Relationship Id="rId21" Type="http://schemas.openxmlformats.org/officeDocument/2006/relationships/hyperlink" Target="https://cyrilla.org/entity/s2537f5mcwc?page=1&amp;file=1568796690370tri95nanfmp.pdf" TargetMode="External"/><Relationship Id="rId7" Type="http://schemas.openxmlformats.org/officeDocument/2006/relationships/hyperlink" Target="https://www.gov.uk/government/news/uk-launches-world-first-ai-safety-institute" TargetMode="External"/><Relationship Id="rId12" Type="http://schemas.openxmlformats.org/officeDocument/2006/relationships/hyperlink" Target="https://chatgpt.com/c/68495904-4978-8009-bc54-6b26b69eea42" TargetMode="External"/><Relationship Id="rId17" Type="http://schemas.openxmlformats.org/officeDocument/2006/relationships/hyperlink" Target="https://www.cac.gov.cn/2022-12/11/c_1672227855655577.htm" TargetMode="External"/><Relationship Id="rId2" Type="http://schemas.openxmlformats.org/officeDocument/2006/relationships/hyperlink" Target="https://eur-lex.europa.eu/legal-content/EN/TXT/?uri=CELEX%3A52021PC0206" TargetMode="External"/><Relationship Id="rId16" Type="http://schemas.openxmlformats.org/officeDocument/2006/relationships/hyperlink" Target="https://www.congress.gov/bill/117th-congress/house-bill/6580" TargetMode="External"/><Relationship Id="rId20" Type="http://schemas.openxmlformats.org/officeDocument/2006/relationships/hyperlink" Target="https://journals.sagepub.com/doi/10.1177/24551333241283992" TargetMode="External"/><Relationship Id="rId1" Type="http://schemas.openxmlformats.org/officeDocument/2006/relationships/hyperlink" Target="https://innovateindia.mygov.in/dpdp-rules-2025/" TargetMode="External"/><Relationship Id="rId6" Type="http://schemas.openxmlformats.org/officeDocument/2006/relationships/hyperlink" Target="https://papers.ssrn.com/sol3/papers.cfm?abstract_id=3518482" TargetMode="External"/><Relationship Id="rId11" Type="http://schemas.openxmlformats.org/officeDocument/2006/relationships/hyperlink" Target="https://eur-lex.europa.eu/legal-content/EN/TXT/?uri=CELEX%3A52021PC0206" TargetMode="External"/><Relationship Id="rId5" Type="http://schemas.openxmlformats.org/officeDocument/2006/relationships/hyperlink" Target="https://chatgpt.com/c/68495904-4978-8009-bc54-6b26b69eea42" TargetMode="External"/><Relationship Id="rId15" Type="http://schemas.openxmlformats.org/officeDocument/2006/relationships/hyperlink" Target="https://www.congress.gov/bill/117th-congress/house-bill/6580" TargetMode="External"/><Relationship Id="rId23" Type="http://schemas.openxmlformats.org/officeDocument/2006/relationships/hyperlink" Target="https://www.legalserviceindia.com/legal/article-10124-shreya-singhal-v-union-of-india-air-2015-sc-1523.html" TargetMode="External"/><Relationship Id="rId10" Type="http://schemas.openxmlformats.org/officeDocument/2006/relationships/hyperlink" Target="https://eur-lex.europa.eu/legal-content/EN/TXT/?uri=CELEX%3A52021PC0206" TargetMode="External"/><Relationship Id="rId19" Type="http://schemas.openxmlformats.org/officeDocument/2006/relationships/hyperlink" Target="https://translaw.clpr.org.in/case-law/justice-k-s-puttaswamy-anr-vs-union-of-india-ors-privacy/" TargetMode="External"/><Relationship Id="rId4" Type="http://schemas.openxmlformats.org/officeDocument/2006/relationships/hyperlink" Target="https://chatgpt.com/c/68495904-4978-8009-bc54-6b26b69eea42" TargetMode="External"/><Relationship Id="rId9" Type="http://schemas.openxmlformats.org/officeDocument/2006/relationships/hyperlink" Target="https://www.india-briefing.com/news/digital-india-bill-2023-key-provisions-stakeholder-perspectives-28755.html/" TargetMode="External"/><Relationship Id="rId14" Type="http://schemas.openxmlformats.org/officeDocument/2006/relationships/hyperlink" Target="https://www.europarl.europa.eu/topics/en/article/20230601STO93804/eu-ai-act-first-regulation-on-artificial-intelligence" TargetMode="External"/><Relationship Id="rId22" Type="http://schemas.openxmlformats.org/officeDocument/2006/relationships/hyperlink" Target="https://www.meity.gov.in/static/uploads/2024/06/2bf1f0e9f04e6fb4f8fef35e82c42aa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MLA" SelectedStyle="/MLASeventhEditionOfficeOnline.xsl" Version="7">
  <b:Source>
    <b:Tag>source1</b:Tag>
    <b:SourceType>DocumentFromInternetSite</b:SourceType>
    <b:URL>https://www.pib.gov.in/PressReleasePage.aspx?PRID=2090048</b:URL>
    <b:Gdcea>{"AccessedType":"Website"}</b:Gdcea>
  </b:Source>
  <b:Source>
    <b:Tag>source2</b:Tag>
    <b:SourceType>DocumentFromInternetSite</b:SourceType>
    <b:Day>3</b:Day>
    <b:DayAccessed>19</b:DayAccessed>
    <b:Month>January</b:Month>
    <b:MonthAccessed>June</b:MonthAccessed>
    <b:ShortTitle>2025</b:ShortTitle>
    <b:Title>Press Release:Press Information Bureau</b:Title>
    <b:URL>https://www.pib.gov.in/PressReleasePage.aspx?PRID=2090048</b:URL>
    <b:InternetSiteTitle>Press Release:Press Information Bureau</b:InternetSiteTitle>
    <b:Year>2025</b:Year>
    <b:YearAccessed>2025</b:YearAccessed>
    <b:Gdcea>{"AccessedType":"Website"}</b:Gdcea>
  </b:Source>
  <b:Source>
    <b:Tag>source3</b:Tag>
    <b:SourceType>DocumentFromInternetSite</b:SourceType>
    <b:ShortTitle>2025</b:ShortTitle>
    <b:URL>https://www.pib.gov.in/PressReleasePage.aspx?PRID=2090048</b:URL>
    <b:Gdcea>{"AccessedType":"Website"}</b:Gdcea>
  </b:Source>
  <b:Source>
    <b:Tag>source4</b:Tag>
    <b:SourceType>DocumentFromInternetSite</b:SourceType>
    <b:Day>3</b:Day>
    <b:DayAccessed>20</b:DayAccessed>
    <b:Month>January</b:Month>
    <b:MonthAccessed>June</b:MonthAccessed>
    <b:ShortTitle>Draft Digital India Bill, 2025.</b:ShortTitle>
    <b:Title>Draft Digital Personal Data Protection Rules, 2025 – Innovate India</b:Title>
    <b:URL>https://innovateindia.mygov.in/dpdp-rules-2025/</b:URL>
    <b:InternetSiteTitle>Innovate India</b:InternetSiteTitle>
    <b:Year>2025</b:Year>
    <b:YearAccessed>2025</b:YearAccessed>
    <b:Gdcea>{"AccessedType":"Website"}</b:Gdcea>
  </b:Source>
</b:Sources>
</file>

<file path=customXml/itemProps1.xml><?xml version="1.0" encoding="utf-8"?>
<ds:datastoreItem xmlns:ds="http://schemas.openxmlformats.org/officeDocument/2006/customXml" ds:itemID="{758B815E-6AA1-4DBA-AF57-D7BEA2C99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2504</Words>
  <Characters>14278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sudhir lakra</dc:creator>
  <cp:lastModifiedBy>Sana Jessica</cp:lastModifiedBy>
  <cp:revision>3</cp:revision>
  <dcterms:created xsi:type="dcterms:W3CDTF">2025-06-25T10:03:00Z</dcterms:created>
  <dcterms:modified xsi:type="dcterms:W3CDTF">2025-06-25T10:06:00Z</dcterms:modified>
</cp:coreProperties>
</file>