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51F9E12B" w:rsidP="72AEE945" w:rsidRDefault="51F9E12B" w14:paraId="25FD78A1" w14:textId="228692E4">
      <w:pPr>
        <w:spacing w:before="240" w:beforeAutospacing="off" w:after="240" w:afterAutospacing="off" w:line="360" w:lineRule="auto"/>
        <w:jc w:val="center"/>
        <w:rPr>
          <w:rFonts w:ascii="Times New Roman" w:hAnsi="Times New Roman" w:eastAsia="Times New Roman" w:cs="Times New Roman"/>
          <w:b w:val="1"/>
          <w:bCs w:val="1"/>
          <w:noProof w:val="0"/>
          <w:sz w:val="24"/>
          <w:szCs w:val="24"/>
          <w:lang w:val="en-US"/>
        </w:rPr>
      </w:pPr>
      <w:r w:rsidRPr="72AEE945" w:rsidR="51F9E12B">
        <w:rPr>
          <w:rFonts w:ascii="Times New Roman" w:hAnsi="Times New Roman" w:eastAsia="Times New Roman" w:cs="Times New Roman"/>
          <w:b w:val="1"/>
          <w:bCs w:val="1"/>
          <w:noProof w:val="0"/>
          <w:sz w:val="24"/>
          <w:szCs w:val="24"/>
          <w:lang w:val="en-US"/>
        </w:rPr>
        <w:t>Internship assignment</w:t>
      </w:r>
    </w:p>
    <w:p w:rsidR="72AEE945" w:rsidP="72AEE945" w:rsidRDefault="72AEE945" w14:paraId="450D0FCF" w14:textId="4292328F">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p>
    <w:p w:rsidR="3834C383" w:rsidP="0250D0E9" w:rsidRDefault="3834C383" w14:paraId="72C0423B" w14:textId="5957A857">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r w:rsidRPr="72AEE945" w:rsidR="51F9E12B">
        <w:rPr>
          <w:rFonts w:ascii="Times New Roman" w:hAnsi="Times New Roman" w:eastAsia="Times New Roman" w:cs="Times New Roman"/>
          <w:b w:val="1"/>
          <w:bCs w:val="1"/>
          <w:noProof w:val="0"/>
          <w:sz w:val="24"/>
          <w:szCs w:val="24"/>
          <w:lang w:val="en-US"/>
        </w:rPr>
        <w:t>t</w:t>
      </w:r>
      <w:r w:rsidRPr="72AEE945" w:rsidR="3834C383">
        <w:rPr>
          <w:rFonts w:ascii="Times New Roman" w:hAnsi="Times New Roman" w:eastAsia="Times New Roman" w:cs="Times New Roman"/>
          <w:b w:val="1"/>
          <w:bCs w:val="1"/>
          <w:noProof w:val="0"/>
          <w:sz w:val="24"/>
          <w:szCs w:val="24"/>
          <w:lang w:val="en-US"/>
        </w:rPr>
        <w:t>he Citizenship Amendment Act (CAA), 2024</w:t>
      </w:r>
    </w:p>
    <w:p w:rsidR="3834C383" w:rsidP="0250D0E9" w:rsidRDefault="3834C383" w14:paraId="4F29DC07" w14:textId="0A9D5A2A">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The Citizenship Amendment Act, passed in 2019 and implemented in 2024, brought a major shift in how India grants citizenship to migrants. It amended the Citizenship Act of 1955 and created a new legal route for granting Indian citizenship to certain groups of people who entered India from Pakistan, Bangladesh, and Afghanistan before December 31, 2023. The key feature of this law is that it benefits only six religious groups—Hindus, Sikhs, Buddhists, Jains, Parsis, and Christians.</w:t>
      </w:r>
    </w:p>
    <w:p w:rsidR="3834C383" w:rsidP="0250D0E9" w:rsidRDefault="3834C383" w14:paraId="4233D3DD" w14:textId="7D12078B">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According to the central government, the purpose of the law is to protect minorities who faced religious persecution in the three Muslim-majority countries. The law reduces the required years of residence in India from eleven to five for members of these communities. These individuals can now apply for Indian citizenship more quickly and with fewer barriers.</w:t>
      </w:r>
    </w:p>
    <w:p w:rsidR="3834C383" w:rsidP="0250D0E9" w:rsidRDefault="3834C383" w14:paraId="2CF674EA" w14:textId="2A6FFF27">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However, the law has been controversial from the beginning. The exclusion of Muslims from the list of eligible religious groups has raised legal, political, and ethical concerns. Many experts, students, and civil society leaders have questioned whether this law violates the fundamental rights guaranteed by the Indian Constitution, particularly the right to equality and the secular structure of the state.</w:t>
      </w:r>
    </w:p>
    <w:p w:rsidR="0250D0E9" w:rsidP="0250D0E9" w:rsidRDefault="0250D0E9" w14:paraId="6AEADCB4" w14:textId="66CA994C">
      <w:pPr>
        <w:spacing w:line="360" w:lineRule="auto"/>
        <w:rPr>
          <w:rFonts w:ascii="Times New Roman" w:hAnsi="Times New Roman" w:eastAsia="Times New Roman" w:cs="Times New Roman"/>
        </w:rPr>
      </w:pPr>
    </w:p>
    <w:p w:rsidR="3834C383" w:rsidP="0250D0E9" w:rsidRDefault="3834C383" w14:paraId="42E1B18B" w14:textId="00333246">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r w:rsidRPr="0250D0E9" w:rsidR="3834C383">
        <w:rPr>
          <w:rFonts w:ascii="Times New Roman" w:hAnsi="Times New Roman" w:eastAsia="Times New Roman" w:cs="Times New Roman"/>
          <w:b w:val="1"/>
          <w:bCs w:val="1"/>
          <w:noProof w:val="0"/>
          <w:sz w:val="24"/>
          <w:szCs w:val="24"/>
          <w:lang w:val="en-US"/>
        </w:rPr>
        <w:t>Historical Context and Migration Patterns</w:t>
      </w:r>
    </w:p>
    <w:p w:rsidR="3834C383" w:rsidP="0250D0E9" w:rsidRDefault="3834C383" w14:paraId="158A94FA" w14:textId="05E2788B">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To understand the CAA, we must look at India’s history of migration, especially after the partition of British India in 1947. That event caused the largest forced migration in history. Millions of Hindus and Sikhs crossed into India from newly created Pakistan, while many Muslims moved from India to Pakistan. The situation was violent, painful, and disruptive.</w:t>
      </w:r>
    </w:p>
    <w:p w:rsidR="3834C383" w:rsidP="0250D0E9" w:rsidRDefault="3834C383" w14:paraId="60368019" w14:textId="77AFFA9F">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Even after partition, communal violence and discrimination continued in Pakistan and, later, Bangladesh and Afghanistan. Over the years, many religious minorities, especially Hindus and Sikhs, fled to India without valid documents. In the absence of a structured refugee law, they lived in legal limbo—unable to get full rights as citizens and constantly </w:t>
      </w:r>
      <w:r w:rsidRPr="0250D0E9" w:rsidR="3834C383">
        <w:rPr>
          <w:rFonts w:ascii="Times New Roman" w:hAnsi="Times New Roman" w:eastAsia="Times New Roman" w:cs="Times New Roman"/>
          <w:noProof w:val="0"/>
          <w:sz w:val="24"/>
          <w:szCs w:val="24"/>
          <w:lang w:val="en-US"/>
        </w:rPr>
        <w:t>facing</w:t>
      </w:r>
      <w:r w:rsidRPr="0250D0E9" w:rsidR="3834C383">
        <w:rPr>
          <w:rFonts w:ascii="Times New Roman" w:hAnsi="Times New Roman" w:eastAsia="Times New Roman" w:cs="Times New Roman"/>
          <w:noProof w:val="0"/>
          <w:sz w:val="24"/>
          <w:szCs w:val="24"/>
          <w:lang w:val="en-US"/>
        </w:rPr>
        <w:t xml:space="preserve"> the risk of deportation.</w:t>
      </w:r>
    </w:p>
    <w:p w:rsidR="3834C383" w:rsidP="0250D0E9" w:rsidRDefault="3834C383" w14:paraId="796793CF" w14:textId="25B761E3">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India has always responded to such humanitarian needs on a case-by-case basis. But there was no permanent framework in </w:t>
      </w:r>
      <w:r w:rsidRPr="0250D0E9" w:rsidR="3834C383">
        <w:rPr>
          <w:rFonts w:ascii="Times New Roman" w:hAnsi="Times New Roman" w:eastAsia="Times New Roman" w:cs="Times New Roman"/>
          <w:noProof w:val="0"/>
          <w:sz w:val="24"/>
          <w:szCs w:val="24"/>
          <w:lang w:val="en-US"/>
        </w:rPr>
        <w:t>law</w:t>
      </w:r>
      <w:r w:rsidRPr="0250D0E9" w:rsidR="3834C383">
        <w:rPr>
          <w:rFonts w:ascii="Times New Roman" w:hAnsi="Times New Roman" w:eastAsia="Times New Roman" w:cs="Times New Roman"/>
          <w:noProof w:val="0"/>
          <w:sz w:val="24"/>
          <w:szCs w:val="24"/>
          <w:lang w:val="en-US"/>
        </w:rPr>
        <w:t xml:space="preserve">. The CAA </w:t>
      </w:r>
      <w:r w:rsidRPr="0250D0E9" w:rsidR="3834C383">
        <w:rPr>
          <w:rFonts w:ascii="Times New Roman" w:hAnsi="Times New Roman" w:eastAsia="Times New Roman" w:cs="Times New Roman"/>
          <w:noProof w:val="0"/>
          <w:sz w:val="24"/>
          <w:szCs w:val="24"/>
          <w:lang w:val="en-US"/>
        </w:rPr>
        <w:t>seeks</w:t>
      </w:r>
      <w:r w:rsidRPr="0250D0E9" w:rsidR="3834C383">
        <w:rPr>
          <w:rFonts w:ascii="Times New Roman" w:hAnsi="Times New Roman" w:eastAsia="Times New Roman" w:cs="Times New Roman"/>
          <w:noProof w:val="0"/>
          <w:sz w:val="24"/>
          <w:szCs w:val="24"/>
          <w:lang w:val="en-US"/>
        </w:rPr>
        <w:t xml:space="preserve"> to fill that gap for specific groups. The government presented it </w:t>
      </w:r>
      <w:r w:rsidRPr="0250D0E9" w:rsidR="3834C383">
        <w:rPr>
          <w:rFonts w:ascii="Times New Roman" w:hAnsi="Times New Roman" w:eastAsia="Times New Roman" w:cs="Times New Roman"/>
          <w:noProof w:val="0"/>
          <w:sz w:val="24"/>
          <w:szCs w:val="24"/>
          <w:lang w:val="en-US"/>
        </w:rPr>
        <w:t>as a way to</w:t>
      </w:r>
      <w:r w:rsidRPr="0250D0E9" w:rsidR="3834C383">
        <w:rPr>
          <w:rFonts w:ascii="Times New Roman" w:hAnsi="Times New Roman" w:eastAsia="Times New Roman" w:cs="Times New Roman"/>
          <w:noProof w:val="0"/>
          <w:sz w:val="24"/>
          <w:szCs w:val="24"/>
          <w:lang w:val="en-US"/>
        </w:rPr>
        <w:t xml:space="preserve"> correct historical injustice and offer protection to vulnerable people.</w:t>
      </w:r>
    </w:p>
    <w:p w:rsidR="0250D0E9" w:rsidP="0250D0E9" w:rsidRDefault="0250D0E9" w14:paraId="2E8386AF" w14:textId="26DE1E5C">
      <w:pPr>
        <w:spacing w:line="360" w:lineRule="auto"/>
        <w:rPr>
          <w:rFonts w:ascii="Times New Roman" w:hAnsi="Times New Roman" w:eastAsia="Times New Roman" w:cs="Times New Roman"/>
        </w:rPr>
      </w:pPr>
    </w:p>
    <w:p w:rsidR="3834C383" w:rsidP="0250D0E9" w:rsidRDefault="3834C383" w14:paraId="66643D7B" w14:textId="13C43D47">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r w:rsidRPr="0250D0E9" w:rsidR="3834C383">
        <w:rPr>
          <w:rFonts w:ascii="Times New Roman" w:hAnsi="Times New Roman" w:eastAsia="Times New Roman" w:cs="Times New Roman"/>
          <w:b w:val="1"/>
          <w:bCs w:val="1"/>
          <w:noProof w:val="0"/>
          <w:sz w:val="24"/>
          <w:szCs w:val="24"/>
          <w:lang w:val="en-US"/>
        </w:rPr>
        <w:t>Legal Provisions of the CAA</w:t>
      </w:r>
    </w:p>
    <w:p w:rsidR="3834C383" w:rsidP="0250D0E9" w:rsidRDefault="3834C383" w14:paraId="6C0665DE" w14:textId="55240504">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The CAA changes two key aspects of the Citizenship Act of 1955. First, it removes the classification of certain migrants as “illegal immigrants.” Under the original law, anyone who entered India without valid documents or stayed beyond their visa limit was considered an illegal immigrant and was ineligible for citizenship. The CAA exempts people from the six named religions if they came from Pakistan, Bangladesh, or Afghanistan before December 31, 2023.</w:t>
      </w:r>
    </w:p>
    <w:p w:rsidR="3834C383" w:rsidP="0250D0E9" w:rsidRDefault="3834C383" w14:paraId="42B29965" w14:textId="7F20F5CC">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Second, the law shortens the period of required residence. Normally, to apply for citizenship through naturalization, a person must have lived in India for eleven years. The CAA lowers that requirement to five years for the specified groups.</w:t>
      </w:r>
    </w:p>
    <w:p w:rsidR="3834C383" w:rsidP="0250D0E9" w:rsidRDefault="3834C383" w14:paraId="688F49F4" w14:textId="3B9833E3">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This creates a legal path to full citizenship, including the right to vote, own property, and </w:t>
      </w:r>
      <w:r w:rsidRPr="0250D0E9" w:rsidR="3834C383">
        <w:rPr>
          <w:rFonts w:ascii="Times New Roman" w:hAnsi="Times New Roman" w:eastAsia="Times New Roman" w:cs="Times New Roman"/>
          <w:noProof w:val="0"/>
          <w:sz w:val="24"/>
          <w:szCs w:val="24"/>
          <w:lang w:val="en-US"/>
        </w:rPr>
        <w:t>access</w:t>
      </w:r>
      <w:r w:rsidRPr="0250D0E9" w:rsidR="3834C383">
        <w:rPr>
          <w:rFonts w:ascii="Times New Roman" w:hAnsi="Times New Roman" w:eastAsia="Times New Roman" w:cs="Times New Roman"/>
          <w:noProof w:val="0"/>
          <w:sz w:val="24"/>
          <w:szCs w:val="24"/>
          <w:lang w:val="en-US"/>
        </w:rPr>
        <w:t xml:space="preserve"> social benefits. It also means that these individuals can no longer be detained or deported for lacking legal documents.</w:t>
      </w:r>
    </w:p>
    <w:p w:rsidR="0250D0E9" w:rsidP="0250D0E9" w:rsidRDefault="0250D0E9" w14:paraId="7410CC31" w14:textId="53EF4739">
      <w:pPr>
        <w:spacing w:line="360" w:lineRule="auto"/>
        <w:rPr>
          <w:rFonts w:ascii="Times New Roman" w:hAnsi="Times New Roman" w:eastAsia="Times New Roman" w:cs="Times New Roman"/>
        </w:rPr>
      </w:pPr>
    </w:p>
    <w:p w:rsidR="3834C383" w:rsidP="0250D0E9" w:rsidRDefault="3834C383" w14:paraId="297C6C50" w14:textId="1D5E2150">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r w:rsidRPr="0250D0E9" w:rsidR="3834C383">
        <w:rPr>
          <w:rFonts w:ascii="Times New Roman" w:hAnsi="Times New Roman" w:eastAsia="Times New Roman" w:cs="Times New Roman"/>
          <w:b w:val="1"/>
          <w:bCs w:val="1"/>
          <w:noProof w:val="0"/>
          <w:sz w:val="24"/>
          <w:szCs w:val="24"/>
          <w:lang w:val="en-US"/>
        </w:rPr>
        <w:t>Exclusion and the Muslim Question</w:t>
      </w:r>
    </w:p>
    <w:p w:rsidR="3834C383" w:rsidP="0250D0E9" w:rsidRDefault="3834C383" w14:paraId="3AD28242" w14:textId="5D3BFFC2">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The most debated part of the CAA is its exclusion of Muslims. The law only </w:t>
      </w:r>
      <w:r w:rsidRPr="0250D0E9" w:rsidR="3834C383">
        <w:rPr>
          <w:rFonts w:ascii="Times New Roman" w:hAnsi="Times New Roman" w:eastAsia="Times New Roman" w:cs="Times New Roman"/>
          <w:noProof w:val="0"/>
          <w:sz w:val="24"/>
          <w:szCs w:val="24"/>
          <w:lang w:val="en-US"/>
        </w:rPr>
        <w:t>benefits</w:t>
      </w:r>
      <w:r w:rsidRPr="0250D0E9" w:rsidR="3834C383">
        <w:rPr>
          <w:rFonts w:ascii="Times New Roman" w:hAnsi="Times New Roman" w:eastAsia="Times New Roman" w:cs="Times New Roman"/>
          <w:noProof w:val="0"/>
          <w:sz w:val="24"/>
          <w:szCs w:val="24"/>
          <w:lang w:val="en-US"/>
        </w:rPr>
        <w:t xml:space="preserve"> non-Muslim minorities. Critics argue this is a clear case of religious discrimination. They say the Constitution prohibits the government from making laws that give preference to one religion over another.</w:t>
      </w:r>
      <w:r w:rsidRPr="0250D0E9" w:rsidR="506B1F22">
        <w:rPr>
          <w:rFonts w:ascii="Times New Roman" w:hAnsi="Times New Roman" w:eastAsia="Times New Roman" w:cs="Times New Roman"/>
          <w:noProof w:val="0"/>
          <w:sz w:val="24"/>
          <w:szCs w:val="24"/>
          <w:lang w:val="en-US"/>
        </w:rPr>
        <w:t xml:space="preserve"> Again, Bhatia asserts, “The principle of secularism, while not expressly </w:t>
      </w:r>
      <w:r w:rsidRPr="0250D0E9" w:rsidR="506B1F22">
        <w:rPr>
          <w:rFonts w:ascii="Times New Roman" w:hAnsi="Times New Roman" w:eastAsia="Times New Roman" w:cs="Times New Roman"/>
          <w:noProof w:val="0"/>
          <w:sz w:val="24"/>
          <w:szCs w:val="24"/>
          <w:lang w:val="en-US"/>
        </w:rPr>
        <w:t>stated</w:t>
      </w:r>
      <w:r w:rsidRPr="0250D0E9" w:rsidR="506B1F22">
        <w:rPr>
          <w:rFonts w:ascii="Times New Roman" w:hAnsi="Times New Roman" w:eastAsia="Times New Roman" w:cs="Times New Roman"/>
          <w:noProof w:val="0"/>
          <w:sz w:val="24"/>
          <w:szCs w:val="24"/>
          <w:lang w:val="en-US"/>
        </w:rPr>
        <w:t xml:space="preserve"> in Article 14, is part of the constitutional morality that binds public decision-making</w:t>
      </w:r>
      <w:r w:rsidRPr="0250D0E9" w:rsidR="506B1F22">
        <w:rPr>
          <w:rFonts w:ascii="Times New Roman" w:hAnsi="Times New Roman" w:eastAsia="Times New Roman" w:cs="Times New Roman"/>
          <w:noProof w:val="0"/>
          <w:sz w:val="24"/>
          <w:szCs w:val="24"/>
          <w:lang w:val="en-US"/>
        </w:rPr>
        <w:t>.”</w:t>
      </w:r>
      <w:r w:rsidRPr="0250D0E9">
        <w:rPr>
          <w:rStyle w:val="FootnoteReference"/>
          <w:rFonts w:ascii="Times New Roman" w:hAnsi="Times New Roman" w:eastAsia="Times New Roman" w:cs="Times New Roman"/>
          <w:noProof w:val="0"/>
          <w:sz w:val="24"/>
          <w:szCs w:val="24"/>
          <w:lang w:val="en-US"/>
        </w:rPr>
        <w:footnoteReference w:id="830"/>
      </w:r>
    </w:p>
    <w:p w:rsidR="3834C383" w:rsidP="0250D0E9" w:rsidRDefault="3834C383" w14:paraId="0B008D78" w14:textId="21A667EB">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The government has responded by saying the law is not anti-Muslim. Instead, it is </w:t>
      </w:r>
      <w:r w:rsidRPr="0250D0E9" w:rsidR="3834C383">
        <w:rPr>
          <w:rFonts w:ascii="Times New Roman" w:hAnsi="Times New Roman" w:eastAsia="Times New Roman" w:cs="Times New Roman"/>
          <w:noProof w:val="0"/>
          <w:sz w:val="24"/>
          <w:szCs w:val="24"/>
          <w:lang w:val="en-US"/>
        </w:rPr>
        <w:t>pro</w:t>
      </w:r>
      <w:r w:rsidRPr="0250D0E9" w:rsidR="3834C383">
        <w:rPr>
          <w:rFonts w:ascii="Times New Roman" w:hAnsi="Times New Roman" w:eastAsia="Times New Roman" w:cs="Times New Roman"/>
          <w:noProof w:val="0"/>
          <w:sz w:val="24"/>
          <w:szCs w:val="24"/>
          <w:lang w:val="en-US"/>
        </w:rPr>
        <w:t>-minority. According to the government, Muslims are not a persecuted minority in the three countries named in the law. Therefore, the law does not apply to them. Government officials also emphasize that Muslims from any country can still apply for Indian citizenship through the regular process.</w:t>
      </w:r>
    </w:p>
    <w:p w:rsidR="3834C383" w:rsidP="0250D0E9" w:rsidRDefault="3834C383" w14:paraId="3219E52D" w14:textId="2242845B">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Despite these arguments, many believe the exclusion sends the wrong message. It creates a religious test for access to legal status and rights. For a secular country like India, this is seen as a dangerous step.</w:t>
      </w:r>
    </w:p>
    <w:p w:rsidR="0250D0E9" w:rsidP="0250D0E9" w:rsidRDefault="0250D0E9" w14:paraId="258D3BB6" w14:textId="0D532D16">
      <w:pPr>
        <w:spacing w:line="360" w:lineRule="auto"/>
        <w:rPr>
          <w:rFonts w:ascii="Times New Roman" w:hAnsi="Times New Roman" w:eastAsia="Times New Roman" w:cs="Times New Roman"/>
        </w:rPr>
      </w:pPr>
    </w:p>
    <w:p w:rsidR="3834C383" w:rsidP="0250D0E9" w:rsidRDefault="3834C383" w14:paraId="04F41B3C" w14:textId="62EFBD39">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r w:rsidRPr="0250D0E9" w:rsidR="3834C383">
        <w:rPr>
          <w:rFonts w:ascii="Times New Roman" w:hAnsi="Times New Roman" w:eastAsia="Times New Roman" w:cs="Times New Roman"/>
          <w:b w:val="1"/>
          <w:bCs w:val="1"/>
          <w:noProof w:val="0"/>
          <w:sz w:val="24"/>
          <w:szCs w:val="24"/>
          <w:lang w:val="en-US"/>
        </w:rPr>
        <w:t>Supreme Court Review and Legal Challenges</w:t>
      </w:r>
    </w:p>
    <w:p w:rsidR="3834C383" w:rsidP="0250D0E9" w:rsidRDefault="3834C383" w14:paraId="7CB135D5" w14:textId="20191E6A">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Soon after the law </w:t>
      </w:r>
      <w:r w:rsidRPr="0250D0E9" w:rsidR="3834C383">
        <w:rPr>
          <w:rFonts w:ascii="Times New Roman" w:hAnsi="Times New Roman" w:eastAsia="Times New Roman" w:cs="Times New Roman"/>
          <w:noProof w:val="0"/>
          <w:sz w:val="24"/>
          <w:szCs w:val="24"/>
          <w:lang w:val="en-US"/>
        </w:rPr>
        <w:t>was passed</w:t>
      </w:r>
      <w:r w:rsidRPr="0250D0E9" w:rsidR="3834C383">
        <w:rPr>
          <w:rFonts w:ascii="Times New Roman" w:hAnsi="Times New Roman" w:eastAsia="Times New Roman" w:cs="Times New Roman"/>
          <w:noProof w:val="0"/>
          <w:sz w:val="24"/>
          <w:szCs w:val="24"/>
          <w:lang w:val="en-US"/>
        </w:rPr>
        <w:t>, dozens of petitions were filed in the Supreme Court. The petitioners include political parties, legal scholars, activists, and affected individuals. Their main argument is that the law violates Article 14 of the Constitution, which guarantees equality before the law and equal protection of the laws.</w:t>
      </w:r>
    </w:p>
    <w:p w:rsidR="3834C383" w:rsidP="0250D0E9" w:rsidRDefault="3834C383" w14:paraId="1048E7C1" w14:textId="181CA7E5">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They also argue that the law violates Article 15, which prohibits discrimination on the basis of religion, and Article 21, which guarantees the right to life and liberty.</w:t>
      </w:r>
      <w:r w:rsidRPr="0250D0E9" w:rsidR="3834C383">
        <w:rPr>
          <w:rFonts w:ascii="Times New Roman" w:hAnsi="Times New Roman" w:eastAsia="Times New Roman" w:cs="Times New Roman"/>
          <w:noProof w:val="0"/>
          <w:sz w:val="24"/>
          <w:szCs w:val="24"/>
          <w:lang w:val="en-US"/>
        </w:rPr>
        <w:t xml:space="preserve"> The challenge also brings in the “basic structure doctrine,” a legal idea developed by the Supreme Court. According to this doctrine, Parliament cannot pass laws that damage the fundamental values of the Constitution, such as secularism and equality.</w:t>
      </w:r>
      <w:r w:rsidRPr="0250D0E9" w:rsidR="1560CB5C">
        <w:rPr>
          <w:rFonts w:ascii="Times New Roman" w:hAnsi="Times New Roman" w:eastAsia="Times New Roman" w:cs="Times New Roman"/>
          <w:noProof w:val="0"/>
          <w:sz w:val="24"/>
          <w:szCs w:val="24"/>
          <w:lang w:val="en-US"/>
        </w:rPr>
        <w:t xml:space="preserve"> In the landmark ruling of </w:t>
      </w:r>
      <w:r w:rsidRPr="0250D0E9" w:rsidR="1560CB5C">
        <w:rPr>
          <w:rFonts w:ascii="Times New Roman" w:hAnsi="Times New Roman" w:eastAsia="Times New Roman" w:cs="Times New Roman"/>
          <w:i w:val="1"/>
          <w:iCs w:val="1"/>
          <w:noProof w:val="0"/>
          <w:sz w:val="24"/>
          <w:szCs w:val="24"/>
          <w:lang w:val="en-US"/>
        </w:rPr>
        <w:t>Kesavananda</w:t>
      </w:r>
      <w:r w:rsidRPr="0250D0E9" w:rsidR="1560CB5C">
        <w:rPr>
          <w:rFonts w:ascii="Times New Roman" w:hAnsi="Times New Roman" w:eastAsia="Times New Roman" w:cs="Times New Roman"/>
          <w:i w:val="1"/>
          <w:iCs w:val="1"/>
          <w:noProof w:val="0"/>
          <w:sz w:val="24"/>
          <w:szCs w:val="24"/>
          <w:lang w:val="en-US"/>
        </w:rPr>
        <w:t xml:space="preserve"> Bharati v. State of Kerala</w:t>
      </w:r>
      <w:r w:rsidRPr="0250D0E9" w:rsidR="1560CB5C">
        <w:rPr>
          <w:rFonts w:ascii="Times New Roman" w:hAnsi="Times New Roman" w:eastAsia="Times New Roman" w:cs="Times New Roman"/>
          <w:noProof w:val="0"/>
          <w:sz w:val="24"/>
          <w:szCs w:val="24"/>
          <w:lang w:val="en-US"/>
        </w:rPr>
        <w:t>, the Supreme Court declared that “the basic structure of the Constitution cannot be altered by any amendment.”</w:t>
      </w:r>
      <w:r w:rsidRPr="0250D0E9">
        <w:rPr>
          <w:rStyle w:val="FootnoteReference"/>
          <w:rFonts w:ascii="Times New Roman" w:hAnsi="Times New Roman" w:eastAsia="Times New Roman" w:cs="Times New Roman"/>
          <w:noProof w:val="0"/>
          <w:sz w:val="24"/>
          <w:szCs w:val="24"/>
          <w:lang w:val="en-US"/>
        </w:rPr>
        <w:footnoteReference w:id="15225"/>
      </w:r>
    </w:p>
    <w:p w:rsidR="3834C383" w:rsidP="0250D0E9" w:rsidRDefault="3834C383" w14:paraId="20FC4124" w14:textId="0E4F1CE8">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The government argues that Article 14 allows “reasonable classification” if it is based on an intelligible differentia and has a rational link to the </w:t>
      </w:r>
      <w:r w:rsidRPr="0250D0E9" w:rsidR="3834C383">
        <w:rPr>
          <w:rFonts w:ascii="Times New Roman" w:hAnsi="Times New Roman" w:eastAsia="Times New Roman" w:cs="Times New Roman"/>
          <w:noProof w:val="0"/>
          <w:sz w:val="24"/>
          <w:szCs w:val="24"/>
          <w:lang w:val="en-US"/>
        </w:rPr>
        <w:t>objective</w:t>
      </w:r>
      <w:r w:rsidRPr="0250D0E9" w:rsidR="3834C383">
        <w:rPr>
          <w:rFonts w:ascii="Times New Roman" w:hAnsi="Times New Roman" w:eastAsia="Times New Roman" w:cs="Times New Roman"/>
          <w:noProof w:val="0"/>
          <w:sz w:val="24"/>
          <w:szCs w:val="24"/>
          <w:lang w:val="en-US"/>
        </w:rPr>
        <w:t xml:space="preserve">. In this case, the differentia is based on religion and country of origin, and the </w:t>
      </w:r>
      <w:r w:rsidRPr="0250D0E9" w:rsidR="3834C383">
        <w:rPr>
          <w:rFonts w:ascii="Times New Roman" w:hAnsi="Times New Roman" w:eastAsia="Times New Roman" w:cs="Times New Roman"/>
          <w:noProof w:val="0"/>
          <w:sz w:val="24"/>
          <w:szCs w:val="24"/>
          <w:lang w:val="en-US"/>
        </w:rPr>
        <w:t>objective</w:t>
      </w:r>
      <w:r w:rsidRPr="0250D0E9" w:rsidR="3834C383">
        <w:rPr>
          <w:rFonts w:ascii="Times New Roman" w:hAnsi="Times New Roman" w:eastAsia="Times New Roman" w:cs="Times New Roman"/>
          <w:noProof w:val="0"/>
          <w:sz w:val="24"/>
          <w:szCs w:val="24"/>
          <w:lang w:val="en-US"/>
        </w:rPr>
        <w:t xml:space="preserve"> is to help persecuted minorities. Therefore, </w:t>
      </w:r>
      <w:r w:rsidRPr="0250D0E9" w:rsidR="3834C383">
        <w:rPr>
          <w:rFonts w:ascii="Times New Roman" w:hAnsi="Times New Roman" w:eastAsia="Times New Roman" w:cs="Times New Roman"/>
          <w:noProof w:val="0"/>
          <w:sz w:val="24"/>
          <w:szCs w:val="24"/>
          <w:lang w:val="en-US"/>
        </w:rPr>
        <w:t>the classification</w:t>
      </w:r>
      <w:r w:rsidRPr="0250D0E9" w:rsidR="3834C383">
        <w:rPr>
          <w:rFonts w:ascii="Times New Roman" w:hAnsi="Times New Roman" w:eastAsia="Times New Roman" w:cs="Times New Roman"/>
          <w:noProof w:val="0"/>
          <w:sz w:val="24"/>
          <w:szCs w:val="24"/>
          <w:lang w:val="en-US"/>
        </w:rPr>
        <w:t xml:space="preserve"> is not arbitrary.</w:t>
      </w:r>
    </w:p>
    <w:p w:rsidR="3834C383" w:rsidP="0250D0E9" w:rsidRDefault="3834C383" w14:paraId="59F097D7" w14:textId="72743A56">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The Court has heard arguments from both sides but has not issued a final ruling. A decision from the Court will have </w:t>
      </w:r>
      <w:r w:rsidRPr="0250D0E9" w:rsidR="3834C383">
        <w:rPr>
          <w:rFonts w:ascii="Times New Roman" w:hAnsi="Times New Roman" w:eastAsia="Times New Roman" w:cs="Times New Roman"/>
          <w:noProof w:val="0"/>
          <w:sz w:val="24"/>
          <w:szCs w:val="24"/>
          <w:lang w:val="en-US"/>
        </w:rPr>
        <w:t>a huge impact</w:t>
      </w:r>
      <w:r w:rsidRPr="0250D0E9" w:rsidR="3834C383">
        <w:rPr>
          <w:rFonts w:ascii="Times New Roman" w:hAnsi="Times New Roman" w:eastAsia="Times New Roman" w:cs="Times New Roman"/>
          <w:noProof w:val="0"/>
          <w:sz w:val="24"/>
          <w:szCs w:val="24"/>
          <w:lang w:val="en-US"/>
        </w:rPr>
        <w:t xml:space="preserve"> on constitutional law and the role of religion in public policy.</w:t>
      </w:r>
    </w:p>
    <w:p w:rsidR="0250D0E9" w:rsidP="0250D0E9" w:rsidRDefault="0250D0E9" w14:paraId="153DE375" w14:textId="18BBC000">
      <w:pPr>
        <w:spacing w:line="360" w:lineRule="auto"/>
        <w:rPr>
          <w:rFonts w:ascii="Times New Roman" w:hAnsi="Times New Roman" w:eastAsia="Times New Roman" w:cs="Times New Roman"/>
        </w:rPr>
      </w:pPr>
    </w:p>
    <w:p w:rsidR="3834C383" w:rsidP="0250D0E9" w:rsidRDefault="3834C383" w14:paraId="4DA97467" w14:textId="45C7947B">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r w:rsidRPr="0250D0E9" w:rsidR="3834C383">
        <w:rPr>
          <w:rFonts w:ascii="Times New Roman" w:hAnsi="Times New Roman" w:eastAsia="Times New Roman" w:cs="Times New Roman"/>
          <w:b w:val="1"/>
          <w:bCs w:val="1"/>
          <w:noProof w:val="0"/>
          <w:sz w:val="24"/>
          <w:szCs w:val="24"/>
          <w:lang w:val="en-US"/>
        </w:rPr>
        <w:t>State-Level Resistance and Federal Conflict</w:t>
      </w:r>
    </w:p>
    <w:p w:rsidR="3834C383" w:rsidP="0250D0E9" w:rsidRDefault="3834C383" w14:paraId="5C4037B7" w14:textId="0A723C02">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The CAA has led to significant resistance from several state governments. States like Kerala, Punjab, Tamil Nadu, and West Bengal passed resolutions </w:t>
      </w:r>
      <w:r w:rsidRPr="0250D0E9" w:rsidR="3834C383">
        <w:rPr>
          <w:rFonts w:ascii="Times New Roman" w:hAnsi="Times New Roman" w:eastAsia="Times New Roman" w:cs="Times New Roman"/>
          <w:noProof w:val="0"/>
          <w:sz w:val="24"/>
          <w:szCs w:val="24"/>
          <w:lang w:val="en-US"/>
        </w:rPr>
        <w:t>stating</w:t>
      </w:r>
      <w:r w:rsidRPr="0250D0E9" w:rsidR="3834C383">
        <w:rPr>
          <w:rFonts w:ascii="Times New Roman" w:hAnsi="Times New Roman" w:eastAsia="Times New Roman" w:cs="Times New Roman"/>
          <w:noProof w:val="0"/>
          <w:sz w:val="24"/>
          <w:szCs w:val="24"/>
          <w:lang w:val="en-US"/>
        </w:rPr>
        <w:t xml:space="preserve"> they would not implement the law. These states said the CAA was against the secular spirit of the Constitution and would create division among citizens.</w:t>
      </w:r>
    </w:p>
    <w:p w:rsidR="3834C383" w:rsidP="0250D0E9" w:rsidRDefault="3834C383" w14:paraId="66713A76" w14:textId="6E1F64C1">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The Indian Constitution gives the central government the sole power to decide citizenship matters. That means states cannot legally refuse to enforce the CAA. However, they can delay implementation by refusing to set up processing </w:t>
      </w:r>
      <w:r w:rsidRPr="0250D0E9" w:rsidR="3834C383">
        <w:rPr>
          <w:rFonts w:ascii="Times New Roman" w:hAnsi="Times New Roman" w:eastAsia="Times New Roman" w:cs="Times New Roman"/>
          <w:noProof w:val="0"/>
          <w:sz w:val="24"/>
          <w:szCs w:val="24"/>
          <w:lang w:val="en-US"/>
        </w:rPr>
        <w:t>centres</w:t>
      </w:r>
      <w:r w:rsidRPr="0250D0E9" w:rsidR="3834C383">
        <w:rPr>
          <w:rFonts w:ascii="Times New Roman" w:hAnsi="Times New Roman" w:eastAsia="Times New Roman" w:cs="Times New Roman"/>
          <w:noProof w:val="0"/>
          <w:sz w:val="24"/>
          <w:szCs w:val="24"/>
          <w:lang w:val="en-US"/>
        </w:rPr>
        <w:t xml:space="preserve"> or provide staff and resources. This has created a situation where a centrally passed law </w:t>
      </w:r>
      <w:r w:rsidRPr="0250D0E9" w:rsidR="3834C383">
        <w:rPr>
          <w:rFonts w:ascii="Times New Roman" w:hAnsi="Times New Roman" w:eastAsia="Times New Roman" w:cs="Times New Roman"/>
          <w:noProof w:val="0"/>
          <w:sz w:val="24"/>
          <w:szCs w:val="24"/>
          <w:lang w:val="en-US"/>
        </w:rPr>
        <w:t>is being</w:t>
      </w:r>
      <w:r w:rsidRPr="0250D0E9" w:rsidR="3834C383">
        <w:rPr>
          <w:rFonts w:ascii="Times New Roman" w:hAnsi="Times New Roman" w:eastAsia="Times New Roman" w:cs="Times New Roman"/>
          <w:noProof w:val="0"/>
          <w:sz w:val="24"/>
          <w:szCs w:val="24"/>
          <w:lang w:val="en-US"/>
        </w:rPr>
        <w:t xml:space="preserve"> actively resisted at the local level.</w:t>
      </w:r>
    </w:p>
    <w:p w:rsidR="3834C383" w:rsidP="0250D0E9" w:rsidRDefault="3834C383" w14:paraId="6B8A1106" w14:textId="578C8E0C">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This conflict also brings up questions about the limits of state power in a federal structure and how cooperative federalism should work in practice. For law students, this is an example of how political and constitutional tensions intersect.</w:t>
      </w:r>
    </w:p>
    <w:p w:rsidR="0250D0E9" w:rsidP="0250D0E9" w:rsidRDefault="0250D0E9" w14:paraId="045B5231" w14:textId="37F0EDC8">
      <w:pPr>
        <w:spacing w:line="360" w:lineRule="auto"/>
        <w:rPr>
          <w:rFonts w:ascii="Times New Roman" w:hAnsi="Times New Roman" w:eastAsia="Times New Roman" w:cs="Times New Roman"/>
        </w:rPr>
      </w:pPr>
    </w:p>
    <w:p w:rsidR="3834C383" w:rsidP="0250D0E9" w:rsidRDefault="3834C383" w14:paraId="7BADE967" w14:textId="21274113">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r w:rsidRPr="0250D0E9" w:rsidR="3834C383">
        <w:rPr>
          <w:rFonts w:ascii="Times New Roman" w:hAnsi="Times New Roman" w:eastAsia="Times New Roman" w:cs="Times New Roman"/>
          <w:b w:val="1"/>
          <w:bCs w:val="1"/>
          <w:noProof w:val="0"/>
          <w:sz w:val="24"/>
          <w:szCs w:val="24"/>
          <w:lang w:val="en-US"/>
        </w:rPr>
        <w:t>Protests and Public Unrest</w:t>
      </w:r>
    </w:p>
    <w:p w:rsidR="3834C383" w:rsidP="0250D0E9" w:rsidRDefault="3834C383" w14:paraId="16192BD4" w14:textId="0B560BE7">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The law sparked widespread protests across the country. Students, workers, activists, and regular citizens came out in large numbers. Cities like Delhi, Mumbai, Kolkata, and Bengaluru saw massive demonstrations. In some cases, these protests turned violent and led to police crackdowns, arrests, and curfews.</w:t>
      </w:r>
    </w:p>
    <w:p w:rsidR="3834C383" w:rsidP="0250D0E9" w:rsidRDefault="3834C383" w14:paraId="45FB5AC8" w14:textId="6A1453EC">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The protest movement was not only about the CAA. Many protesters were also reacting to the proposed National Register of Citizens (NRC), which requires people to prove their citizenship through documents. There was fear that the CAA, when combined with the NRC, would be used to target Muslims who </w:t>
      </w:r>
      <w:r w:rsidRPr="0250D0E9" w:rsidR="3834C383">
        <w:rPr>
          <w:rFonts w:ascii="Times New Roman" w:hAnsi="Times New Roman" w:eastAsia="Times New Roman" w:cs="Times New Roman"/>
          <w:noProof w:val="0"/>
          <w:sz w:val="24"/>
          <w:szCs w:val="24"/>
          <w:lang w:val="en-US"/>
        </w:rPr>
        <w:t>fail to</w:t>
      </w:r>
      <w:r w:rsidRPr="0250D0E9" w:rsidR="3834C383">
        <w:rPr>
          <w:rFonts w:ascii="Times New Roman" w:hAnsi="Times New Roman" w:eastAsia="Times New Roman" w:cs="Times New Roman"/>
          <w:noProof w:val="0"/>
          <w:sz w:val="24"/>
          <w:szCs w:val="24"/>
          <w:lang w:val="en-US"/>
        </w:rPr>
        <w:t xml:space="preserve"> produce papers.</w:t>
      </w:r>
    </w:p>
    <w:p w:rsidR="3834C383" w:rsidP="0250D0E9" w:rsidRDefault="3834C383" w14:paraId="605E112D" w14:textId="0567C1AA">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One of the most iconic protest sites was Shaheen Bagh in Delhi, where women held a continuous sit-in for over two months. The protest became a symbol of peaceful resistance and civic courage.</w:t>
      </w:r>
    </w:p>
    <w:p w:rsidR="0250D0E9" w:rsidP="0250D0E9" w:rsidRDefault="0250D0E9" w14:paraId="0EC484BE" w14:textId="539C13B0">
      <w:pPr>
        <w:spacing w:line="360" w:lineRule="auto"/>
        <w:rPr>
          <w:rFonts w:ascii="Times New Roman" w:hAnsi="Times New Roman" w:eastAsia="Times New Roman" w:cs="Times New Roman"/>
        </w:rPr>
      </w:pPr>
    </w:p>
    <w:p w:rsidR="3834C383" w:rsidP="0250D0E9" w:rsidRDefault="3834C383" w14:paraId="42C4C109" w14:textId="238E9BE5">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r w:rsidRPr="0250D0E9" w:rsidR="3834C383">
        <w:rPr>
          <w:rFonts w:ascii="Times New Roman" w:hAnsi="Times New Roman" w:eastAsia="Times New Roman" w:cs="Times New Roman"/>
          <w:b w:val="1"/>
          <w:bCs w:val="1"/>
          <w:noProof w:val="0"/>
          <w:sz w:val="24"/>
          <w:szCs w:val="24"/>
          <w:lang w:val="en-US"/>
        </w:rPr>
        <w:t>Implementation and Administrative Challenges</w:t>
      </w:r>
    </w:p>
    <w:p w:rsidR="3834C383" w:rsidP="0250D0E9" w:rsidRDefault="3834C383" w14:paraId="45757E79" w14:textId="7245B033">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In 2024, the government released official rules for implementing the CAA. Applicants must </w:t>
      </w:r>
      <w:r w:rsidRPr="0250D0E9" w:rsidR="3834C383">
        <w:rPr>
          <w:rFonts w:ascii="Times New Roman" w:hAnsi="Times New Roman" w:eastAsia="Times New Roman" w:cs="Times New Roman"/>
          <w:noProof w:val="0"/>
          <w:sz w:val="24"/>
          <w:szCs w:val="24"/>
          <w:lang w:val="en-US"/>
        </w:rPr>
        <w:t>submit</w:t>
      </w:r>
      <w:r w:rsidRPr="0250D0E9" w:rsidR="3834C383">
        <w:rPr>
          <w:rFonts w:ascii="Times New Roman" w:hAnsi="Times New Roman" w:eastAsia="Times New Roman" w:cs="Times New Roman"/>
          <w:noProof w:val="0"/>
          <w:sz w:val="24"/>
          <w:szCs w:val="24"/>
          <w:lang w:val="en-US"/>
        </w:rPr>
        <w:t xml:space="preserve"> proof of religion, country of origin, and date of entry. Documents like passports, visas, ration cards, or </w:t>
      </w:r>
      <w:r w:rsidRPr="0250D0E9" w:rsidR="3834C383">
        <w:rPr>
          <w:rFonts w:ascii="Times New Roman" w:hAnsi="Times New Roman" w:eastAsia="Times New Roman" w:cs="Times New Roman"/>
          <w:noProof w:val="0"/>
          <w:sz w:val="24"/>
          <w:szCs w:val="24"/>
          <w:lang w:val="en-US"/>
        </w:rPr>
        <w:t>affidavits</w:t>
      </w:r>
      <w:r w:rsidRPr="0250D0E9" w:rsidR="3834C383">
        <w:rPr>
          <w:rFonts w:ascii="Times New Roman" w:hAnsi="Times New Roman" w:eastAsia="Times New Roman" w:cs="Times New Roman"/>
          <w:noProof w:val="0"/>
          <w:sz w:val="24"/>
          <w:szCs w:val="24"/>
          <w:lang w:val="en-US"/>
        </w:rPr>
        <w:t xml:space="preserve"> are used. Applicants must also attend interviews and provide biometric data.</w:t>
      </w:r>
    </w:p>
    <w:p w:rsidR="3834C383" w:rsidP="0250D0E9" w:rsidRDefault="3834C383" w14:paraId="6770D082" w14:textId="4BEC1659">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The process is managed by district officials and </w:t>
      </w:r>
      <w:r w:rsidRPr="0250D0E9" w:rsidR="3834C383">
        <w:rPr>
          <w:rFonts w:ascii="Times New Roman" w:hAnsi="Times New Roman" w:eastAsia="Times New Roman" w:cs="Times New Roman"/>
          <w:noProof w:val="0"/>
          <w:sz w:val="24"/>
          <w:szCs w:val="24"/>
          <w:lang w:val="en-US"/>
        </w:rPr>
        <w:t>monitored</w:t>
      </w:r>
      <w:r w:rsidRPr="0250D0E9" w:rsidR="3834C383">
        <w:rPr>
          <w:rFonts w:ascii="Times New Roman" w:hAnsi="Times New Roman" w:eastAsia="Times New Roman" w:cs="Times New Roman"/>
          <w:noProof w:val="0"/>
          <w:sz w:val="24"/>
          <w:szCs w:val="24"/>
          <w:lang w:val="en-US"/>
        </w:rPr>
        <w:t xml:space="preserve"> by the Ministry of Home Affairs. In areas with many migrants, special camps and help desks were set up. Civil society groups, including religious organizations, offered legal aid and translation services.</w:t>
      </w:r>
    </w:p>
    <w:p w:rsidR="3834C383" w:rsidP="0250D0E9" w:rsidRDefault="3834C383" w14:paraId="3B0C415E" w14:textId="09CD6AEC">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Despite these efforts, implementation has been slow. Many applicants lack documents or live in remote areas. Verification takes time, and appeals may be </w:t>
      </w:r>
      <w:r w:rsidRPr="0250D0E9" w:rsidR="3834C383">
        <w:rPr>
          <w:rFonts w:ascii="Times New Roman" w:hAnsi="Times New Roman" w:eastAsia="Times New Roman" w:cs="Times New Roman"/>
          <w:noProof w:val="0"/>
          <w:sz w:val="24"/>
          <w:szCs w:val="24"/>
          <w:lang w:val="en-US"/>
        </w:rPr>
        <w:t>required</w:t>
      </w:r>
      <w:r w:rsidRPr="0250D0E9" w:rsidR="3834C383">
        <w:rPr>
          <w:rFonts w:ascii="Times New Roman" w:hAnsi="Times New Roman" w:eastAsia="Times New Roman" w:cs="Times New Roman"/>
          <w:noProof w:val="0"/>
          <w:sz w:val="24"/>
          <w:szCs w:val="24"/>
          <w:lang w:val="en-US"/>
        </w:rPr>
        <w:t>. Also, due to state resistance, the rollout is uneven. Some states have processed many applications, while others have seen little progress.</w:t>
      </w:r>
    </w:p>
    <w:p w:rsidR="0250D0E9" w:rsidP="0250D0E9" w:rsidRDefault="0250D0E9" w14:paraId="60DD0A57" w14:textId="71054130">
      <w:pPr>
        <w:spacing w:line="360" w:lineRule="auto"/>
        <w:rPr>
          <w:rFonts w:ascii="Times New Roman" w:hAnsi="Times New Roman" w:eastAsia="Times New Roman" w:cs="Times New Roman"/>
        </w:rPr>
      </w:pPr>
    </w:p>
    <w:p w:rsidR="3834C383" w:rsidP="0250D0E9" w:rsidRDefault="3834C383" w14:paraId="6B9E11F8" w14:textId="4488FBD2">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r w:rsidRPr="0250D0E9" w:rsidR="3834C383">
        <w:rPr>
          <w:rFonts w:ascii="Times New Roman" w:hAnsi="Times New Roman" w:eastAsia="Times New Roman" w:cs="Times New Roman"/>
          <w:b w:val="1"/>
          <w:bCs w:val="1"/>
          <w:noProof w:val="0"/>
          <w:sz w:val="24"/>
          <w:szCs w:val="24"/>
          <w:lang w:val="en-US"/>
        </w:rPr>
        <w:t>Human Rights Concerns</w:t>
      </w:r>
    </w:p>
    <w:p w:rsidR="3834C383" w:rsidP="0250D0E9" w:rsidRDefault="3834C383" w14:paraId="7AA5AC0E" w14:textId="731DEF3F">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Human rights groups in India and abroad have criticized the CAA. They argue that using religion as a legal category for citizenship is </w:t>
      </w:r>
      <w:r w:rsidRPr="0250D0E9" w:rsidR="3834C383">
        <w:rPr>
          <w:rFonts w:ascii="Times New Roman" w:hAnsi="Times New Roman" w:eastAsia="Times New Roman" w:cs="Times New Roman"/>
          <w:noProof w:val="0"/>
          <w:sz w:val="24"/>
          <w:szCs w:val="24"/>
          <w:lang w:val="en-US"/>
        </w:rPr>
        <w:t>a form of discrimination</w:t>
      </w:r>
      <w:r w:rsidRPr="0250D0E9" w:rsidR="3834C383">
        <w:rPr>
          <w:rFonts w:ascii="Times New Roman" w:hAnsi="Times New Roman" w:eastAsia="Times New Roman" w:cs="Times New Roman"/>
          <w:noProof w:val="0"/>
          <w:sz w:val="24"/>
          <w:szCs w:val="24"/>
          <w:lang w:val="en-US"/>
        </w:rPr>
        <w:t>. These groups say the law goes against the Universal Declaration of Human Rights, to which India is a signatory.</w:t>
      </w:r>
      <w:r w:rsidRPr="0250D0E9" w:rsidR="3D8477DA">
        <w:rPr>
          <w:rFonts w:ascii="Times New Roman" w:hAnsi="Times New Roman" w:eastAsia="Times New Roman" w:cs="Times New Roman"/>
          <w:noProof w:val="0"/>
          <w:sz w:val="24"/>
          <w:szCs w:val="24"/>
          <w:lang w:val="en-US"/>
        </w:rPr>
        <w:t xml:space="preserve"> </w:t>
      </w:r>
      <w:r w:rsidRPr="0250D0E9" w:rsidR="3D8477DA">
        <w:rPr>
          <w:rFonts w:ascii="Times New Roman" w:hAnsi="Times New Roman" w:eastAsia="Times New Roman" w:cs="Times New Roman"/>
          <w:noProof w:val="0"/>
          <w:sz w:val="24"/>
          <w:szCs w:val="24"/>
          <w:lang w:val="en-US"/>
        </w:rPr>
        <w:t xml:space="preserve">which says in Article 2, “Everyone is entitled to all the rights and freedoms… without distinction of any kind, such as race, </w:t>
      </w:r>
      <w:r w:rsidRPr="0250D0E9" w:rsidR="3D8477DA">
        <w:rPr>
          <w:rFonts w:ascii="Times New Roman" w:hAnsi="Times New Roman" w:eastAsia="Times New Roman" w:cs="Times New Roman"/>
          <w:noProof w:val="0"/>
          <w:sz w:val="24"/>
          <w:szCs w:val="24"/>
          <w:lang w:val="en-US"/>
        </w:rPr>
        <w:t>colour</w:t>
      </w:r>
      <w:r w:rsidRPr="0250D0E9" w:rsidR="3D8477DA">
        <w:rPr>
          <w:rFonts w:ascii="Times New Roman" w:hAnsi="Times New Roman" w:eastAsia="Times New Roman" w:cs="Times New Roman"/>
          <w:noProof w:val="0"/>
          <w:sz w:val="24"/>
          <w:szCs w:val="24"/>
          <w:lang w:val="en-US"/>
        </w:rPr>
        <w:t>, sex, language, religion.”</w:t>
      </w:r>
      <w:r w:rsidRPr="0250D0E9">
        <w:rPr>
          <w:rStyle w:val="FootnoteReference"/>
          <w:rFonts w:ascii="Times New Roman" w:hAnsi="Times New Roman" w:eastAsia="Times New Roman" w:cs="Times New Roman"/>
          <w:noProof w:val="0"/>
          <w:sz w:val="24"/>
          <w:szCs w:val="24"/>
          <w:lang w:val="en-US"/>
        </w:rPr>
        <w:footnoteReference w:id="27167"/>
      </w:r>
      <w:r w:rsidRPr="0250D0E9" w:rsidR="3D8477DA">
        <w:rPr>
          <w:rFonts w:ascii="Times New Roman" w:hAnsi="Times New Roman" w:eastAsia="Times New Roman" w:cs="Times New Roman"/>
          <w:noProof w:val="0"/>
          <w:sz w:val="24"/>
          <w:szCs w:val="24"/>
          <w:lang w:val="en-US"/>
        </w:rPr>
        <w:t xml:space="preserve"> Article 15 adds, “Everyone has the right to a nationality.”</w:t>
      </w:r>
    </w:p>
    <w:p w:rsidR="3834C383" w:rsidP="0250D0E9" w:rsidRDefault="3834C383" w14:paraId="1518B965" w14:textId="213BDD0C">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Concerns have also been raised about statelessness. People who are denied citizenship may end up without any legal identity, making it hard to access basic rights like education, healthcare, and employment. Refugee advocacy groups say the law should include all persecuted communities, regardless of religion.</w:t>
      </w:r>
    </w:p>
    <w:p w:rsidR="0250D0E9" w:rsidP="0250D0E9" w:rsidRDefault="0250D0E9" w14:paraId="78B628A0" w14:textId="2A5CACE8">
      <w:pPr>
        <w:spacing w:line="360" w:lineRule="auto"/>
        <w:rPr>
          <w:rFonts w:ascii="Times New Roman" w:hAnsi="Times New Roman" w:eastAsia="Times New Roman" w:cs="Times New Roman"/>
        </w:rPr>
      </w:pPr>
    </w:p>
    <w:p w:rsidR="3834C383" w:rsidP="0250D0E9" w:rsidRDefault="3834C383" w14:paraId="721E34A1" w14:textId="3AE1089D">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r w:rsidRPr="0250D0E9" w:rsidR="3834C383">
        <w:rPr>
          <w:rFonts w:ascii="Times New Roman" w:hAnsi="Times New Roman" w:eastAsia="Times New Roman" w:cs="Times New Roman"/>
          <w:b w:val="1"/>
          <w:bCs w:val="1"/>
          <w:noProof w:val="0"/>
          <w:sz w:val="24"/>
          <w:szCs w:val="24"/>
          <w:lang w:val="en-US"/>
        </w:rPr>
        <w:t>International Reaction</w:t>
      </w:r>
    </w:p>
    <w:p w:rsidR="3834C383" w:rsidP="0250D0E9" w:rsidRDefault="3834C383" w14:paraId="114CBDED" w14:textId="3E4A8257">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The law also drew criticism from the international community. The United Nations Human Rights Office expressed concern and asked India to ensure compliance with global human rights standards. Some foreign governments raised the issue in bilateral discussions.</w:t>
      </w:r>
    </w:p>
    <w:p w:rsidR="3834C383" w:rsidP="0250D0E9" w:rsidRDefault="3834C383" w14:paraId="1D837B00" w14:textId="53154A1D">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India responded by saying that the CAA is a domestic issue. The government said it </w:t>
      </w:r>
      <w:r w:rsidRPr="0250D0E9" w:rsidR="3834C383">
        <w:rPr>
          <w:rFonts w:ascii="Times New Roman" w:hAnsi="Times New Roman" w:eastAsia="Times New Roman" w:cs="Times New Roman"/>
          <w:noProof w:val="0"/>
          <w:sz w:val="24"/>
          <w:szCs w:val="24"/>
          <w:lang w:val="en-US"/>
        </w:rPr>
        <w:t>remains</w:t>
      </w:r>
      <w:r w:rsidRPr="0250D0E9" w:rsidR="3834C383">
        <w:rPr>
          <w:rFonts w:ascii="Times New Roman" w:hAnsi="Times New Roman" w:eastAsia="Times New Roman" w:cs="Times New Roman"/>
          <w:noProof w:val="0"/>
          <w:sz w:val="24"/>
          <w:szCs w:val="24"/>
          <w:lang w:val="en-US"/>
        </w:rPr>
        <w:t xml:space="preserve"> committed to its constitutional values and to the protection of all communities.</w:t>
      </w:r>
    </w:p>
    <w:p w:rsidR="3834C383" w:rsidP="0250D0E9" w:rsidRDefault="3834C383" w14:paraId="7B96240E" w14:textId="662B2EE5">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These responses show how citizenship laws are not just internal matters anymore. In today’s global world, such laws affect international reputation and diplomatic relations.</w:t>
      </w:r>
    </w:p>
    <w:p w:rsidR="0250D0E9" w:rsidP="0250D0E9" w:rsidRDefault="0250D0E9" w14:paraId="01D0518B" w14:textId="21D8978D">
      <w:pPr>
        <w:spacing w:line="360" w:lineRule="auto"/>
        <w:rPr>
          <w:rFonts w:ascii="Times New Roman" w:hAnsi="Times New Roman" w:eastAsia="Times New Roman" w:cs="Times New Roman"/>
        </w:rPr>
      </w:pPr>
    </w:p>
    <w:p w:rsidR="3834C383" w:rsidP="0250D0E9" w:rsidRDefault="3834C383" w14:paraId="4B623626" w14:textId="224D8B05">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r w:rsidRPr="0250D0E9" w:rsidR="3834C383">
        <w:rPr>
          <w:rFonts w:ascii="Times New Roman" w:hAnsi="Times New Roman" w:eastAsia="Times New Roman" w:cs="Times New Roman"/>
          <w:b w:val="1"/>
          <w:bCs w:val="1"/>
          <w:noProof w:val="0"/>
          <w:sz w:val="24"/>
          <w:szCs w:val="24"/>
          <w:lang w:val="en-US"/>
        </w:rPr>
        <w:t>Citizenship and Identity</w:t>
      </w:r>
    </w:p>
    <w:p w:rsidR="3834C383" w:rsidP="0250D0E9" w:rsidRDefault="3834C383" w14:paraId="066009E6" w14:textId="4408347E">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The CAA also raises deep questions about national identity. Who gets to be Indian? What values define citizenship? Should religion play a role? These are not just legal questions. They are moral, social, and political ones.</w:t>
      </w:r>
    </w:p>
    <w:p w:rsidR="3834C383" w:rsidP="0250D0E9" w:rsidRDefault="3834C383" w14:paraId="46D396C0" w14:textId="06A58EE7">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For many, the law feels like an attempt to define Indian identity more narrowly. For others, it is a needed correction that recognizes historical suffering. The tension between these views shows the complexity of balancing compassion, legality, and constitutional values.</w:t>
      </w:r>
    </w:p>
    <w:p w:rsidR="0250D0E9" w:rsidP="0250D0E9" w:rsidRDefault="0250D0E9" w14:paraId="787AA5CF" w14:textId="0155F800">
      <w:pPr>
        <w:spacing w:line="360" w:lineRule="auto"/>
        <w:rPr>
          <w:rFonts w:ascii="Times New Roman" w:hAnsi="Times New Roman" w:eastAsia="Times New Roman" w:cs="Times New Roman"/>
        </w:rPr>
      </w:pPr>
    </w:p>
    <w:p w:rsidR="3834C383" w:rsidP="0250D0E9" w:rsidRDefault="3834C383" w14:paraId="5C2488F9" w14:textId="07587D4A">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r w:rsidRPr="0250D0E9" w:rsidR="3834C383">
        <w:rPr>
          <w:rFonts w:ascii="Times New Roman" w:hAnsi="Times New Roman" w:eastAsia="Times New Roman" w:cs="Times New Roman"/>
          <w:b w:val="1"/>
          <w:bCs w:val="1"/>
          <w:noProof w:val="0"/>
          <w:sz w:val="24"/>
          <w:szCs w:val="24"/>
          <w:lang w:val="en-US"/>
        </w:rPr>
        <w:t>What Law Students Should Learn</w:t>
      </w:r>
    </w:p>
    <w:p w:rsidR="3834C383" w:rsidP="0250D0E9" w:rsidRDefault="3834C383" w14:paraId="5F3EF8C5" w14:textId="6BD54D06">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For law students, the CAA is a valuable case. It includes legal drafting, constitutional principles, administrative rules, federal dynamics, and global human rights. It allows for deep study of how law intersects with society and politics.</w:t>
      </w:r>
    </w:p>
    <w:p w:rsidR="3834C383" w:rsidP="0250D0E9" w:rsidRDefault="3834C383" w14:paraId="0150F813" w14:textId="345778B6">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Students can explore how laws are challenged in court, how governments defend their policies, and how the judiciary balances competing values. The CAA also invites study of legal procedures—how applications are processed, how appeals are handled, and how rights are protected.</w:t>
      </w:r>
    </w:p>
    <w:p w:rsidR="3834C383" w:rsidP="0250D0E9" w:rsidRDefault="3834C383" w14:paraId="10762346" w14:textId="31FC63A7">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This law will remain a part of legal education for years. It is a live example of constitutional interpretation and democratic debate.</w:t>
      </w:r>
    </w:p>
    <w:p w:rsidR="0250D0E9" w:rsidP="0250D0E9" w:rsidRDefault="0250D0E9" w14:paraId="5DB607AB" w14:textId="7886D629">
      <w:pPr>
        <w:spacing w:line="360" w:lineRule="auto"/>
        <w:rPr>
          <w:rFonts w:ascii="Times New Roman" w:hAnsi="Times New Roman" w:eastAsia="Times New Roman" w:cs="Times New Roman"/>
        </w:rPr>
      </w:pPr>
    </w:p>
    <w:p w:rsidR="3834C383" w:rsidP="0250D0E9" w:rsidRDefault="3834C383" w14:paraId="43251924" w14:textId="74E849FE">
      <w:pPr>
        <w:spacing w:before="240" w:beforeAutospacing="off" w:after="240" w:afterAutospacing="off" w:line="360" w:lineRule="auto"/>
        <w:rPr>
          <w:rFonts w:ascii="Times New Roman" w:hAnsi="Times New Roman" w:eastAsia="Times New Roman" w:cs="Times New Roman"/>
          <w:b w:val="1"/>
          <w:bCs w:val="1"/>
          <w:noProof w:val="0"/>
          <w:sz w:val="24"/>
          <w:szCs w:val="24"/>
          <w:lang w:val="en-US"/>
        </w:rPr>
      </w:pPr>
      <w:r w:rsidRPr="0250D0E9" w:rsidR="3834C383">
        <w:rPr>
          <w:rFonts w:ascii="Times New Roman" w:hAnsi="Times New Roman" w:eastAsia="Times New Roman" w:cs="Times New Roman"/>
          <w:b w:val="1"/>
          <w:bCs w:val="1"/>
          <w:noProof w:val="0"/>
          <w:sz w:val="24"/>
          <w:szCs w:val="24"/>
          <w:lang w:val="en-US"/>
        </w:rPr>
        <w:t>Conclusion</w:t>
      </w:r>
    </w:p>
    <w:p w:rsidR="3834C383" w:rsidP="0250D0E9" w:rsidRDefault="3834C383" w14:paraId="3C92D0A1" w14:textId="3E55A139">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 xml:space="preserve">The Citizenship Amendment Act, 2024, </w:t>
      </w:r>
      <w:r w:rsidRPr="0250D0E9" w:rsidR="3834C383">
        <w:rPr>
          <w:rFonts w:ascii="Times New Roman" w:hAnsi="Times New Roman" w:eastAsia="Times New Roman" w:cs="Times New Roman"/>
          <w:noProof w:val="0"/>
          <w:sz w:val="24"/>
          <w:szCs w:val="24"/>
          <w:lang w:val="en-US"/>
        </w:rPr>
        <w:t>represents</w:t>
      </w:r>
      <w:r w:rsidRPr="0250D0E9" w:rsidR="3834C383">
        <w:rPr>
          <w:rFonts w:ascii="Times New Roman" w:hAnsi="Times New Roman" w:eastAsia="Times New Roman" w:cs="Times New Roman"/>
          <w:noProof w:val="0"/>
          <w:sz w:val="24"/>
          <w:szCs w:val="24"/>
          <w:lang w:val="en-US"/>
        </w:rPr>
        <w:t xml:space="preserve"> a major shift in how India treats migrants and defines citizenship. It offers a path to justice for some but raises questions of fairness and exclusion for others. The law has sparked protests, lawsuits, and international debate. It has also forced India to think about its values and its vision for the future.</w:t>
      </w:r>
      <w:r w:rsidRPr="0250D0E9" w:rsidR="73DED6CC">
        <w:rPr>
          <w:rFonts w:ascii="Times New Roman" w:hAnsi="Times New Roman" w:eastAsia="Times New Roman" w:cs="Times New Roman"/>
          <w:noProof w:val="0"/>
          <w:sz w:val="24"/>
          <w:szCs w:val="24"/>
          <w:lang w:val="en-US"/>
        </w:rPr>
        <w:t xml:space="preserve"> According to legal historian Abhinav Chandrachud, “The Constitution was designed to speak in the language of inclusion, even when the politics of the day pointed elsewhere.”</w:t>
      </w:r>
      <w:r w:rsidRPr="0250D0E9">
        <w:rPr>
          <w:rStyle w:val="FootnoteReference"/>
          <w:rFonts w:ascii="Times New Roman" w:hAnsi="Times New Roman" w:eastAsia="Times New Roman" w:cs="Times New Roman"/>
          <w:noProof w:val="0"/>
          <w:sz w:val="24"/>
          <w:szCs w:val="24"/>
          <w:lang w:val="en-US"/>
        </w:rPr>
        <w:footnoteReference w:id="13676"/>
      </w:r>
    </w:p>
    <w:p w:rsidR="3834C383" w:rsidP="0250D0E9" w:rsidRDefault="3834C383" w14:paraId="501573C6" w14:textId="797431FC">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The final word lies with the Supreme Court and, more broadly, with Indian democracy itself. Whether the CAA will be remembered as a humanitarian reform or a divisive step depends on how it is implemented, how the courts rule, and how citizens respond.</w:t>
      </w:r>
    </w:p>
    <w:p w:rsidR="3834C383" w:rsidP="0250D0E9" w:rsidRDefault="3834C383" w14:paraId="4BF50A3B" w14:textId="61E61487">
      <w:pPr>
        <w:spacing w:before="240" w:beforeAutospacing="off" w:after="240" w:afterAutospacing="off" w:line="360" w:lineRule="auto"/>
        <w:rPr>
          <w:rFonts w:ascii="Times New Roman" w:hAnsi="Times New Roman" w:eastAsia="Times New Roman" w:cs="Times New Roman"/>
          <w:noProof w:val="0"/>
          <w:sz w:val="24"/>
          <w:szCs w:val="24"/>
          <w:lang w:val="en-US"/>
        </w:rPr>
      </w:pPr>
      <w:r w:rsidRPr="0250D0E9" w:rsidR="3834C383">
        <w:rPr>
          <w:rFonts w:ascii="Times New Roman" w:hAnsi="Times New Roman" w:eastAsia="Times New Roman" w:cs="Times New Roman"/>
          <w:noProof w:val="0"/>
          <w:sz w:val="24"/>
          <w:szCs w:val="24"/>
          <w:lang w:val="en-US"/>
        </w:rPr>
        <w:t>For law students and legal thinkers, the CAA is more than just a statute. It is a mirror showing the promises and tensions within India’s Constitution, its legal system, and its society.</w:t>
      </w:r>
    </w:p>
    <w:p w:rsidR="0250D0E9" w:rsidP="0250D0E9" w:rsidRDefault="0250D0E9" w14:paraId="3148AC25" w14:textId="18D13A7E">
      <w:pPr>
        <w:pStyle w:val="Normal"/>
        <w:spacing w:line="360" w:lineRule="auto"/>
        <w:rPr>
          <w:rFonts w:ascii="Times New Roman" w:hAnsi="Times New Roman" w:eastAsia="Times New Roman" w:cs="Times New Roman"/>
          <w:b w:val="1"/>
          <w:bCs w:val="1"/>
          <w:noProof w:val="0"/>
          <w:sz w:val="24"/>
          <w:szCs w:val="24"/>
          <w:lang w:val="en-US"/>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14="http://schemas.microsoft.com/office/word/2010/wordml" xmlns:w="http://schemas.openxmlformats.org/wordprocessingml/2006/main">
  <w:footnote w:type="separator" w:id="-1">
    <w:p w:rsidR="0250D0E9" w:rsidRDefault="0250D0E9" w14:paraId="792CEC96" w14:textId="07122AD5">
      <w:pPr>
        <w:spacing w:after="0" w:line="240" w:lineRule="auto"/>
      </w:pPr>
      <w:r>
        <w:separator/>
      </w:r>
    </w:p>
  </w:footnote>
  <w:footnote w:type="continuationSeparator" w:id="0">
    <w:p w:rsidR="0250D0E9" w:rsidRDefault="0250D0E9" w14:paraId="35089E1B" w14:textId="5AF078DC">
      <w:pPr>
        <w:spacing w:after="0" w:line="240" w:lineRule="auto"/>
      </w:pPr>
      <w:r>
        <w:continuationSeparator/>
      </w:r>
    </w:p>
  </w:footnote>
  <w:footnote w:id="830">
    <w:p w:rsidR="0250D0E9" w:rsidP="0250D0E9" w:rsidRDefault="0250D0E9" w14:paraId="6C4324C4" w14:textId="424A00D4">
      <w:pPr>
        <w:pStyle w:val="FootnoteText"/>
        <w:bidi w:val="0"/>
      </w:pPr>
      <w:r w:rsidRPr="0250D0E9">
        <w:rPr>
          <w:rStyle w:val="FootnoteReference"/>
        </w:rPr>
        <w:footnoteRef/>
      </w:r>
      <w:r w:rsidR="0250D0E9">
        <w:rPr/>
        <w:t xml:space="preserve"> </w:t>
      </w:r>
      <w:r w:rsidRPr="0250D0E9" w:rsidR="0250D0E9">
        <w:rPr>
          <w:noProof w:val="0"/>
          <w:lang w:val="en-US"/>
        </w:rPr>
        <w:t xml:space="preserve">Gautam Bhatia, </w:t>
      </w:r>
      <w:r w:rsidRPr="0250D0E9" w:rsidR="0250D0E9">
        <w:rPr>
          <w:i w:val="1"/>
          <w:iCs w:val="1"/>
          <w:noProof w:val="0"/>
          <w:lang w:val="en-US"/>
        </w:rPr>
        <w:t>The Transformative Constitution: A Radical Biography in Nine Acts</w:t>
      </w:r>
      <w:r w:rsidRPr="0250D0E9" w:rsidR="0250D0E9">
        <w:rPr>
          <w:noProof w:val="0"/>
          <w:lang w:val="en-US"/>
        </w:rPr>
        <w:t xml:space="preserve"> (HarperCollins India, 2019)</w:t>
      </w:r>
    </w:p>
  </w:footnote>
  <w:footnote w:id="15225">
    <w:p w:rsidR="0250D0E9" w:rsidP="0250D0E9" w:rsidRDefault="0250D0E9" w14:paraId="1ED182C9" w14:textId="6DBE1A54">
      <w:pPr>
        <w:pStyle w:val="FootnoteText"/>
        <w:bidi w:val="0"/>
      </w:pPr>
      <w:r w:rsidRPr="0250D0E9">
        <w:rPr>
          <w:rStyle w:val="FootnoteReference"/>
        </w:rPr>
        <w:footnoteRef/>
      </w:r>
      <w:r w:rsidR="0250D0E9">
        <w:rPr/>
        <w:t xml:space="preserve"> </w:t>
      </w:r>
      <w:r w:rsidRPr="0250D0E9" w:rsidR="0250D0E9">
        <w:rPr>
          <w:i w:val="1"/>
          <w:iCs w:val="1"/>
          <w:noProof w:val="0"/>
          <w:lang w:val="en-US"/>
        </w:rPr>
        <w:t>Kesavananda</w:t>
      </w:r>
      <w:r w:rsidRPr="0250D0E9" w:rsidR="0250D0E9">
        <w:rPr>
          <w:i w:val="1"/>
          <w:iCs w:val="1"/>
          <w:noProof w:val="0"/>
          <w:lang w:val="en-US"/>
        </w:rPr>
        <w:t xml:space="preserve"> Bharati v. State of Kerala</w:t>
      </w:r>
      <w:r w:rsidRPr="0250D0E9" w:rsidR="0250D0E9">
        <w:rPr>
          <w:noProof w:val="0"/>
          <w:lang w:val="en-US"/>
        </w:rPr>
        <w:t>, AIR 1973 SC 1461</w:t>
      </w:r>
    </w:p>
  </w:footnote>
  <w:footnote w:id="27167">
    <w:p w:rsidR="0250D0E9" w:rsidP="0250D0E9" w:rsidRDefault="0250D0E9" w14:paraId="43358733" w14:textId="2BE181B4">
      <w:pPr>
        <w:pStyle w:val="FootnoteText"/>
        <w:bidi w:val="0"/>
      </w:pPr>
      <w:r w:rsidRPr="0250D0E9">
        <w:rPr>
          <w:rStyle w:val="FootnoteReference"/>
        </w:rPr>
        <w:footnoteRef/>
      </w:r>
      <w:r w:rsidR="0250D0E9">
        <w:rPr/>
        <w:t xml:space="preserve"> </w:t>
      </w:r>
      <w:r w:rsidRPr="0250D0E9" w:rsidR="0250D0E9">
        <w:rPr>
          <w:noProof w:val="0"/>
          <w:lang w:val="en-US"/>
        </w:rPr>
        <w:t xml:space="preserve">United Nations, </w:t>
      </w:r>
      <w:r w:rsidRPr="0250D0E9" w:rsidR="0250D0E9">
        <w:rPr>
          <w:i w:val="1"/>
          <w:iCs w:val="1"/>
          <w:noProof w:val="0"/>
          <w:lang w:val="en-US"/>
        </w:rPr>
        <w:t>Universal Declaration of Human Rights</w:t>
      </w:r>
      <w:r w:rsidRPr="0250D0E9" w:rsidR="0250D0E9">
        <w:rPr>
          <w:noProof w:val="0"/>
          <w:lang w:val="en-US"/>
        </w:rPr>
        <w:t>, 1948</w:t>
      </w:r>
    </w:p>
  </w:footnote>
  <w:footnote w:id="13676">
    <w:p w:rsidR="0250D0E9" w:rsidP="0250D0E9" w:rsidRDefault="0250D0E9" w14:paraId="4822CA47" w14:textId="7F719F74">
      <w:pPr>
        <w:pStyle w:val="FootnoteText"/>
        <w:bidi w:val="0"/>
      </w:pPr>
      <w:r w:rsidRPr="0250D0E9">
        <w:rPr>
          <w:rStyle w:val="FootnoteReference"/>
        </w:rPr>
        <w:footnoteRef/>
      </w:r>
      <w:r w:rsidR="0250D0E9">
        <w:rPr/>
        <w:t xml:space="preserve"> </w:t>
      </w:r>
      <w:r w:rsidRPr="0250D0E9" w:rsidR="0250D0E9">
        <w:rPr>
          <w:noProof w:val="0"/>
          <w:lang w:val="en-US"/>
        </w:rPr>
        <w:t xml:space="preserve">Abhinav Chandrachud, </w:t>
      </w:r>
      <w:r w:rsidRPr="0250D0E9" w:rsidR="0250D0E9">
        <w:rPr>
          <w:i w:val="1"/>
          <w:iCs w:val="1"/>
          <w:noProof w:val="0"/>
          <w:lang w:val="en-US"/>
        </w:rPr>
        <w:t>Republic of Rhetoric: Free Speech and the Constitution of India</w:t>
      </w:r>
      <w:r w:rsidRPr="0250D0E9" w:rsidR="0250D0E9">
        <w:rPr>
          <w:noProof w:val="0"/>
          <w:lang w:val="en-US"/>
        </w:rPr>
        <w:t xml:space="preserve"> (Penguin Books, 2017)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footnotePr>
    <w:footnote w:id="-1"/>
    <w:footnote w:id="0"/>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085604"/>
    <w:rsid w:val="0250D0E9"/>
    <w:rsid w:val="0ACC0B00"/>
    <w:rsid w:val="0FE334DA"/>
    <w:rsid w:val="1560CB5C"/>
    <w:rsid w:val="1686DC14"/>
    <w:rsid w:val="19085604"/>
    <w:rsid w:val="1DE0737B"/>
    <w:rsid w:val="247C054A"/>
    <w:rsid w:val="291259C1"/>
    <w:rsid w:val="307E8620"/>
    <w:rsid w:val="37174A92"/>
    <w:rsid w:val="3834C383"/>
    <w:rsid w:val="3D8477DA"/>
    <w:rsid w:val="4885CC1F"/>
    <w:rsid w:val="4F390736"/>
    <w:rsid w:val="506B1F22"/>
    <w:rsid w:val="51F9E12B"/>
    <w:rsid w:val="5214CE3C"/>
    <w:rsid w:val="551985BF"/>
    <w:rsid w:val="5CE09775"/>
    <w:rsid w:val="5D44C53D"/>
    <w:rsid w:val="5F78D993"/>
    <w:rsid w:val="66495AC1"/>
    <w:rsid w:val="6AF63E4A"/>
    <w:rsid w:val="72AEE945"/>
    <w:rsid w:val="73DED6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85604"/>
  <w15:chartTrackingRefBased/>
  <w15:docId w15:val="{834F5F83-ABDE-464A-8AF9-B15F0784D84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FootnoteText">
    <w:uiPriority w:val="99"/>
    <w:name w:val="footnote text"/>
    <w:basedOn w:val="Normal"/>
    <w:semiHidden/>
    <w:unhideWhenUsed/>
    <w:rsid w:val="0250D0E9"/>
    <w:rPr>
      <w:sz w:val="20"/>
      <w:szCs w:val="20"/>
    </w:rPr>
    <w:pPr>
      <w:spacing w:after="0" w:line="240" w:lineRule="auto"/>
    </w:pPr>
  </w:style>
  <w:style xmlns:w14="http://schemas.microsoft.com/office/word/2010/wordml" xmlns:mc="http://schemas.openxmlformats.org/markup-compatibility/2006" xmlns:w="http://schemas.openxmlformats.org/wordprocessingml/2006/main" w:type="character" w:styleId="FootnoteReference" mc:Ignorable="w14">
    <w:basedOn xmlns:w="http://schemas.openxmlformats.org/wordprocessingml/2006/main" w:val="DefaultParagraphFont"/>
    <w:name xmlns:w="http://schemas.openxmlformats.org/wordprocessingml/2006/main" w:val="footnote reference"/>
    <w:rPr xmlns:w="http://schemas.openxmlformats.org/wordprocessingml/2006/main">
      <w:vertAlign w:val="superscript"/>
    </w:rPr>
    <w:semiHidden xmlns:w="http://schemas.openxmlformats.org/wordprocessingml/2006/main"/>
    <w:uiPriority xmlns:w="http://schemas.openxmlformats.org/wordprocessingml/2006/main" w:val="99"/>
    <w:unhideWhenUsed xmlns:w="http://schemas.openxmlformats.org/wordprocessingml/2006/mai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footnotes" Target="footnotes.xml" Id="R32ec2fd873b6421f"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2025-06-25T09:06:57.3573808Z</dcterms:created>
  <dcterms:modified xsi:type="dcterms:W3CDTF">2025-06-25T11:13:35.5312973Z</dcterms:modified>
  <dc:creator>Dhanvanth Binu (24 JGLS)</dc:creator>
  <lastModifiedBy>Dhanvanth Binu (24 JGLS)</lastModifiedBy>
</coreProperties>
</file>