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B2FAC2" w14:textId="77777777" w:rsidR="0067479F" w:rsidRDefault="00000000" w:rsidP="009A19C0">
      <w:pPr>
        <w:pStyle w:val="Heading1"/>
        <w:keepNext w:val="0"/>
        <w:keepLines w:val="0"/>
        <w:spacing w:before="0" w:after="322"/>
        <w:jc w:val="center"/>
        <w:rPr>
          <w:color w:val="auto"/>
          <w:sz w:val="32"/>
          <w:szCs w:val="32"/>
        </w:rPr>
      </w:pPr>
      <w:r w:rsidRPr="009A19C0">
        <w:rPr>
          <w:color w:val="auto"/>
          <w:sz w:val="32"/>
          <w:szCs w:val="32"/>
        </w:rPr>
        <w:t>The Evolving Scope of Article 21: Contemporary Legal Challenges and Judicial Responses</w:t>
      </w:r>
    </w:p>
    <w:p w14:paraId="1D6F7EC1" w14:textId="088ABEB5" w:rsidR="000A3D74" w:rsidRPr="000A3D74" w:rsidRDefault="000A3D74" w:rsidP="000A3D74">
      <w:pPr>
        <w:jc w:val="center"/>
      </w:pPr>
      <w:r>
        <w:t>~ Devanshi Pathak</w:t>
      </w:r>
    </w:p>
    <w:p w14:paraId="5C4AB2C6" w14:textId="77777777" w:rsidR="0067479F" w:rsidRPr="001F07EF" w:rsidRDefault="00000000">
      <w:pPr>
        <w:pStyle w:val="Heading2"/>
        <w:keepNext w:val="0"/>
        <w:keepLines w:val="0"/>
        <w:spacing w:before="299" w:after="299"/>
        <w:rPr>
          <w:sz w:val="28"/>
          <w:szCs w:val="28"/>
        </w:rPr>
      </w:pPr>
      <w:r w:rsidRPr="001F07EF">
        <w:rPr>
          <w:color w:val="auto"/>
          <w:sz w:val="28"/>
          <w:szCs w:val="28"/>
        </w:rPr>
        <w:t>Introduction</w:t>
      </w:r>
    </w:p>
    <w:p w14:paraId="1953FA11" w14:textId="68DA5FA9" w:rsidR="00D71226" w:rsidRDefault="00D71226" w:rsidP="00D71226">
      <w:pPr>
        <w:spacing w:before="240" w:after="240" w:line="360" w:lineRule="auto"/>
        <w:jc w:val="both"/>
      </w:pPr>
      <w:r>
        <w:t>Article 21 of the Indian Constitution, assuring that “no person shall be deprived of his life or personal liberty except according to procedure established by law,”</w:t>
      </w:r>
      <w:r>
        <w:rPr>
          <w:rStyle w:val="FootnoteReference"/>
        </w:rPr>
        <w:footnoteReference w:id="1"/>
      </w:r>
      <w:r>
        <w:t xml:space="preserve"> has experienced one of the most astounding judicial evolutions in constitutional jurisprudence. What started as an ostensibly modest provision has become the foundation of fundamental rights protection in India, with dimensions even the constitutional makers could not have imagined. This transformation is not a measure of judicial activism but a response to evolving societal necessity, advances in technology, and new ideas of human dignity during the 21st century.</w:t>
      </w:r>
    </w:p>
    <w:p w14:paraId="59114B84" w14:textId="718E7C14" w:rsidR="009A19C0" w:rsidRDefault="00D71226" w:rsidP="00D71226">
      <w:pPr>
        <w:spacing w:before="240" w:after="240" w:line="360" w:lineRule="auto"/>
        <w:jc w:val="both"/>
      </w:pPr>
      <w:r>
        <w:t xml:space="preserve">The evolution of Article 21 from its initial narrow interpretation to its present broader reach is a paradigmatic shift in constitutional jurisprudence. The Supreme Court’s innovative interpretation has revolutionized this provision into what Justice Bhagwati precisely referred to as the </w:t>
      </w:r>
      <w:r w:rsidR="000A3D74">
        <w:t>“</w:t>
      </w:r>
      <w:r>
        <w:t>heart and soul</w:t>
      </w:r>
      <w:r w:rsidR="000A3D74">
        <w:t>”</w:t>
      </w:r>
      <w:r w:rsidR="001F07EF">
        <w:rPr>
          <w:rStyle w:val="FootnoteReference"/>
        </w:rPr>
        <w:footnoteReference w:id="2"/>
      </w:r>
      <w:r>
        <w:t xml:space="preserve"> of fundamental rights.</w:t>
      </w:r>
      <w:r>
        <w:rPr>
          <w:rStyle w:val="FootnoteReference"/>
        </w:rPr>
        <w:footnoteReference w:id="3"/>
      </w:r>
      <w:r>
        <w:t xml:space="preserve"> It is especially so in the recent decades, as courts face modern challenges from environmental decline to digital privacy, from access to healthcare to the regulation of artificial intelligence.</w:t>
      </w:r>
    </w:p>
    <w:p w14:paraId="2EAC53D8" w14:textId="2C497C23" w:rsidR="001F07EF" w:rsidRPr="00FA107E" w:rsidRDefault="00FA107E" w:rsidP="00D71226">
      <w:pPr>
        <w:spacing w:before="240" w:after="240" w:line="360" w:lineRule="auto"/>
        <w:jc w:val="both"/>
        <w:rPr>
          <w:b/>
          <w:bCs/>
          <w:sz w:val="28"/>
          <w:szCs w:val="28"/>
        </w:rPr>
      </w:pPr>
      <w:r w:rsidRPr="00FA107E">
        <w:rPr>
          <w:b/>
          <w:bCs/>
          <w:sz w:val="28"/>
          <w:szCs w:val="28"/>
        </w:rPr>
        <w:t>Historical Foundation and Early Interpretations</w:t>
      </w:r>
    </w:p>
    <w:p w14:paraId="75DD8883" w14:textId="2C2F376D" w:rsidR="0007178B" w:rsidRDefault="0007178B" w:rsidP="0007178B">
      <w:pPr>
        <w:spacing w:before="240" w:after="240" w:line="360" w:lineRule="auto"/>
        <w:jc w:val="both"/>
      </w:pPr>
      <w:r>
        <w:t>The development of Article 21 may be traced in terms of clear phases of judicial reasoning. At first, the Supreme Court took a narrow approach, as seen in the historic case of A.K. Gopalan v. State of Madras, in which the Court ruled that Article 21 only asked for adherence to the law as it stood, without regard to whether it was fair or reasonable.</w:t>
      </w:r>
      <w:r>
        <w:rPr>
          <w:rStyle w:val="FootnoteReference"/>
        </w:rPr>
        <w:footnoteReference w:id="4"/>
      </w:r>
      <w:r>
        <w:t xml:space="preserve"> This limited view was later negated in </w:t>
      </w:r>
      <w:r>
        <w:lastRenderedPageBreak/>
        <w:t>Maneka Gandhi v. Union of India, which incorporated the principle of “due process” and required any law taking away a person's life or liberty to be just, fair, and reasonable.</w:t>
      </w:r>
      <w:r>
        <w:rPr>
          <w:rStyle w:val="FootnoteReference"/>
        </w:rPr>
        <w:footnoteReference w:id="5"/>
      </w:r>
    </w:p>
    <w:p w14:paraId="352CFBF5" w14:textId="29152A9E" w:rsidR="0067479F" w:rsidRDefault="0007178B" w:rsidP="0007178B">
      <w:pPr>
        <w:spacing w:before="240" w:after="240" w:line="360" w:lineRule="auto"/>
        <w:jc w:val="both"/>
      </w:pPr>
      <w:r>
        <w:t>The Maneka Gandhi ruling opened up Article 21</w:t>
      </w:r>
      <w:r w:rsidR="00C71AD8">
        <w:t>’</w:t>
      </w:r>
      <w:r>
        <w:t xml:space="preserve">s large-scale interpretation, identifying that the right to life involves more than the mere animal life. This seminal change allowed later courts to read different substantive rights into Article 21, establishing what scholars have called a </w:t>
      </w:r>
      <w:r w:rsidR="00C71AD8">
        <w:t>“</w:t>
      </w:r>
      <w:r>
        <w:t>penumbral</w:t>
      </w:r>
      <w:r w:rsidR="00C71AD8">
        <w:t>”</w:t>
      </w:r>
      <w:r>
        <w:t xml:space="preserve"> expansion of constitutional rights.</w:t>
      </w:r>
      <w:r w:rsidR="00C71AD8">
        <w:rPr>
          <w:rStyle w:val="FootnoteReference"/>
        </w:rPr>
        <w:footnoteReference w:id="6"/>
      </w:r>
    </w:p>
    <w:p w14:paraId="166D4FBB" w14:textId="26F7A6FB" w:rsidR="00C71AD8" w:rsidRPr="00C71AD8" w:rsidRDefault="00C71AD8" w:rsidP="0007178B">
      <w:pPr>
        <w:spacing w:before="240" w:after="240" w:line="360" w:lineRule="auto"/>
        <w:jc w:val="both"/>
        <w:rPr>
          <w:b/>
          <w:bCs/>
          <w:sz w:val="28"/>
          <w:szCs w:val="28"/>
        </w:rPr>
      </w:pPr>
      <w:r w:rsidRPr="00C71AD8">
        <w:rPr>
          <w:b/>
          <w:bCs/>
          <w:sz w:val="28"/>
          <w:szCs w:val="28"/>
        </w:rPr>
        <w:t>Contemporary Dimensions of the Right to Life</w:t>
      </w:r>
    </w:p>
    <w:p w14:paraId="19CAB701" w14:textId="4718AC5F" w:rsidR="0067479F" w:rsidRPr="00A92062" w:rsidRDefault="0050436B">
      <w:pPr>
        <w:spacing w:before="240" w:after="240"/>
        <w:rPr>
          <w:b/>
          <w:bCs/>
          <w:u w:val="single"/>
        </w:rPr>
      </w:pPr>
      <w:r w:rsidRPr="00A92062">
        <w:rPr>
          <w:b/>
          <w:bCs/>
          <w:u w:val="single"/>
        </w:rPr>
        <w:t>Environmental Protection and Sustainable Development</w:t>
      </w:r>
    </w:p>
    <w:p w14:paraId="10DB6267" w14:textId="2F617A39" w:rsidR="0067479F" w:rsidRDefault="0050436B" w:rsidP="0050436B">
      <w:pPr>
        <w:spacing w:before="240" w:after="240" w:line="360" w:lineRule="auto"/>
        <w:jc w:val="both"/>
      </w:pPr>
      <w:r>
        <w:t>One of the most important developments in Article 21 jurisprudence today has been its extension to environmental protection. The Supreme Court has repeatedly held that the right to life involves the right to a healthy and clean environment, appreciating the inherent link between environmental quality and human dignity.</w:t>
      </w:r>
      <w:r>
        <w:rPr>
          <w:rStyle w:val="FootnoteReference"/>
        </w:rPr>
        <w:footnoteReference w:id="7"/>
      </w:r>
      <w:r>
        <w:t xml:space="preserve"> This extension has been especially relevant in dealing with India’s increasing environmental woes.</w:t>
      </w:r>
      <w:r w:rsidR="00A92062">
        <w:t xml:space="preserve"> </w:t>
      </w:r>
      <w:r>
        <w:t>In Subhash Kumar v. State of Bihar, the Court held that the right to life under Article 21 encompasses the right to breathe air and drink water free from pollution for complete enjoyment of life.</w:t>
      </w:r>
      <w:r>
        <w:rPr>
          <w:rStyle w:val="FootnoteReference"/>
        </w:rPr>
        <w:footnoteReference w:id="8"/>
      </w:r>
      <w:r>
        <w:t xml:space="preserve"> This doctrine has been further refined in subsequent judgments, such as M.C. Mehta v. Union of India, which addressed the Ganga pollution case and set vital precedents for environmental clean-up.</w:t>
      </w:r>
      <w:r>
        <w:rPr>
          <w:rStyle w:val="FootnoteReference"/>
        </w:rPr>
        <w:footnoteReference w:id="9"/>
      </w:r>
      <w:r w:rsidR="00A92062">
        <w:t xml:space="preserve"> </w:t>
      </w:r>
      <w:r>
        <w:t>The judicial reaction to environmental issues has advanced to include concerns regarding climate change. Recent court decisions have acknowledged climate stability as part of the right to life, recognizing the threat to existence from global warming for both existing and future generations.</w:t>
      </w:r>
      <w:r>
        <w:rPr>
          <w:rStyle w:val="FootnoteReference"/>
        </w:rPr>
        <w:footnoteReference w:id="10"/>
      </w:r>
      <w:r>
        <w:t xml:space="preserve"> This is a progressive reading that illustrates the judiciary’s ability to respond to issues that are transpiring on the world stage using constitutional provisions.</w:t>
      </w:r>
    </w:p>
    <w:p w14:paraId="746C7930" w14:textId="6B2469BB" w:rsidR="00A92062" w:rsidRDefault="00A92062" w:rsidP="0050436B">
      <w:pPr>
        <w:spacing w:before="240" w:after="240" w:line="360" w:lineRule="auto"/>
        <w:jc w:val="both"/>
        <w:rPr>
          <w:b/>
          <w:bCs/>
          <w:u w:val="single"/>
        </w:rPr>
      </w:pPr>
      <w:r w:rsidRPr="00A92062">
        <w:rPr>
          <w:b/>
          <w:bCs/>
          <w:u w:val="single"/>
        </w:rPr>
        <w:t>Healthcare and Medical Treatment</w:t>
      </w:r>
    </w:p>
    <w:p w14:paraId="6D637404" w14:textId="77777777" w:rsidR="000D2263" w:rsidRDefault="00A92062" w:rsidP="00A92062">
      <w:pPr>
        <w:spacing w:before="240" w:after="240" w:line="360" w:lineRule="auto"/>
        <w:jc w:val="both"/>
      </w:pPr>
      <w:r w:rsidRPr="00A92062">
        <w:lastRenderedPageBreak/>
        <w:t>The COVID-19 pandemic has thrown unprecedented attention on healthcare as a core right in Article 21. The Supreme Court has reaffirmed in every case that the right to health is inextricably linked to the right to life, and it includes not just freedom from disease but positive health as conceived by the World Health Organization.</w:t>
      </w:r>
      <w:r w:rsidR="00785586">
        <w:rPr>
          <w:rStyle w:val="FootnoteReference"/>
        </w:rPr>
        <w:footnoteReference w:id="11"/>
      </w:r>
      <w:r w:rsidR="00785586">
        <w:t xml:space="preserve"> </w:t>
      </w:r>
      <w:r w:rsidRPr="00A92062">
        <w:t>In Paschim Banga Khet Mazdoor Samity v. State of West Bengal, the Court held that emergency medical care could not be refused on grounds of lack of economic resources and imposed an affirmative duty on the state to deliver healthcare services.</w:t>
      </w:r>
      <w:r w:rsidR="00785586">
        <w:rPr>
          <w:rStyle w:val="FootnoteReference"/>
        </w:rPr>
        <w:footnoteReference w:id="12"/>
      </w:r>
      <w:r w:rsidRPr="00A92062">
        <w:t xml:space="preserve"> This principle has since been applied to cover other areas of healthcare, such as mental health services, reproductive health, and availability of essential medicines.</w:t>
      </w:r>
      <w:r w:rsidR="00785586">
        <w:t xml:space="preserve"> </w:t>
      </w:r>
    </w:p>
    <w:p w14:paraId="55D85603" w14:textId="14A3DD0A" w:rsidR="00A92062" w:rsidRDefault="00A92062" w:rsidP="00A92062">
      <w:pPr>
        <w:spacing w:before="240" w:after="240" w:line="360" w:lineRule="auto"/>
        <w:jc w:val="both"/>
      </w:pPr>
      <w:r w:rsidRPr="00A92062">
        <w:t>The period of the pandemic saw intense judicial activism in healthcare administration. The judiciary has intervened in matters as diverse as oxygen supply chain failures and vaccination policy, reflecting the agile deployment of Article 21 in emergencies.</w:t>
      </w:r>
      <w:r w:rsidR="00785586">
        <w:rPr>
          <w:rStyle w:val="FootnoteReference"/>
        </w:rPr>
        <w:footnoteReference w:id="13"/>
      </w:r>
      <w:r w:rsidRPr="00A92062">
        <w:t xml:space="preserve"> These interventions have posed vital questions regarding the doctrine of separation of powers while making healthcare infrastructure a constitutional imperative.</w:t>
      </w:r>
    </w:p>
    <w:p w14:paraId="7F5C16BC" w14:textId="37C47537" w:rsidR="00785586" w:rsidRPr="0079784C" w:rsidRDefault="00494CEB" w:rsidP="00A92062">
      <w:pPr>
        <w:spacing w:before="240" w:after="240" w:line="360" w:lineRule="auto"/>
        <w:jc w:val="both"/>
        <w:rPr>
          <w:b/>
          <w:bCs/>
          <w:u w:val="single"/>
        </w:rPr>
      </w:pPr>
      <w:r w:rsidRPr="0079784C">
        <w:rPr>
          <w:b/>
          <w:bCs/>
          <w:u w:val="single"/>
        </w:rPr>
        <w:t>Digital Rights and Privacy</w:t>
      </w:r>
    </w:p>
    <w:p w14:paraId="636429C9" w14:textId="77777777" w:rsidR="000D2263" w:rsidRDefault="0079784C" w:rsidP="0079784C">
      <w:pPr>
        <w:spacing w:before="240" w:after="240" w:line="360" w:lineRule="auto"/>
        <w:jc w:val="both"/>
      </w:pPr>
      <w:r w:rsidRPr="0079784C">
        <w:t xml:space="preserve">The revolution in digital technology has required an essential rethinking of the right to privacy under Article 21. The judgment in Justice K.S. </w:t>
      </w:r>
      <w:proofErr w:type="spellStart"/>
      <w:r w:rsidRPr="0079784C">
        <w:t>Puttaswamy</w:t>
      </w:r>
      <w:proofErr w:type="spellEnd"/>
      <w:r w:rsidRPr="0079784C">
        <w:t xml:space="preserve"> (Retd.) v. Union of India declared privacy a constitutional right inherent in life and personal liberty, reversing decades of opposing precedent.</w:t>
      </w:r>
      <w:r>
        <w:rPr>
          <w:rStyle w:val="FootnoteReference"/>
        </w:rPr>
        <w:footnoteReference w:id="14"/>
      </w:r>
      <w:r w:rsidRPr="0079784C">
        <w:t xml:space="preserve"> This has far-reaching implications for the digital age, as personal information has become an economic asset and surveillance capabilities have multiplied endlessly.</w:t>
      </w:r>
      <w:r>
        <w:t xml:space="preserve"> </w:t>
      </w:r>
      <w:r w:rsidRPr="0079784C">
        <w:t xml:space="preserve">The </w:t>
      </w:r>
      <w:proofErr w:type="spellStart"/>
      <w:r w:rsidRPr="0079784C">
        <w:t>Puttaswamy</w:t>
      </w:r>
      <w:proofErr w:type="spellEnd"/>
      <w:r w:rsidRPr="0079784C">
        <w:t xml:space="preserve"> judgment created a four-fold test for deciding when privacy rights could legitimately be curtailed: legality, legitimate aim, proportionality, and procedural protection.</w:t>
      </w:r>
      <w:r>
        <w:rPr>
          <w:rStyle w:val="FootnoteReference"/>
        </w:rPr>
        <w:footnoteReference w:id="15"/>
      </w:r>
      <w:r w:rsidRPr="0079784C">
        <w:t xml:space="preserve"> </w:t>
      </w:r>
    </w:p>
    <w:p w14:paraId="504F876D" w14:textId="3A5C0C0A" w:rsidR="00494CEB" w:rsidRDefault="0079784C" w:rsidP="0079784C">
      <w:pPr>
        <w:spacing w:before="240" w:after="240" w:line="360" w:lineRule="auto"/>
        <w:jc w:val="both"/>
      </w:pPr>
      <w:r w:rsidRPr="0079784C">
        <w:t>This template has since been pivotal in assessing government surveillance schemes, data protection law, and digital governance arrangements.</w:t>
      </w:r>
      <w:r>
        <w:t xml:space="preserve"> </w:t>
      </w:r>
      <w:r w:rsidRPr="0079784C">
        <w:t>Follow-up cases have then used these principles to particular digital rights challenges. The Supreme Court</w:t>
      </w:r>
      <w:r w:rsidR="00E84691">
        <w:t>’</w:t>
      </w:r>
      <w:r w:rsidRPr="0079784C">
        <w:t xml:space="preserve">s actions in the Aadhaar cases showed the </w:t>
      </w:r>
      <w:r w:rsidRPr="0079784C">
        <w:lastRenderedPageBreak/>
        <w:t>operational application of privacy principles to extensive government databases, reconciling individual privacy rights with compelling state interests in welfare delivery and identity verification.</w:t>
      </w:r>
      <w:r>
        <w:rPr>
          <w:rStyle w:val="FootnoteReference"/>
        </w:rPr>
        <w:footnoteReference w:id="16"/>
      </w:r>
    </w:p>
    <w:p w14:paraId="1C8CECF6" w14:textId="00275E87" w:rsidR="0079784C" w:rsidRDefault="000D2263" w:rsidP="0079784C">
      <w:pPr>
        <w:spacing w:before="240" w:after="240" w:line="360" w:lineRule="auto"/>
        <w:jc w:val="both"/>
        <w:rPr>
          <w:b/>
          <w:bCs/>
          <w:sz w:val="28"/>
          <w:szCs w:val="28"/>
        </w:rPr>
      </w:pPr>
      <w:r w:rsidRPr="000D2263">
        <w:rPr>
          <w:b/>
          <w:bCs/>
          <w:sz w:val="28"/>
          <w:szCs w:val="28"/>
        </w:rPr>
        <w:t>Contemporary Legal Challenges</w:t>
      </w:r>
    </w:p>
    <w:p w14:paraId="4AC0FED1" w14:textId="4F050CC1" w:rsidR="000D2263" w:rsidRDefault="000D2263" w:rsidP="0079784C">
      <w:pPr>
        <w:spacing w:before="240" w:after="240" w:line="360" w:lineRule="auto"/>
        <w:jc w:val="both"/>
        <w:rPr>
          <w:b/>
          <w:bCs/>
          <w:u w:val="single"/>
        </w:rPr>
      </w:pPr>
      <w:r w:rsidRPr="000D2263">
        <w:rPr>
          <w:b/>
          <w:bCs/>
          <w:u w:val="single"/>
        </w:rPr>
        <w:t>Artificial Intelligence and Algorithmic Governance</w:t>
      </w:r>
    </w:p>
    <w:p w14:paraId="6930955C" w14:textId="6017B786" w:rsidR="00E84691" w:rsidRPr="00E84691" w:rsidRDefault="00E84691" w:rsidP="00E84691">
      <w:pPr>
        <w:spacing w:before="240" w:after="240" w:line="360" w:lineRule="auto"/>
        <w:jc w:val="both"/>
      </w:pPr>
      <w:r w:rsidRPr="00E84691">
        <w:t>The advent of artificial intelligence and algorithmic decision-making mechanisms introduces new challenges to Article 21 case law. With government services increasingly delivered through automated systems, controversy is raised regarding due process obligations in algorithmic decision-making as well as the right to explanation of automated decisions impinging on individual rights.</w:t>
      </w:r>
      <w:r>
        <w:rPr>
          <w:rStyle w:val="FootnoteReference"/>
        </w:rPr>
        <w:footnoteReference w:id="17"/>
      </w:r>
    </w:p>
    <w:p w14:paraId="244C15FE" w14:textId="5F0D8A18" w:rsidR="000D2263" w:rsidRDefault="00E84691" w:rsidP="00E84691">
      <w:pPr>
        <w:spacing w:before="240" w:after="240" w:line="360" w:lineRule="auto"/>
        <w:jc w:val="both"/>
      </w:pPr>
      <w:r w:rsidRPr="00E84691">
        <w:t>Recent judgments have started to deal with these issues, setting out guidelines for algorithmic transparency and human intervention in automated processes impacting fundamental rights. The courts have realized that algorithmic systems that do not provide transparency can contravene the principles of natural justice enshrined in Article 21.</w:t>
      </w:r>
      <w:r>
        <w:rPr>
          <w:rStyle w:val="FootnoteReference"/>
        </w:rPr>
        <w:footnoteReference w:id="18"/>
      </w:r>
    </w:p>
    <w:p w14:paraId="21DC2D64" w14:textId="4C31AC03" w:rsidR="00581BE0" w:rsidRDefault="00581BE0" w:rsidP="00E84691">
      <w:pPr>
        <w:spacing w:before="240" w:after="240" w:line="360" w:lineRule="auto"/>
        <w:jc w:val="both"/>
        <w:rPr>
          <w:b/>
          <w:bCs/>
          <w:u w:val="single"/>
        </w:rPr>
      </w:pPr>
      <w:r w:rsidRPr="00581BE0">
        <w:rPr>
          <w:b/>
          <w:bCs/>
          <w:u w:val="single"/>
        </w:rPr>
        <w:t>Economic Rights and Livelihood</w:t>
      </w:r>
    </w:p>
    <w:p w14:paraId="6F97E2EC" w14:textId="3E1734EE" w:rsidR="00581BE0" w:rsidRPr="00581BE0" w:rsidRDefault="00581BE0" w:rsidP="00581BE0">
      <w:pPr>
        <w:spacing w:before="240" w:after="240" w:line="360" w:lineRule="auto"/>
        <w:jc w:val="both"/>
      </w:pPr>
      <w:r w:rsidRPr="00581BE0">
        <w:t>The ambit of Article 21 has widened to include other economic rights, as life without means of livelihood is not meaningful life. The Supreme Court has declared that the right to livelihood is a part of the right to life, casting positive obligations upon the state to provide for employment opportunities and social security.</w:t>
      </w:r>
      <w:r>
        <w:rPr>
          <w:rStyle w:val="FootnoteReference"/>
        </w:rPr>
        <w:footnoteReference w:id="19"/>
      </w:r>
    </w:p>
    <w:p w14:paraId="393DFBAC" w14:textId="47921345" w:rsidR="00581BE0" w:rsidRDefault="00581BE0" w:rsidP="00581BE0">
      <w:pPr>
        <w:spacing w:before="240" w:after="240" w:line="360" w:lineRule="auto"/>
        <w:jc w:val="both"/>
      </w:pPr>
      <w:r w:rsidRPr="00581BE0">
        <w:t xml:space="preserve">This expansion has been closely relevant to tackling the problems of workers in the informal sector, agricultural distress, and urban poverty. The COVID-19 pandemic brought into sharp focus the </w:t>
      </w:r>
      <w:r w:rsidRPr="00581BE0">
        <w:lastRenderedPageBreak/>
        <w:t>plight of migrant workers and witnessed intense judicial intervention to safeguard their rights to food, shelter, and safe passage.</w:t>
      </w:r>
      <w:r>
        <w:rPr>
          <w:rStyle w:val="FootnoteReference"/>
        </w:rPr>
        <w:footnoteReference w:id="20"/>
      </w:r>
    </w:p>
    <w:p w14:paraId="25E3B48B" w14:textId="32F2B8DC" w:rsidR="00581BE0" w:rsidRDefault="00581BE0" w:rsidP="00581BE0">
      <w:pPr>
        <w:spacing w:before="240" w:after="240" w:line="360" w:lineRule="auto"/>
        <w:jc w:val="both"/>
        <w:rPr>
          <w:b/>
          <w:bCs/>
          <w:u w:val="single"/>
        </w:rPr>
      </w:pPr>
      <w:r w:rsidRPr="00581BE0">
        <w:rPr>
          <w:b/>
          <w:bCs/>
          <w:u w:val="single"/>
        </w:rPr>
        <w:t>Gender Rights and Personal Autonomy</w:t>
      </w:r>
    </w:p>
    <w:p w14:paraId="67383634" w14:textId="72846139" w:rsidR="00581BE0" w:rsidRDefault="00581BE0" w:rsidP="00581BE0">
      <w:pPr>
        <w:spacing w:before="240" w:after="240" w:line="360" w:lineRule="auto"/>
        <w:jc w:val="both"/>
        <w:rPr>
          <w:lang w:val="en-IN"/>
        </w:rPr>
      </w:pPr>
      <w:r w:rsidRPr="00581BE0">
        <w:rPr>
          <w:lang w:val="en-IN"/>
        </w:rPr>
        <w:t>Personal autonomy is becoming more and more acknowledged as being essential to human dignity in modern Article 21 jurisprudence. Significant progress has been made in the areas of reproductive freedom, LGBTQ+ rights, and gender equality as a result. An important extension of personal liberty under Article 21 is the Supreme Court's recognition of the freedom to choose one's gender identity, sexual orientation, and intimate relationships.</w:t>
      </w:r>
      <w:r>
        <w:rPr>
          <w:rStyle w:val="FootnoteReference"/>
          <w:lang w:val="en-IN"/>
        </w:rPr>
        <w:footnoteReference w:id="21"/>
      </w:r>
    </w:p>
    <w:p w14:paraId="5F727117" w14:textId="70134420" w:rsidR="00581BE0" w:rsidRPr="00581BE0" w:rsidRDefault="00581BE0" w:rsidP="00581BE0">
      <w:pPr>
        <w:spacing w:before="240" w:after="240" w:line="360" w:lineRule="auto"/>
        <w:jc w:val="both"/>
        <w:rPr>
          <w:lang w:val="en-IN"/>
        </w:rPr>
      </w:pPr>
      <w:r w:rsidRPr="00581BE0">
        <w:rPr>
          <w:lang w:val="en-IN"/>
        </w:rPr>
        <w:t>This strategy was demonstrated in the Navtej Singh Johar case, which decriminalized consensual homosexual relationships and acknowledged that the right to intimate personal choices free from governmental intervention is a component of personal autonomy.</w:t>
      </w:r>
      <w:r>
        <w:rPr>
          <w:rStyle w:val="FootnoteReference"/>
          <w:lang w:val="en-IN"/>
        </w:rPr>
        <w:footnoteReference w:id="22"/>
      </w:r>
      <w:r>
        <w:rPr>
          <w:lang w:val="en-IN"/>
        </w:rPr>
        <w:t xml:space="preserve"> </w:t>
      </w:r>
      <w:r w:rsidRPr="00581BE0">
        <w:rPr>
          <w:lang w:val="en-IN"/>
        </w:rPr>
        <w:t>In a similar vein, the Shafin Jahan case upheld the fundamental right to personal liberty to choose one's life partner.</w:t>
      </w:r>
      <w:r>
        <w:rPr>
          <w:rStyle w:val="FootnoteReference"/>
          <w:lang w:val="en-IN"/>
        </w:rPr>
        <w:footnoteReference w:id="23"/>
      </w:r>
    </w:p>
    <w:p w14:paraId="7A8E3207" w14:textId="7EE875B5" w:rsidR="00581BE0" w:rsidRPr="008F3BA6" w:rsidRDefault="008F3BA6" w:rsidP="00581BE0">
      <w:pPr>
        <w:spacing w:before="240" w:after="240" w:line="360" w:lineRule="auto"/>
        <w:jc w:val="both"/>
        <w:rPr>
          <w:b/>
          <w:bCs/>
          <w:sz w:val="28"/>
          <w:szCs w:val="28"/>
        </w:rPr>
      </w:pPr>
      <w:r w:rsidRPr="008F3BA6">
        <w:rPr>
          <w:b/>
          <w:bCs/>
          <w:sz w:val="28"/>
          <w:szCs w:val="28"/>
        </w:rPr>
        <w:t>Judicial Responses and Doctrinal Developments</w:t>
      </w:r>
    </w:p>
    <w:p w14:paraId="00B1FCFA" w14:textId="17A58AE8" w:rsidR="000D2263" w:rsidRDefault="008F3BA6" w:rsidP="0079784C">
      <w:pPr>
        <w:spacing w:before="240" w:after="240" w:line="360" w:lineRule="auto"/>
        <w:jc w:val="both"/>
        <w:rPr>
          <w:b/>
          <w:bCs/>
          <w:u w:val="single"/>
        </w:rPr>
      </w:pPr>
      <w:r w:rsidRPr="008F3BA6">
        <w:rPr>
          <w:b/>
          <w:bCs/>
          <w:u w:val="single"/>
        </w:rPr>
        <w:t>Procedural Innovations</w:t>
      </w:r>
    </w:p>
    <w:p w14:paraId="72D30A0B" w14:textId="25352C07" w:rsidR="008F3BA6" w:rsidRDefault="008F3BA6" w:rsidP="008F3BA6">
      <w:pPr>
        <w:spacing w:before="240" w:after="240" w:line="360" w:lineRule="auto"/>
        <w:jc w:val="both"/>
        <w:rPr>
          <w:lang w:val="en-IN"/>
        </w:rPr>
      </w:pPr>
      <w:r w:rsidRPr="008F3BA6">
        <w:rPr>
          <w:lang w:val="en-IN"/>
        </w:rPr>
        <w:t>In order to guarantee that Article 21 rights are implemented effectively, modern courts have created creative procedural mechanisms. The development of Public Interest Litigation (PIL) has been essential in enabling marginalized groups that might not otherwise have the means to petition the courts to exercise their Article 21 rights.</w:t>
      </w:r>
      <w:r>
        <w:rPr>
          <w:rStyle w:val="FootnoteReference"/>
          <w:lang w:val="en-IN"/>
        </w:rPr>
        <w:footnoteReference w:id="24"/>
      </w:r>
    </w:p>
    <w:p w14:paraId="056DD62F" w14:textId="32EDCCFB" w:rsidR="008F3BA6" w:rsidRPr="008F3BA6" w:rsidRDefault="008F3BA6" w:rsidP="008F3BA6">
      <w:pPr>
        <w:spacing w:before="240" w:after="240" w:line="360" w:lineRule="auto"/>
        <w:jc w:val="both"/>
        <w:rPr>
          <w:lang w:val="en-IN"/>
        </w:rPr>
      </w:pPr>
      <w:r w:rsidRPr="008F3BA6">
        <w:rPr>
          <w:lang w:val="en-IN"/>
        </w:rPr>
        <w:t>In cases involving systematic violations of Article 21 rights, the Supreme Court has also established continuing mandamus jurisdiction, which allows it to maintain oversight over the application of its rulings. This strategy has proven especially successful in cases involving prison reform and the environment.</w:t>
      </w:r>
      <w:r>
        <w:rPr>
          <w:rStyle w:val="FootnoteReference"/>
          <w:lang w:val="en-IN"/>
        </w:rPr>
        <w:footnoteReference w:id="25"/>
      </w:r>
    </w:p>
    <w:p w14:paraId="0746351A" w14:textId="638D1D03" w:rsidR="008F3BA6" w:rsidRPr="008F3BA6" w:rsidRDefault="008F3BA6" w:rsidP="0079784C">
      <w:pPr>
        <w:spacing w:before="240" w:after="240" w:line="360" w:lineRule="auto"/>
        <w:jc w:val="both"/>
        <w:rPr>
          <w:b/>
          <w:bCs/>
          <w:u w:val="single"/>
        </w:rPr>
      </w:pPr>
      <w:r w:rsidRPr="008F3BA6">
        <w:rPr>
          <w:b/>
          <w:bCs/>
          <w:u w:val="single"/>
        </w:rPr>
        <w:lastRenderedPageBreak/>
        <w:t>Institutional Reforms</w:t>
      </w:r>
    </w:p>
    <w:p w14:paraId="5C91D6D1" w14:textId="38623865" w:rsidR="008F3BA6" w:rsidRPr="008F3BA6" w:rsidRDefault="008F3BA6" w:rsidP="008F3BA6">
      <w:pPr>
        <w:spacing w:before="240" w:after="240" w:line="360" w:lineRule="auto"/>
        <w:jc w:val="both"/>
      </w:pPr>
      <w:r w:rsidRPr="008F3BA6">
        <w:t>Judicial remedies to violations of Article 21 have shifted more towards institutional reforms than individual remedies. Courts have set up monitoring committees, appointed</w:t>
      </w:r>
      <w:r w:rsidRPr="008F3BA6">
        <w:rPr>
          <w:b/>
          <w:bCs/>
        </w:rPr>
        <w:t xml:space="preserve"> </w:t>
      </w:r>
      <w:r w:rsidRPr="008F3BA6">
        <w:t>commissioners, and established permanent supervisory mechanisms to enforce systemic conformity with constitutional requirements.</w:t>
      </w:r>
      <w:r>
        <w:rPr>
          <w:rStyle w:val="FootnoteReference"/>
        </w:rPr>
        <w:footnoteReference w:id="26"/>
      </w:r>
    </w:p>
    <w:p w14:paraId="0FEED4DF" w14:textId="66E78D6B" w:rsidR="00A92062" w:rsidRDefault="008F3BA6" w:rsidP="008F3BA6">
      <w:pPr>
        <w:spacing w:before="240" w:after="240" w:line="360" w:lineRule="auto"/>
        <w:jc w:val="both"/>
      </w:pPr>
      <w:r w:rsidRPr="008F3BA6">
        <w:t>The National Human Rights Commission, founded in part as a response to judicial worry about pervasive human rights abuses, is an institutional innovation intended to offer continuous protection for Article 21 rights.</w:t>
      </w:r>
      <w:r w:rsidR="00A36294">
        <w:rPr>
          <w:rStyle w:val="FootnoteReference"/>
        </w:rPr>
        <w:footnoteReference w:id="27"/>
      </w:r>
    </w:p>
    <w:p w14:paraId="6725F2DC" w14:textId="3350C957" w:rsidR="00A36294" w:rsidRDefault="00A36294" w:rsidP="008F3BA6">
      <w:pPr>
        <w:spacing w:before="240" w:after="240" w:line="360" w:lineRule="auto"/>
        <w:jc w:val="both"/>
        <w:rPr>
          <w:b/>
          <w:bCs/>
          <w:sz w:val="28"/>
          <w:szCs w:val="28"/>
        </w:rPr>
      </w:pPr>
      <w:r w:rsidRPr="00A36294">
        <w:rPr>
          <w:b/>
          <w:bCs/>
          <w:sz w:val="28"/>
          <w:szCs w:val="28"/>
        </w:rPr>
        <w:t>Challenges and Criticisms</w:t>
      </w:r>
    </w:p>
    <w:p w14:paraId="3CBC032C" w14:textId="712BEAC0" w:rsidR="00A36294" w:rsidRDefault="00A36294" w:rsidP="008F3BA6">
      <w:pPr>
        <w:spacing w:before="240" w:after="240" w:line="360" w:lineRule="auto"/>
        <w:jc w:val="both"/>
        <w:rPr>
          <w:b/>
          <w:bCs/>
          <w:u w:val="single"/>
        </w:rPr>
      </w:pPr>
      <w:r w:rsidRPr="00A36294">
        <w:rPr>
          <w:b/>
          <w:bCs/>
          <w:u w:val="single"/>
        </w:rPr>
        <w:t>Separation of Powers Concerns</w:t>
      </w:r>
    </w:p>
    <w:p w14:paraId="7901F905" w14:textId="15A5DF2C" w:rsidR="00A36294" w:rsidRDefault="00A36294" w:rsidP="00A36294">
      <w:pPr>
        <w:spacing w:before="240" w:after="240" w:line="360" w:lineRule="auto"/>
        <w:jc w:val="both"/>
        <w:rPr>
          <w:lang w:val="en-IN"/>
        </w:rPr>
      </w:pPr>
      <w:r w:rsidRPr="00A36294">
        <w:rPr>
          <w:lang w:val="en-IN"/>
        </w:rPr>
        <w:t>The separation of powers and judicial overreach have become major issues due to the broad interpretation of Article 21. Critics contend that courts have taken on more executive and legislative duties, especially in fields that call for specialized knowledge and the distribution of resources.</w:t>
      </w:r>
      <w:r>
        <w:rPr>
          <w:rStyle w:val="FootnoteReference"/>
          <w:lang w:val="en-IN"/>
        </w:rPr>
        <w:footnoteReference w:id="28"/>
      </w:r>
      <w:r w:rsidRPr="00A36294">
        <w:rPr>
          <w:lang w:val="en-IN"/>
        </w:rPr>
        <w:br/>
        <w:t>In cases involving complicated policy issues like healthcare policy, economic planning, and environmental regulation, the conflict between judicial activism and democratic governance has been especially noticeable. Courts have found it difficult to strike a balance between upholding democratic decision-making procedures and their constitutional obligation to defend fundamental rights.</w:t>
      </w:r>
      <w:r>
        <w:rPr>
          <w:rStyle w:val="FootnoteReference"/>
          <w:lang w:val="en-IN"/>
        </w:rPr>
        <w:footnoteReference w:id="29"/>
      </w:r>
    </w:p>
    <w:p w14:paraId="3BDA1B74" w14:textId="178C011A" w:rsidR="00A36294" w:rsidRDefault="00A36294" w:rsidP="00A36294">
      <w:pPr>
        <w:spacing w:before="240" w:after="240" w:line="360" w:lineRule="auto"/>
        <w:jc w:val="both"/>
        <w:rPr>
          <w:b/>
          <w:bCs/>
          <w:u w:val="single"/>
        </w:rPr>
      </w:pPr>
      <w:r w:rsidRPr="00A36294">
        <w:rPr>
          <w:b/>
          <w:bCs/>
          <w:u w:val="single"/>
        </w:rPr>
        <w:t>Implementation Challenges</w:t>
      </w:r>
    </w:p>
    <w:p w14:paraId="3C915489" w14:textId="21BBCF8F" w:rsidR="00A36294" w:rsidRPr="00A36294" w:rsidRDefault="00A36294" w:rsidP="00A36294">
      <w:pPr>
        <w:spacing w:before="240" w:after="240" w:line="360" w:lineRule="auto"/>
        <w:jc w:val="both"/>
        <w:rPr>
          <w:lang w:val="en-IN"/>
        </w:rPr>
      </w:pPr>
      <w:r w:rsidRPr="00A36294">
        <w:rPr>
          <w:lang w:val="en-IN"/>
        </w:rPr>
        <w:t>Even as progressive judicial pronouncements are made, implementation of Article 21 rights becomes problematic. The mismatch between judicial declarations and reality on the ground has been best seen in police reform, prison conditions, and the environment.</w:t>
      </w:r>
      <w:r>
        <w:rPr>
          <w:rStyle w:val="FootnoteReference"/>
          <w:lang w:val="en-IN"/>
        </w:rPr>
        <w:footnoteReference w:id="30"/>
      </w:r>
    </w:p>
    <w:p w14:paraId="3A2B2914" w14:textId="2E64E888" w:rsidR="00A36294" w:rsidRDefault="00A36294" w:rsidP="00A36294">
      <w:pPr>
        <w:spacing w:before="240" w:after="240" w:line="360" w:lineRule="auto"/>
        <w:jc w:val="both"/>
        <w:rPr>
          <w:lang w:val="en-IN"/>
        </w:rPr>
      </w:pPr>
      <w:r w:rsidRPr="00A36294">
        <w:rPr>
          <w:lang w:val="en-IN"/>
        </w:rPr>
        <w:lastRenderedPageBreak/>
        <w:t>Resource limitations and administrative capability constraints have hampered the effective enforcement of court orders and raised issues relating to the practical effectiveness of judicial intervention in ensuring Article 21 rights.</w:t>
      </w:r>
    </w:p>
    <w:p w14:paraId="0BEDC3E9" w14:textId="3DF095B0" w:rsidR="004B344A" w:rsidRDefault="004B344A" w:rsidP="00A36294">
      <w:pPr>
        <w:spacing w:before="240" w:after="240" w:line="360" w:lineRule="auto"/>
        <w:jc w:val="both"/>
        <w:rPr>
          <w:b/>
          <w:bCs/>
          <w:u w:val="single"/>
        </w:rPr>
      </w:pPr>
      <w:r w:rsidRPr="004B344A">
        <w:rPr>
          <w:b/>
          <w:bCs/>
          <w:u w:val="single"/>
        </w:rPr>
        <w:t>Balancing Individual and Collective Rights</w:t>
      </w:r>
    </w:p>
    <w:p w14:paraId="7B61F32B" w14:textId="0E002223" w:rsidR="004B344A" w:rsidRPr="004B344A" w:rsidRDefault="004B344A" w:rsidP="004B344A">
      <w:pPr>
        <w:spacing w:before="240" w:after="240" w:line="360" w:lineRule="auto"/>
        <w:jc w:val="both"/>
        <w:rPr>
          <w:lang w:val="en-IN"/>
        </w:rPr>
      </w:pPr>
      <w:r w:rsidRPr="004B344A">
        <w:rPr>
          <w:lang w:val="en-IN"/>
        </w:rPr>
        <w:t>The challenge for modern Article 21 jurisprudence is striking a balance between individual rights, group interests, and the welfare of the community. This conflict has been especially noticeable when it comes to national security issues, public health initiatives, and development projects.</w:t>
      </w:r>
      <w:r>
        <w:rPr>
          <w:rStyle w:val="FootnoteReference"/>
          <w:lang w:val="en-IN"/>
        </w:rPr>
        <w:footnoteReference w:id="31"/>
      </w:r>
      <w:r w:rsidRPr="004B344A">
        <w:rPr>
          <w:lang w:val="en-IN"/>
        </w:rPr>
        <w:br/>
        <w:t>The COVID-19 pandemic brought these conflicts to light as judges weighed the rights to individual liberty against the needs of public health, highlighting how difficult it is to apply constitutional principles in emergency situations.</w:t>
      </w:r>
    </w:p>
    <w:p w14:paraId="1C348032" w14:textId="7F7C781A" w:rsidR="00A36294" w:rsidRDefault="00A36294" w:rsidP="00A36294">
      <w:pPr>
        <w:spacing w:before="240" w:after="240" w:line="360" w:lineRule="auto"/>
        <w:jc w:val="both"/>
        <w:rPr>
          <w:b/>
          <w:bCs/>
          <w:sz w:val="28"/>
          <w:szCs w:val="28"/>
        </w:rPr>
      </w:pPr>
      <w:r w:rsidRPr="00A36294">
        <w:rPr>
          <w:b/>
          <w:bCs/>
          <w:sz w:val="28"/>
          <w:szCs w:val="28"/>
        </w:rPr>
        <w:t>Future Directions and Emerging Issues</w:t>
      </w:r>
    </w:p>
    <w:p w14:paraId="3C212142" w14:textId="0135BD0C" w:rsidR="00A36294" w:rsidRDefault="00A36294" w:rsidP="00A36294">
      <w:pPr>
        <w:spacing w:before="240" w:after="240" w:line="360" w:lineRule="auto"/>
        <w:jc w:val="both"/>
        <w:rPr>
          <w:b/>
          <w:bCs/>
          <w:u w:val="single"/>
        </w:rPr>
      </w:pPr>
      <w:r w:rsidRPr="00A36294">
        <w:rPr>
          <w:b/>
          <w:bCs/>
          <w:u w:val="single"/>
        </w:rPr>
        <w:t>Climate Change and Intergenerational Rights</w:t>
      </w:r>
    </w:p>
    <w:p w14:paraId="071491CF" w14:textId="21379C1F" w:rsidR="00B11B3C" w:rsidRPr="00B11B3C" w:rsidRDefault="00B11B3C" w:rsidP="00B11B3C">
      <w:pPr>
        <w:spacing w:before="240" w:after="240" w:line="360" w:lineRule="auto"/>
        <w:jc w:val="both"/>
      </w:pPr>
      <w:r w:rsidRPr="00B11B3C">
        <w:t>Climate change poses potentially the most fundamental long-term challenge to Article 21 jurisprudence. The courts are increasingly identifying climate stability as a central component of the right to life, with relevance to energy policy, industrial regulation, and global cooperation.</w:t>
      </w:r>
      <w:r>
        <w:rPr>
          <w:rStyle w:val="FootnoteReference"/>
        </w:rPr>
        <w:footnoteReference w:id="32"/>
      </w:r>
    </w:p>
    <w:p w14:paraId="79E5544D" w14:textId="3B2A6C1F" w:rsidR="004B344A" w:rsidRDefault="00B11B3C" w:rsidP="00B11B3C">
      <w:pPr>
        <w:spacing w:before="240" w:after="240" w:line="360" w:lineRule="auto"/>
        <w:jc w:val="both"/>
      </w:pPr>
      <w:r w:rsidRPr="00B11B3C">
        <w:t>The principle of intergenerational equity, already applied in environmental law, might have to be extended further to deal with the long-term effects of policy decisions made today for the Article 21 rights of future generations.</w:t>
      </w:r>
    </w:p>
    <w:p w14:paraId="00AE0FC3" w14:textId="2BA41F9D" w:rsidR="00B11B3C" w:rsidRDefault="00B11B3C" w:rsidP="00B11B3C">
      <w:pPr>
        <w:spacing w:before="240" w:after="240" w:line="360" w:lineRule="auto"/>
        <w:jc w:val="both"/>
        <w:rPr>
          <w:b/>
          <w:bCs/>
          <w:u w:val="single"/>
        </w:rPr>
      </w:pPr>
      <w:r w:rsidRPr="00B11B3C">
        <w:rPr>
          <w:b/>
          <w:bCs/>
          <w:u w:val="single"/>
        </w:rPr>
        <w:t>Biotechnology and Genetic Rights</w:t>
      </w:r>
    </w:p>
    <w:p w14:paraId="5CDF140B" w14:textId="27225182" w:rsidR="00B11B3C" w:rsidRDefault="00B11B3C" w:rsidP="00B11B3C">
      <w:pPr>
        <w:spacing w:before="240" w:after="240" w:line="360" w:lineRule="auto"/>
        <w:jc w:val="both"/>
        <w:rPr>
          <w:b/>
          <w:bCs/>
          <w:u w:val="single"/>
        </w:rPr>
      </w:pPr>
      <w:r w:rsidRPr="00B11B3C">
        <w:t>The advances in biotechnology, such as genetic engineering, artificial reproduction, and life extension technology, pose new questions regarding the extent of the right to life under Article 21. Courts will encounter difficulties in handling genetic privacy, enhancement as opposed to treatment boundaries, and the commodification of biological processes.</w:t>
      </w:r>
    </w:p>
    <w:p w14:paraId="2FE1677A" w14:textId="290AA7A2" w:rsidR="00B11B3C" w:rsidRDefault="00B11B3C" w:rsidP="00B11B3C">
      <w:pPr>
        <w:spacing w:before="240" w:after="240" w:line="360" w:lineRule="auto"/>
        <w:jc w:val="both"/>
        <w:rPr>
          <w:b/>
          <w:bCs/>
          <w:u w:val="single"/>
        </w:rPr>
      </w:pPr>
      <w:r w:rsidRPr="00B11B3C">
        <w:rPr>
          <w:b/>
          <w:bCs/>
          <w:u w:val="single"/>
        </w:rPr>
        <w:lastRenderedPageBreak/>
        <w:t>Digital Governance and Platform Regulation</w:t>
      </w:r>
    </w:p>
    <w:p w14:paraId="0333C6AB" w14:textId="77777777" w:rsidR="00B11B3C" w:rsidRPr="00B11B3C" w:rsidRDefault="00B11B3C" w:rsidP="00B11B3C">
      <w:pPr>
        <w:spacing w:before="240" w:after="240" w:line="360" w:lineRule="auto"/>
        <w:jc w:val="both"/>
        <w:rPr>
          <w:lang w:val="en-IN"/>
        </w:rPr>
      </w:pPr>
      <w:r w:rsidRPr="00B11B3C">
        <w:rPr>
          <w:lang w:val="en-IN"/>
        </w:rPr>
        <w:t>Important concerns regarding the implementation of Article 21 rights in digital spaces are brought up by the growing role that digital platforms play in mediating social, economic, and political life. The application of constitutional principles in digital contexts must be carefully considered in light of issues like platform governance, algorithmic bias, and content moderation.</w:t>
      </w:r>
    </w:p>
    <w:p w14:paraId="6BE8EAFA" w14:textId="33B6CB33" w:rsidR="00B11B3C" w:rsidRDefault="00B11B3C" w:rsidP="00B11B3C">
      <w:pPr>
        <w:spacing w:before="240" w:after="240" w:line="360" w:lineRule="auto"/>
        <w:jc w:val="both"/>
        <w:rPr>
          <w:b/>
          <w:bCs/>
          <w:sz w:val="28"/>
          <w:szCs w:val="28"/>
        </w:rPr>
      </w:pPr>
      <w:r w:rsidRPr="00B11B3C">
        <w:rPr>
          <w:b/>
          <w:bCs/>
          <w:sz w:val="28"/>
          <w:szCs w:val="28"/>
        </w:rPr>
        <w:t>Conclusion</w:t>
      </w:r>
    </w:p>
    <w:p w14:paraId="22A5DD76" w14:textId="4A98579C" w:rsidR="00675341" w:rsidRPr="00675341" w:rsidRDefault="00675341" w:rsidP="00675341">
      <w:pPr>
        <w:spacing w:before="240" w:after="240" w:line="360" w:lineRule="auto"/>
        <w:jc w:val="both"/>
      </w:pPr>
      <w:r w:rsidRPr="00675341">
        <w:t>Article 21</w:t>
      </w:r>
      <w:r>
        <w:t>’</w:t>
      </w:r>
      <w:r w:rsidRPr="00675341">
        <w:t>s transformation from a limited procedural protection to a full-fledged charter of human rights is one of the major innovations in Indian constitutional law. It illustrates the judicial ability to evolve constitutional provision to accommodate evolving social needs while ensuring continuity with the underlying principles.</w:t>
      </w:r>
    </w:p>
    <w:p w14:paraId="502DB4EF" w14:textId="77777777" w:rsidR="00675341" w:rsidRPr="00675341" w:rsidRDefault="00675341" w:rsidP="00675341">
      <w:pPr>
        <w:spacing w:before="240" w:after="240" w:line="360" w:lineRule="auto"/>
        <w:jc w:val="both"/>
      </w:pPr>
      <w:r w:rsidRPr="00675341">
        <w:t>Modern challenges from environmental degradation to digital government have posed innovative judicial solutions that challenge conventional constitutional interpretation. Although this change has not been controversy-free, it illustrates the dynamism of constitutional adjudication in meeting the new challenges to human dignity and freedom.</w:t>
      </w:r>
    </w:p>
    <w:p w14:paraId="04831017" w14:textId="77777777" w:rsidR="00675341" w:rsidRPr="00675341" w:rsidRDefault="00675341" w:rsidP="00675341">
      <w:pPr>
        <w:spacing w:before="240" w:after="240" w:line="360" w:lineRule="auto"/>
        <w:jc w:val="both"/>
      </w:pPr>
      <w:r w:rsidRPr="00675341">
        <w:t>The future growth of Article 21 jurisprudence will, in turn, be determined by the degree to which the judiciary can reconcile its role as a protector of individual rights with deference to democratic government, in confronting more sophisticated technological and social challenges. Whether this development will succeed will ultimately be determined, not by the extent of judicial rulings, but by their operative effect on human dignity and social justice.</w:t>
      </w:r>
    </w:p>
    <w:p w14:paraId="3F872ABB" w14:textId="330CFEF9" w:rsidR="00B11B3C" w:rsidRPr="00675341" w:rsidRDefault="00675341" w:rsidP="00675341">
      <w:pPr>
        <w:spacing w:before="240" w:after="240" w:line="360" w:lineRule="auto"/>
        <w:jc w:val="both"/>
      </w:pPr>
      <w:r w:rsidRPr="00675341">
        <w:t>As India struggles on to cope with the demands of high-speed social and technological development, Article 21 will inevitably be at the heart of constitutional debate. The evolution of the provision will need to be watched closely with an eye to both its safety valve and democratic acceptability, so that constitutional rights continue to be real and accessible to all citizens.</w:t>
      </w:r>
    </w:p>
    <w:p w14:paraId="21391E30" w14:textId="77777777" w:rsidR="00A36294" w:rsidRPr="00A36294" w:rsidRDefault="00A36294" w:rsidP="00A36294">
      <w:pPr>
        <w:spacing w:before="240" w:after="240" w:line="360" w:lineRule="auto"/>
        <w:jc w:val="both"/>
        <w:rPr>
          <w:b/>
          <w:bCs/>
          <w:u w:val="single"/>
          <w:lang w:val="en-IN"/>
        </w:rPr>
      </w:pPr>
    </w:p>
    <w:p w14:paraId="019D771C" w14:textId="77777777" w:rsidR="00A36294" w:rsidRPr="00A36294" w:rsidRDefault="00A36294" w:rsidP="008F3BA6">
      <w:pPr>
        <w:spacing w:before="240" w:after="240" w:line="360" w:lineRule="auto"/>
        <w:jc w:val="both"/>
        <w:rPr>
          <w:b/>
          <w:bCs/>
          <w:u w:val="single"/>
        </w:rPr>
      </w:pPr>
    </w:p>
    <w:p w14:paraId="480DA6E6" w14:textId="77777777" w:rsidR="00A36294" w:rsidRPr="00A36294" w:rsidRDefault="00A36294" w:rsidP="008F3BA6">
      <w:pPr>
        <w:spacing w:before="240" w:after="240" w:line="360" w:lineRule="auto"/>
        <w:jc w:val="both"/>
        <w:rPr>
          <w:u w:val="single"/>
        </w:rPr>
      </w:pPr>
    </w:p>
    <w:sectPr w:rsidR="00A36294" w:rsidRPr="00A36294">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A9F9DD" w14:textId="77777777" w:rsidR="002B20F6" w:rsidRDefault="002B20F6" w:rsidP="009A19C0">
      <w:r>
        <w:separator/>
      </w:r>
    </w:p>
  </w:endnote>
  <w:endnote w:type="continuationSeparator" w:id="0">
    <w:p w14:paraId="0EAD2CFD" w14:textId="77777777" w:rsidR="002B20F6" w:rsidRDefault="002B20F6" w:rsidP="009A19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0E374B" w14:textId="77777777" w:rsidR="002B20F6" w:rsidRDefault="002B20F6" w:rsidP="009A19C0">
      <w:r>
        <w:separator/>
      </w:r>
    </w:p>
  </w:footnote>
  <w:footnote w:type="continuationSeparator" w:id="0">
    <w:p w14:paraId="23522F6D" w14:textId="77777777" w:rsidR="002B20F6" w:rsidRDefault="002B20F6" w:rsidP="009A19C0">
      <w:r>
        <w:continuationSeparator/>
      </w:r>
    </w:p>
  </w:footnote>
  <w:footnote w:id="1">
    <w:p w14:paraId="43ECF425" w14:textId="705A2F36" w:rsidR="00D71226" w:rsidRPr="00D71226" w:rsidRDefault="00D71226">
      <w:pPr>
        <w:pStyle w:val="FootnoteText"/>
        <w:rPr>
          <w:lang w:val="en-IN"/>
        </w:rPr>
      </w:pPr>
      <w:r>
        <w:rPr>
          <w:rStyle w:val="FootnoteReference"/>
        </w:rPr>
        <w:footnoteRef/>
      </w:r>
      <w:r>
        <w:t xml:space="preserve"> </w:t>
      </w:r>
      <w:r>
        <w:rPr>
          <w:lang w:val="en-IN"/>
        </w:rPr>
        <w:t xml:space="preserve">The Constitution of India, 1950, </w:t>
      </w:r>
      <w:r w:rsidR="001F07EF">
        <w:rPr>
          <w:lang w:val="en-IN"/>
        </w:rPr>
        <w:t>a</w:t>
      </w:r>
      <w:r>
        <w:rPr>
          <w:lang w:val="en-IN"/>
        </w:rPr>
        <w:t>rt. 21.</w:t>
      </w:r>
    </w:p>
  </w:footnote>
  <w:footnote w:id="2">
    <w:p w14:paraId="6BEA7843" w14:textId="608B6E87" w:rsidR="001F07EF" w:rsidRPr="001F07EF" w:rsidRDefault="001F07EF">
      <w:pPr>
        <w:pStyle w:val="FootnoteText"/>
        <w:rPr>
          <w:lang w:val="en-IN"/>
        </w:rPr>
      </w:pPr>
      <w:r>
        <w:rPr>
          <w:rStyle w:val="FootnoteReference"/>
        </w:rPr>
        <w:footnoteRef/>
      </w:r>
      <w:r>
        <w:t xml:space="preserve"> </w:t>
      </w:r>
      <w:proofErr w:type="spellStart"/>
      <w:r w:rsidRPr="001F07EF">
        <w:rPr>
          <w:i/>
          <w:iCs/>
          <w:lang w:val="en-IN"/>
        </w:rPr>
        <w:t>Kharak</w:t>
      </w:r>
      <w:proofErr w:type="spellEnd"/>
      <w:r w:rsidRPr="001F07EF">
        <w:rPr>
          <w:i/>
          <w:iCs/>
          <w:lang w:val="en-IN"/>
        </w:rPr>
        <w:t xml:space="preserve"> Singh v. State of Uttar Pradesh</w:t>
      </w:r>
      <w:r>
        <w:rPr>
          <w:i/>
          <w:iCs/>
          <w:lang w:val="en-IN"/>
        </w:rPr>
        <w:t xml:space="preserve">, </w:t>
      </w:r>
      <w:r>
        <w:rPr>
          <w:lang w:val="en-IN"/>
        </w:rPr>
        <w:t>AIR 1963 SC 1295</w:t>
      </w:r>
    </w:p>
  </w:footnote>
  <w:footnote w:id="3">
    <w:p w14:paraId="21353236" w14:textId="347B59DC" w:rsidR="00D71226" w:rsidRPr="00D71226" w:rsidRDefault="00D71226">
      <w:pPr>
        <w:pStyle w:val="FootnoteText"/>
        <w:rPr>
          <w:lang w:val="en-IN"/>
        </w:rPr>
      </w:pPr>
      <w:r>
        <w:rPr>
          <w:rStyle w:val="FootnoteReference"/>
        </w:rPr>
        <w:footnoteRef/>
      </w:r>
      <w:r>
        <w:t xml:space="preserve"> </w:t>
      </w:r>
      <w:r w:rsidRPr="00D71226">
        <w:rPr>
          <w:i/>
          <w:iCs/>
        </w:rPr>
        <w:t>Francis Coralie Mullin v. Administrator, Union Territory of Delhi</w:t>
      </w:r>
      <w:r w:rsidRPr="00D71226">
        <w:t>, (1981) 1 SCC 608.</w:t>
      </w:r>
    </w:p>
  </w:footnote>
  <w:footnote w:id="4">
    <w:p w14:paraId="5A90ABB7" w14:textId="02963CB7" w:rsidR="0007178B" w:rsidRPr="0007178B" w:rsidRDefault="0007178B">
      <w:pPr>
        <w:pStyle w:val="FootnoteText"/>
        <w:rPr>
          <w:lang w:val="en-IN"/>
        </w:rPr>
      </w:pPr>
      <w:r>
        <w:rPr>
          <w:rStyle w:val="FootnoteReference"/>
        </w:rPr>
        <w:footnoteRef/>
      </w:r>
      <w:r>
        <w:t xml:space="preserve"> A</w:t>
      </w:r>
      <w:r w:rsidRPr="0007178B">
        <w:rPr>
          <w:i/>
          <w:iCs/>
        </w:rPr>
        <w:t>.K. Gopalan v. State of Madras</w:t>
      </w:r>
      <w:r w:rsidRPr="0007178B">
        <w:t>, AIR 1950 SC 27.</w:t>
      </w:r>
    </w:p>
  </w:footnote>
  <w:footnote w:id="5">
    <w:p w14:paraId="2A6E292A" w14:textId="4B65A95A" w:rsidR="0007178B" w:rsidRPr="0007178B" w:rsidRDefault="0007178B">
      <w:pPr>
        <w:pStyle w:val="FootnoteText"/>
        <w:rPr>
          <w:lang w:val="en-IN"/>
        </w:rPr>
      </w:pPr>
      <w:r>
        <w:rPr>
          <w:rStyle w:val="FootnoteReference"/>
        </w:rPr>
        <w:footnoteRef/>
      </w:r>
      <w:r>
        <w:t xml:space="preserve"> </w:t>
      </w:r>
      <w:r w:rsidRPr="0007178B">
        <w:rPr>
          <w:i/>
          <w:iCs/>
        </w:rPr>
        <w:t>Maneka Gandhi v. Union of India</w:t>
      </w:r>
      <w:r w:rsidRPr="0007178B">
        <w:t>, (1978) 1 SCC 248.</w:t>
      </w:r>
    </w:p>
  </w:footnote>
  <w:footnote w:id="6">
    <w:p w14:paraId="5D155B25" w14:textId="288B5116" w:rsidR="00C71AD8" w:rsidRPr="00C71AD8" w:rsidRDefault="00C71AD8">
      <w:pPr>
        <w:pStyle w:val="FootnoteText"/>
        <w:rPr>
          <w:lang w:val="en-IN"/>
        </w:rPr>
      </w:pPr>
      <w:r>
        <w:rPr>
          <w:rStyle w:val="FootnoteReference"/>
        </w:rPr>
        <w:footnoteRef/>
      </w:r>
      <w:r>
        <w:t xml:space="preserve"> </w:t>
      </w:r>
      <w:r w:rsidRPr="00C71AD8">
        <w:t xml:space="preserve">Upendra Baxi, </w:t>
      </w:r>
      <w:r>
        <w:t>“</w:t>
      </w:r>
      <w:r w:rsidRPr="00C71AD8">
        <w:t>Taking Suffering Seriously: Social Action Litigation in the Supreme Court of India</w:t>
      </w:r>
      <w:r>
        <w:t>”</w:t>
      </w:r>
      <w:r w:rsidRPr="00C71AD8">
        <w:t>, (1985) 4 Third World Legal Studies 107.</w:t>
      </w:r>
    </w:p>
  </w:footnote>
  <w:footnote w:id="7">
    <w:p w14:paraId="539F8469" w14:textId="6056347F" w:rsidR="0050436B" w:rsidRPr="0050436B" w:rsidRDefault="0050436B">
      <w:pPr>
        <w:pStyle w:val="FootnoteText"/>
        <w:rPr>
          <w:lang w:val="en-IN"/>
        </w:rPr>
      </w:pPr>
      <w:r>
        <w:rPr>
          <w:rStyle w:val="FootnoteReference"/>
        </w:rPr>
        <w:footnoteRef/>
      </w:r>
      <w:r>
        <w:t xml:space="preserve"> </w:t>
      </w:r>
      <w:r w:rsidRPr="0050436B">
        <w:rPr>
          <w:i/>
          <w:iCs/>
        </w:rPr>
        <w:t>Charan Lal Sahu v. Union of India</w:t>
      </w:r>
      <w:r w:rsidRPr="0050436B">
        <w:t>, (1990) 1 SCC 613.</w:t>
      </w:r>
    </w:p>
  </w:footnote>
  <w:footnote w:id="8">
    <w:p w14:paraId="21782EE9" w14:textId="2E3C5B17" w:rsidR="0050436B" w:rsidRPr="0050436B" w:rsidRDefault="0050436B">
      <w:pPr>
        <w:pStyle w:val="FootnoteText"/>
        <w:rPr>
          <w:lang w:val="en-IN"/>
        </w:rPr>
      </w:pPr>
      <w:r>
        <w:rPr>
          <w:rStyle w:val="FootnoteReference"/>
        </w:rPr>
        <w:footnoteRef/>
      </w:r>
      <w:r>
        <w:t xml:space="preserve"> S</w:t>
      </w:r>
      <w:r w:rsidRPr="0050436B">
        <w:rPr>
          <w:i/>
          <w:iCs/>
        </w:rPr>
        <w:t>ubhash Kumar v. State of Bihar</w:t>
      </w:r>
      <w:r w:rsidRPr="0050436B">
        <w:t>, (1991) 1 SCC 598.</w:t>
      </w:r>
    </w:p>
  </w:footnote>
  <w:footnote w:id="9">
    <w:p w14:paraId="262C78BD" w14:textId="5DACF69F" w:rsidR="0050436B" w:rsidRPr="0050436B" w:rsidRDefault="0050436B">
      <w:pPr>
        <w:pStyle w:val="FootnoteText"/>
        <w:rPr>
          <w:lang w:val="en-IN"/>
        </w:rPr>
      </w:pPr>
      <w:r>
        <w:rPr>
          <w:rStyle w:val="FootnoteReference"/>
        </w:rPr>
        <w:footnoteRef/>
      </w:r>
      <w:r>
        <w:t xml:space="preserve"> </w:t>
      </w:r>
      <w:r w:rsidRPr="0050436B">
        <w:rPr>
          <w:i/>
          <w:iCs/>
        </w:rPr>
        <w:t>M.C. Mehta v. Union of India</w:t>
      </w:r>
      <w:r w:rsidRPr="0050436B">
        <w:t>, (1987) 4 SCC 463.</w:t>
      </w:r>
    </w:p>
  </w:footnote>
  <w:footnote w:id="10">
    <w:p w14:paraId="09DCE8AB" w14:textId="515CC5E4" w:rsidR="0050436B" w:rsidRPr="0050436B" w:rsidRDefault="0050436B">
      <w:pPr>
        <w:pStyle w:val="FootnoteText"/>
        <w:rPr>
          <w:lang w:val="en-IN"/>
        </w:rPr>
      </w:pPr>
      <w:r>
        <w:rPr>
          <w:rStyle w:val="FootnoteReference"/>
        </w:rPr>
        <w:footnoteRef/>
      </w:r>
      <w:r>
        <w:t xml:space="preserve"> </w:t>
      </w:r>
      <w:r w:rsidRPr="0050436B">
        <w:rPr>
          <w:i/>
          <w:iCs/>
        </w:rPr>
        <w:t>Leghari v. Federation of Pakistan</w:t>
      </w:r>
      <w:r w:rsidRPr="0050436B">
        <w:t>, W.P. No. 25501/2015 (Lahore High Court).</w:t>
      </w:r>
    </w:p>
  </w:footnote>
  <w:footnote w:id="11">
    <w:p w14:paraId="4210F050" w14:textId="7446CE91" w:rsidR="00785586" w:rsidRPr="00785586" w:rsidRDefault="00785586">
      <w:pPr>
        <w:pStyle w:val="FootnoteText"/>
        <w:rPr>
          <w:lang w:val="en-IN"/>
        </w:rPr>
      </w:pPr>
      <w:r>
        <w:rPr>
          <w:rStyle w:val="FootnoteReference"/>
        </w:rPr>
        <w:footnoteRef/>
      </w:r>
      <w:r>
        <w:t xml:space="preserve"> </w:t>
      </w:r>
      <w:r w:rsidRPr="00785586">
        <w:rPr>
          <w:i/>
          <w:iCs/>
        </w:rPr>
        <w:t>Consumer Education and Research Centre v. Union of India</w:t>
      </w:r>
      <w:r w:rsidRPr="00785586">
        <w:t>, (1995) 3 SCC 42.</w:t>
      </w:r>
    </w:p>
  </w:footnote>
  <w:footnote w:id="12">
    <w:p w14:paraId="001236D2" w14:textId="590DFE31" w:rsidR="00785586" w:rsidRPr="00785586" w:rsidRDefault="00785586">
      <w:pPr>
        <w:pStyle w:val="FootnoteText"/>
        <w:rPr>
          <w:lang w:val="en-IN"/>
        </w:rPr>
      </w:pPr>
      <w:r>
        <w:rPr>
          <w:rStyle w:val="FootnoteReference"/>
        </w:rPr>
        <w:footnoteRef/>
      </w:r>
      <w:r>
        <w:t xml:space="preserve"> </w:t>
      </w:r>
      <w:r w:rsidRPr="00785586">
        <w:rPr>
          <w:i/>
          <w:iCs/>
        </w:rPr>
        <w:t>Paschim Banga Khet Mazdoor Samity v. State of West Bengal</w:t>
      </w:r>
      <w:r w:rsidRPr="00785586">
        <w:t>, (1996) 4 SCC 37.</w:t>
      </w:r>
    </w:p>
  </w:footnote>
  <w:footnote w:id="13">
    <w:p w14:paraId="1565341E" w14:textId="14DCE80D" w:rsidR="00785586" w:rsidRPr="00785586" w:rsidRDefault="00785586">
      <w:pPr>
        <w:pStyle w:val="FootnoteText"/>
        <w:rPr>
          <w:lang w:val="en-IN"/>
        </w:rPr>
      </w:pPr>
      <w:r>
        <w:rPr>
          <w:rStyle w:val="FootnoteReference"/>
        </w:rPr>
        <w:footnoteRef/>
      </w:r>
      <w:r>
        <w:t xml:space="preserve"> </w:t>
      </w:r>
      <w:r w:rsidRPr="00785586">
        <w:rPr>
          <w:i/>
          <w:iCs/>
        </w:rPr>
        <w:t>In Re: Distribution of Essential Supplies and Services During Pandemic</w:t>
      </w:r>
      <w:r w:rsidRPr="00785586">
        <w:t>, Suo Motu Writ Petition (Civil) No. 3/2021.</w:t>
      </w:r>
    </w:p>
  </w:footnote>
  <w:footnote w:id="14">
    <w:p w14:paraId="22C1B00D" w14:textId="5BD73CB7" w:rsidR="0079784C" w:rsidRPr="0079784C" w:rsidRDefault="0079784C">
      <w:pPr>
        <w:pStyle w:val="FootnoteText"/>
        <w:rPr>
          <w:lang w:val="en-IN"/>
        </w:rPr>
      </w:pPr>
      <w:r>
        <w:rPr>
          <w:rStyle w:val="FootnoteReference"/>
        </w:rPr>
        <w:footnoteRef/>
      </w:r>
      <w:r>
        <w:t xml:space="preserve"> </w:t>
      </w:r>
      <w:r w:rsidRPr="0079784C">
        <w:rPr>
          <w:i/>
          <w:iCs/>
        </w:rPr>
        <w:t xml:space="preserve">Justice K.S. </w:t>
      </w:r>
      <w:proofErr w:type="spellStart"/>
      <w:r w:rsidRPr="0079784C">
        <w:rPr>
          <w:i/>
          <w:iCs/>
        </w:rPr>
        <w:t>Puttaswamy</w:t>
      </w:r>
      <w:proofErr w:type="spellEnd"/>
      <w:r w:rsidRPr="0079784C">
        <w:rPr>
          <w:i/>
          <w:iCs/>
        </w:rPr>
        <w:t xml:space="preserve"> (Retd.) v. Union of India</w:t>
      </w:r>
      <w:r w:rsidRPr="0079784C">
        <w:t>, (2017) 10 SCC 1.</w:t>
      </w:r>
    </w:p>
  </w:footnote>
  <w:footnote w:id="15">
    <w:p w14:paraId="508425EF" w14:textId="51AF9A4A" w:rsidR="0079784C" w:rsidRPr="0079784C" w:rsidRDefault="0079784C">
      <w:pPr>
        <w:pStyle w:val="FootnoteText"/>
        <w:rPr>
          <w:lang w:val="en-IN"/>
        </w:rPr>
      </w:pPr>
      <w:r>
        <w:rPr>
          <w:rStyle w:val="FootnoteReference"/>
        </w:rPr>
        <w:footnoteRef/>
      </w:r>
      <w:r>
        <w:t xml:space="preserve"> </w:t>
      </w:r>
      <w:r w:rsidRPr="0079784C">
        <w:rPr>
          <w:i/>
          <w:iCs/>
        </w:rPr>
        <w:t>Ibid.</w:t>
      </w:r>
    </w:p>
  </w:footnote>
  <w:footnote w:id="16">
    <w:p w14:paraId="63B9761D" w14:textId="0B87EDAB" w:rsidR="0079784C" w:rsidRPr="0079784C" w:rsidRDefault="0079784C">
      <w:pPr>
        <w:pStyle w:val="FootnoteText"/>
        <w:rPr>
          <w:lang w:val="en-IN"/>
        </w:rPr>
      </w:pPr>
      <w:r>
        <w:rPr>
          <w:rStyle w:val="FootnoteReference"/>
        </w:rPr>
        <w:footnoteRef/>
      </w:r>
      <w:r>
        <w:t xml:space="preserve"> </w:t>
      </w:r>
      <w:r w:rsidRPr="0079784C">
        <w:rPr>
          <w:i/>
          <w:iCs/>
        </w:rPr>
        <w:t xml:space="preserve">Justice K.S. </w:t>
      </w:r>
      <w:proofErr w:type="spellStart"/>
      <w:r w:rsidRPr="0079784C">
        <w:rPr>
          <w:i/>
          <w:iCs/>
        </w:rPr>
        <w:t>Puttaswamy</w:t>
      </w:r>
      <w:proofErr w:type="spellEnd"/>
      <w:r w:rsidRPr="0079784C">
        <w:rPr>
          <w:i/>
          <w:iCs/>
        </w:rPr>
        <w:t xml:space="preserve"> (Retd.) v. Union of India</w:t>
      </w:r>
      <w:r w:rsidRPr="0079784C">
        <w:t>, (2019) 1 SCC 1.</w:t>
      </w:r>
    </w:p>
  </w:footnote>
  <w:footnote w:id="17">
    <w:p w14:paraId="08E8871E" w14:textId="5C7E593F" w:rsidR="00E84691" w:rsidRPr="00E84691" w:rsidRDefault="00E84691">
      <w:pPr>
        <w:pStyle w:val="FootnoteText"/>
        <w:rPr>
          <w:lang w:val="en-IN"/>
        </w:rPr>
      </w:pPr>
      <w:r>
        <w:rPr>
          <w:rStyle w:val="FootnoteReference"/>
        </w:rPr>
        <w:footnoteRef/>
      </w:r>
      <w:r>
        <w:t xml:space="preserve"> </w:t>
      </w:r>
      <w:r w:rsidRPr="00E84691">
        <w:t xml:space="preserve">Gautam Bhatia, </w:t>
      </w:r>
      <w:r>
        <w:t>“</w:t>
      </w:r>
      <w:r w:rsidRPr="00E84691">
        <w:t>Algorithmic Adjudication and the Rule of Law</w:t>
      </w:r>
      <w:r>
        <w:t>”</w:t>
      </w:r>
      <w:r w:rsidRPr="00E84691">
        <w:t>, (2019) 9 Indian Journal of Constitutional Law 114.</w:t>
      </w:r>
    </w:p>
  </w:footnote>
  <w:footnote w:id="18">
    <w:p w14:paraId="2577AE8F" w14:textId="492EED94" w:rsidR="00E84691" w:rsidRPr="00E84691" w:rsidRDefault="00E84691">
      <w:pPr>
        <w:pStyle w:val="FootnoteText"/>
        <w:rPr>
          <w:lang w:val="en-IN"/>
        </w:rPr>
      </w:pPr>
      <w:r>
        <w:rPr>
          <w:rStyle w:val="FootnoteReference"/>
        </w:rPr>
        <w:footnoteRef/>
      </w:r>
      <w:r>
        <w:t xml:space="preserve"> </w:t>
      </w:r>
      <w:r w:rsidRPr="00E84691">
        <w:rPr>
          <w:i/>
          <w:iCs/>
        </w:rPr>
        <w:t>Shreya Singhal v. Union of India</w:t>
      </w:r>
      <w:r w:rsidRPr="00E84691">
        <w:t>, (2015) 5 SCC 1.</w:t>
      </w:r>
    </w:p>
  </w:footnote>
  <w:footnote w:id="19">
    <w:p w14:paraId="1B5671F8" w14:textId="2F7C899E" w:rsidR="00581BE0" w:rsidRPr="00581BE0" w:rsidRDefault="00581BE0">
      <w:pPr>
        <w:pStyle w:val="FootnoteText"/>
        <w:rPr>
          <w:lang w:val="en-IN"/>
        </w:rPr>
      </w:pPr>
      <w:r>
        <w:rPr>
          <w:rStyle w:val="FootnoteReference"/>
        </w:rPr>
        <w:footnoteRef/>
      </w:r>
      <w:r>
        <w:t xml:space="preserve"> </w:t>
      </w:r>
      <w:r w:rsidRPr="00581BE0">
        <w:rPr>
          <w:i/>
          <w:iCs/>
        </w:rPr>
        <w:t>Olga Tellis v. Bombay Municipal Corporation</w:t>
      </w:r>
      <w:r w:rsidRPr="00581BE0">
        <w:t>, (1985) 3 SCC 545.</w:t>
      </w:r>
    </w:p>
  </w:footnote>
  <w:footnote w:id="20">
    <w:p w14:paraId="49FA2145" w14:textId="6A781DE8" w:rsidR="00581BE0" w:rsidRPr="00581BE0" w:rsidRDefault="00581BE0">
      <w:pPr>
        <w:pStyle w:val="FootnoteText"/>
        <w:rPr>
          <w:lang w:val="en-IN"/>
        </w:rPr>
      </w:pPr>
      <w:r>
        <w:rPr>
          <w:rStyle w:val="FootnoteReference"/>
        </w:rPr>
        <w:footnoteRef/>
      </w:r>
      <w:r>
        <w:t xml:space="preserve"> </w:t>
      </w:r>
      <w:r w:rsidRPr="00581BE0">
        <w:rPr>
          <w:i/>
          <w:iCs/>
        </w:rPr>
        <w:t>Harsh Mander v. Union of India</w:t>
      </w:r>
      <w:r w:rsidRPr="00581BE0">
        <w:t>, W.P.(C) 6541/2020.</w:t>
      </w:r>
    </w:p>
  </w:footnote>
  <w:footnote w:id="21">
    <w:p w14:paraId="5B92BCF8" w14:textId="306AE744" w:rsidR="00581BE0" w:rsidRPr="00581BE0" w:rsidRDefault="00581BE0">
      <w:pPr>
        <w:pStyle w:val="FootnoteText"/>
        <w:rPr>
          <w:lang w:val="en-IN"/>
        </w:rPr>
      </w:pPr>
      <w:r>
        <w:rPr>
          <w:rStyle w:val="FootnoteReference"/>
        </w:rPr>
        <w:footnoteRef/>
      </w:r>
      <w:r>
        <w:t xml:space="preserve"> </w:t>
      </w:r>
      <w:r w:rsidRPr="00581BE0">
        <w:rPr>
          <w:i/>
          <w:iCs/>
        </w:rPr>
        <w:t>National Legal Services Authority v. Union of India</w:t>
      </w:r>
      <w:r w:rsidRPr="00581BE0">
        <w:t>, (2014) 5 SCC 438.</w:t>
      </w:r>
    </w:p>
  </w:footnote>
  <w:footnote w:id="22">
    <w:p w14:paraId="3079C0DB" w14:textId="74172E99" w:rsidR="00581BE0" w:rsidRPr="00581BE0" w:rsidRDefault="00581BE0">
      <w:pPr>
        <w:pStyle w:val="FootnoteText"/>
        <w:rPr>
          <w:lang w:val="en-IN"/>
        </w:rPr>
      </w:pPr>
      <w:r>
        <w:rPr>
          <w:rStyle w:val="FootnoteReference"/>
        </w:rPr>
        <w:footnoteRef/>
      </w:r>
      <w:r>
        <w:t xml:space="preserve"> </w:t>
      </w:r>
      <w:r w:rsidRPr="00581BE0">
        <w:rPr>
          <w:i/>
          <w:iCs/>
        </w:rPr>
        <w:t>Navtej Singh Johar v. Union of India</w:t>
      </w:r>
      <w:r w:rsidRPr="00581BE0">
        <w:t>, (2018) 10 SCC 1.</w:t>
      </w:r>
    </w:p>
  </w:footnote>
  <w:footnote w:id="23">
    <w:p w14:paraId="2E296827" w14:textId="55A0FF3F" w:rsidR="00581BE0" w:rsidRPr="00581BE0" w:rsidRDefault="00581BE0">
      <w:pPr>
        <w:pStyle w:val="FootnoteText"/>
        <w:rPr>
          <w:lang w:val="en-IN"/>
        </w:rPr>
      </w:pPr>
      <w:r>
        <w:rPr>
          <w:rStyle w:val="FootnoteReference"/>
        </w:rPr>
        <w:footnoteRef/>
      </w:r>
      <w:r>
        <w:t xml:space="preserve"> </w:t>
      </w:r>
      <w:r w:rsidRPr="00581BE0">
        <w:rPr>
          <w:i/>
          <w:iCs/>
        </w:rPr>
        <w:t>Shafin Jahan v. Asokan K.M.</w:t>
      </w:r>
      <w:r w:rsidRPr="00581BE0">
        <w:t>, (2018) 16 SCC 368.</w:t>
      </w:r>
    </w:p>
  </w:footnote>
  <w:footnote w:id="24">
    <w:p w14:paraId="03E6CEE8" w14:textId="1A2506B5" w:rsidR="008F3BA6" w:rsidRPr="008F3BA6" w:rsidRDefault="008F3BA6">
      <w:pPr>
        <w:pStyle w:val="FootnoteText"/>
        <w:rPr>
          <w:lang w:val="en-IN"/>
        </w:rPr>
      </w:pPr>
      <w:r>
        <w:rPr>
          <w:rStyle w:val="FootnoteReference"/>
        </w:rPr>
        <w:footnoteRef/>
      </w:r>
      <w:r>
        <w:t xml:space="preserve"> </w:t>
      </w:r>
      <w:r w:rsidRPr="008F3BA6">
        <w:rPr>
          <w:i/>
          <w:iCs/>
        </w:rPr>
        <w:t>S.P. Gupta v. Union of India, (1981) Supp SCC 87.</w:t>
      </w:r>
    </w:p>
  </w:footnote>
  <w:footnote w:id="25">
    <w:p w14:paraId="67DD7F04" w14:textId="5A2014C2" w:rsidR="008F3BA6" w:rsidRPr="008F3BA6" w:rsidRDefault="008F3BA6">
      <w:pPr>
        <w:pStyle w:val="FootnoteText"/>
        <w:rPr>
          <w:lang w:val="en-IN"/>
        </w:rPr>
      </w:pPr>
      <w:r>
        <w:rPr>
          <w:rStyle w:val="FootnoteReference"/>
        </w:rPr>
        <w:footnoteRef/>
      </w:r>
      <w:r>
        <w:t xml:space="preserve"> </w:t>
      </w:r>
      <w:proofErr w:type="spellStart"/>
      <w:r w:rsidR="00A36294">
        <w:rPr>
          <w:rStyle w:val="Emphasis"/>
        </w:rPr>
        <w:t>Bandhua</w:t>
      </w:r>
      <w:proofErr w:type="spellEnd"/>
      <w:r w:rsidR="00A36294">
        <w:rPr>
          <w:rStyle w:val="Emphasis"/>
        </w:rPr>
        <w:t xml:space="preserve"> Mukti Morcha v. Union of India</w:t>
      </w:r>
      <w:r w:rsidR="00A36294">
        <w:t>, (1984) 3 SCC 161</w:t>
      </w:r>
      <w:r w:rsidRPr="008F3BA6">
        <w:t>.</w:t>
      </w:r>
    </w:p>
  </w:footnote>
  <w:footnote w:id="26">
    <w:p w14:paraId="2B1A4758" w14:textId="2C5D505E" w:rsidR="008F3BA6" w:rsidRPr="008F3BA6" w:rsidRDefault="008F3BA6">
      <w:pPr>
        <w:pStyle w:val="FootnoteText"/>
        <w:rPr>
          <w:lang w:val="en-IN"/>
        </w:rPr>
      </w:pPr>
      <w:r>
        <w:rPr>
          <w:rStyle w:val="FootnoteReference"/>
        </w:rPr>
        <w:footnoteRef/>
      </w:r>
      <w:r>
        <w:t xml:space="preserve"> </w:t>
      </w:r>
      <w:r w:rsidR="00A36294" w:rsidRPr="00A36294">
        <w:rPr>
          <w:i/>
          <w:iCs/>
        </w:rPr>
        <w:t>M.C. Mehta v. Union of India</w:t>
      </w:r>
      <w:r w:rsidR="00A36294" w:rsidRPr="00A36294">
        <w:t>, (1987) 1 SCC 395.</w:t>
      </w:r>
    </w:p>
  </w:footnote>
  <w:footnote w:id="27">
    <w:p w14:paraId="5C29217A" w14:textId="6AAEB101" w:rsidR="00A36294" w:rsidRPr="00A36294" w:rsidRDefault="00A36294">
      <w:pPr>
        <w:pStyle w:val="FootnoteText"/>
        <w:rPr>
          <w:lang w:val="en-IN"/>
        </w:rPr>
      </w:pPr>
      <w:r>
        <w:rPr>
          <w:rStyle w:val="FootnoteReference"/>
        </w:rPr>
        <w:footnoteRef/>
      </w:r>
      <w:r>
        <w:t xml:space="preserve"> </w:t>
      </w:r>
      <w:r w:rsidRPr="00A36294">
        <w:t>The Protection of Human Rights Act, 1993.</w:t>
      </w:r>
    </w:p>
  </w:footnote>
  <w:footnote w:id="28">
    <w:p w14:paraId="3C305AEC" w14:textId="52F68B54" w:rsidR="00A36294" w:rsidRPr="00A36294" w:rsidRDefault="00A36294">
      <w:pPr>
        <w:pStyle w:val="FootnoteText"/>
        <w:rPr>
          <w:lang w:val="en-IN"/>
        </w:rPr>
      </w:pPr>
      <w:r>
        <w:rPr>
          <w:rStyle w:val="FootnoteReference"/>
        </w:rPr>
        <w:footnoteRef/>
      </w:r>
      <w:r>
        <w:t xml:space="preserve"> </w:t>
      </w:r>
      <w:r w:rsidRPr="00A36294">
        <w:t xml:space="preserve">Soli J. Sorabjee, </w:t>
      </w:r>
      <w:r>
        <w:t>“</w:t>
      </w:r>
      <w:r w:rsidRPr="00A36294">
        <w:t>Protection of Constitutional and Legal Rights and Judicial Activism</w:t>
      </w:r>
      <w:r>
        <w:t>”</w:t>
      </w:r>
      <w:r w:rsidRPr="00A36294">
        <w:t>, (1997) 3 SCC (Journal) 1.</w:t>
      </w:r>
    </w:p>
  </w:footnote>
  <w:footnote w:id="29">
    <w:p w14:paraId="176F4F23" w14:textId="536F5FF8" w:rsidR="00A36294" w:rsidRPr="00A36294" w:rsidRDefault="00A36294">
      <w:pPr>
        <w:pStyle w:val="FootnoteText"/>
        <w:rPr>
          <w:lang w:val="en-IN"/>
        </w:rPr>
      </w:pPr>
      <w:r>
        <w:rPr>
          <w:rStyle w:val="FootnoteReference"/>
        </w:rPr>
        <w:footnoteRef/>
      </w:r>
      <w:r>
        <w:t xml:space="preserve"> </w:t>
      </w:r>
      <w:r w:rsidRPr="00A36294">
        <w:rPr>
          <w:i/>
          <w:iCs/>
        </w:rPr>
        <w:t>State of Punjab v. Davinder Pal Singh Bhullar</w:t>
      </w:r>
      <w:r w:rsidRPr="00A36294">
        <w:t>, (2011) 14 SCC 770.</w:t>
      </w:r>
    </w:p>
  </w:footnote>
  <w:footnote w:id="30">
    <w:p w14:paraId="3D165673" w14:textId="20B4AE6B" w:rsidR="00A36294" w:rsidRPr="00A36294" w:rsidRDefault="00A36294">
      <w:pPr>
        <w:pStyle w:val="FootnoteText"/>
        <w:rPr>
          <w:lang w:val="en-IN"/>
        </w:rPr>
      </w:pPr>
      <w:r>
        <w:rPr>
          <w:rStyle w:val="FootnoteReference"/>
        </w:rPr>
        <w:footnoteRef/>
      </w:r>
      <w:r>
        <w:t xml:space="preserve"> </w:t>
      </w:r>
      <w:r w:rsidRPr="00A36294">
        <w:rPr>
          <w:i/>
          <w:iCs/>
        </w:rPr>
        <w:t>D.K. Basu v. State of West Bengal</w:t>
      </w:r>
      <w:r w:rsidRPr="00A36294">
        <w:t>, (1997) 1 SCC 416.</w:t>
      </w:r>
    </w:p>
  </w:footnote>
  <w:footnote w:id="31">
    <w:p w14:paraId="362A40E1" w14:textId="69003212" w:rsidR="004B344A" w:rsidRPr="004B344A" w:rsidRDefault="004B344A">
      <w:pPr>
        <w:pStyle w:val="FootnoteText"/>
        <w:rPr>
          <w:lang w:val="en-IN"/>
        </w:rPr>
      </w:pPr>
      <w:r>
        <w:rPr>
          <w:rStyle w:val="FootnoteReference"/>
        </w:rPr>
        <w:footnoteRef/>
      </w:r>
      <w:r>
        <w:t xml:space="preserve"> </w:t>
      </w:r>
      <w:r w:rsidRPr="004B344A">
        <w:rPr>
          <w:i/>
          <w:iCs/>
        </w:rPr>
        <w:t>Manoj Narula v. Union of India</w:t>
      </w:r>
      <w:r w:rsidRPr="004B344A">
        <w:t>, (2014) 9 SCC 1.</w:t>
      </w:r>
    </w:p>
  </w:footnote>
  <w:footnote w:id="32">
    <w:p w14:paraId="3F7DCD73" w14:textId="77777777" w:rsidR="00B11B3C" w:rsidRPr="00B11B3C" w:rsidRDefault="00B11B3C" w:rsidP="00B11B3C">
      <w:pPr>
        <w:pStyle w:val="FootnoteText"/>
        <w:rPr>
          <w:lang w:val="en-IN"/>
        </w:rPr>
      </w:pPr>
      <w:r>
        <w:rPr>
          <w:rStyle w:val="FootnoteReference"/>
        </w:rPr>
        <w:footnoteRef/>
      </w:r>
      <w:r>
        <w:t xml:space="preserve"> </w:t>
      </w:r>
      <w:proofErr w:type="spellStart"/>
      <w:r w:rsidRPr="00B11B3C">
        <w:rPr>
          <w:i/>
          <w:iCs/>
          <w:lang w:val="en-IN"/>
        </w:rPr>
        <w:t>Urgenda</w:t>
      </w:r>
      <w:proofErr w:type="spellEnd"/>
      <w:r w:rsidRPr="00B11B3C">
        <w:rPr>
          <w:i/>
          <w:iCs/>
          <w:lang w:val="en-IN"/>
        </w:rPr>
        <w:t xml:space="preserve"> Foundation v. State of the Netherlands</w:t>
      </w:r>
      <w:r w:rsidRPr="00B11B3C">
        <w:rPr>
          <w:lang w:val="en-IN"/>
        </w:rPr>
        <w:t>, ECLI:</w:t>
      </w:r>
      <w:proofErr w:type="gramStart"/>
      <w:r w:rsidRPr="00B11B3C">
        <w:rPr>
          <w:lang w:val="en-IN"/>
        </w:rPr>
        <w:t>NL:HRBDN</w:t>
      </w:r>
      <w:proofErr w:type="gramEnd"/>
      <w:r w:rsidRPr="00B11B3C">
        <w:rPr>
          <w:lang w:val="en-IN"/>
        </w:rPr>
        <w:t>:2015:7196.</w:t>
      </w:r>
    </w:p>
    <w:p w14:paraId="6D6D136C" w14:textId="583F785D" w:rsidR="00B11B3C" w:rsidRPr="00B11B3C" w:rsidRDefault="00B11B3C">
      <w:pPr>
        <w:pStyle w:val="FootnoteText"/>
        <w:rPr>
          <w:lang w:val="en-IN"/>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1472EC"/>
    <w:multiLevelType w:val="multilevel"/>
    <w:tmpl w:val="40BCF6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1391779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7479F"/>
    <w:rsid w:val="000479B2"/>
    <w:rsid w:val="0007178B"/>
    <w:rsid w:val="000A3D74"/>
    <w:rsid w:val="000D2263"/>
    <w:rsid w:val="001F07EF"/>
    <w:rsid w:val="002B20F6"/>
    <w:rsid w:val="003A2327"/>
    <w:rsid w:val="00494CEB"/>
    <w:rsid w:val="004B344A"/>
    <w:rsid w:val="0050436B"/>
    <w:rsid w:val="00581BE0"/>
    <w:rsid w:val="0067479F"/>
    <w:rsid w:val="00675341"/>
    <w:rsid w:val="00785586"/>
    <w:rsid w:val="0079784C"/>
    <w:rsid w:val="008F3BA6"/>
    <w:rsid w:val="009A19C0"/>
    <w:rsid w:val="00A23E14"/>
    <w:rsid w:val="00A36294"/>
    <w:rsid w:val="00A77B8C"/>
    <w:rsid w:val="00A92062"/>
    <w:rsid w:val="00B11B3C"/>
    <w:rsid w:val="00C71AD8"/>
    <w:rsid w:val="00D2368C"/>
    <w:rsid w:val="00D71226"/>
    <w:rsid w:val="00E84691"/>
    <w:rsid w:val="00EC672A"/>
    <w:rsid w:val="00FA107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9F5918"/>
  <w15:docId w15:val="{A71C14FA-B67D-4BAA-9A40-BACAEA3403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outlineLvl w:val="0"/>
    </w:pPr>
    <w:rPr>
      <w:b/>
      <w:bCs/>
      <w:color w:val="2F5496"/>
      <w:kern w:val="36"/>
      <w:sz w:val="48"/>
      <w:szCs w:val="48"/>
    </w:rPr>
  </w:style>
  <w:style w:type="paragraph" w:styleId="Heading2">
    <w:name w:val="heading 2"/>
    <w:basedOn w:val="Normal"/>
    <w:next w:val="Normal"/>
    <w:link w:val="Heading2Char"/>
    <w:uiPriority w:val="9"/>
    <w:qFormat/>
    <w:rsid w:val="00506D7A"/>
    <w:pPr>
      <w:keepNext/>
      <w:keepLines/>
      <w:spacing w:before="40"/>
      <w:outlineLvl w:val="1"/>
    </w:pPr>
    <w:rPr>
      <w:b/>
      <w:bCs/>
      <w:color w:val="2F5496"/>
      <w:sz w:val="36"/>
      <w:szCs w:val="36"/>
    </w:rPr>
  </w:style>
  <w:style w:type="paragraph" w:styleId="Heading3">
    <w:name w:val="heading 3"/>
    <w:basedOn w:val="Normal"/>
    <w:next w:val="Normal"/>
    <w:link w:val="Heading3Char"/>
    <w:uiPriority w:val="9"/>
    <w:qFormat/>
    <w:rsid w:val="00506D7A"/>
    <w:pPr>
      <w:keepNext/>
      <w:keepLines/>
      <w:spacing w:before="40"/>
      <w:outlineLvl w:val="2"/>
    </w:pPr>
    <w:rPr>
      <w:b/>
      <w:bCs/>
      <w:color w:val="1F3763"/>
      <w:sz w:val="28"/>
      <w:szCs w:val="28"/>
    </w:rPr>
  </w:style>
  <w:style w:type="paragraph" w:styleId="Heading4">
    <w:name w:val="heading 4"/>
    <w:basedOn w:val="Normal"/>
    <w:next w:val="Normal"/>
    <w:link w:val="Heading4Char"/>
    <w:uiPriority w:val="9"/>
    <w:qFormat/>
    <w:rsid w:val="00506D7A"/>
    <w:pPr>
      <w:keepNext/>
      <w:keepLines/>
      <w:spacing w:before="40"/>
      <w:outlineLvl w:val="3"/>
    </w:pPr>
    <w:rPr>
      <w:b/>
      <w:bCs/>
      <w:iCs/>
      <w:color w:val="2F5496"/>
    </w:rPr>
  </w:style>
  <w:style w:type="paragraph" w:styleId="Heading5">
    <w:name w:val="heading 5"/>
    <w:basedOn w:val="Normal"/>
    <w:next w:val="Normal"/>
    <w:link w:val="Heading5Char"/>
    <w:uiPriority w:val="9"/>
    <w:qFormat/>
    <w:rsid w:val="00506D7A"/>
    <w:pPr>
      <w:keepNext/>
      <w:keepLines/>
      <w:spacing w:before="40"/>
      <w:outlineLvl w:val="4"/>
    </w:pPr>
    <w:rPr>
      <w:b/>
      <w:bCs/>
      <w:color w:val="2F5496"/>
      <w:sz w:val="20"/>
      <w:szCs w:val="20"/>
    </w:rPr>
  </w:style>
  <w:style w:type="paragraph" w:styleId="Heading6">
    <w:name w:val="heading 6"/>
    <w:basedOn w:val="Normal"/>
    <w:next w:val="Normal"/>
    <w:link w:val="Heading6Char"/>
    <w:uiPriority w:val="9"/>
    <w:qFormat/>
    <w:rsid w:val="00506D7A"/>
    <w:pPr>
      <w:keepNext/>
      <w:keepLines/>
      <w:spacing w:before="40"/>
      <w:outlineLvl w:val="5"/>
    </w:pPr>
    <w:rPr>
      <w:b/>
      <w:bCs/>
      <w:color w:val="1F3763"/>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rPr>
  </w:style>
  <w:style w:type="paragraph" w:styleId="FootnoteText">
    <w:name w:val="footnote text"/>
    <w:basedOn w:val="Normal"/>
    <w:link w:val="FootnoteTextChar"/>
    <w:uiPriority w:val="99"/>
    <w:semiHidden/>
    <w:unhideWhenUsed/>
    <w:rsid w:val="009A19C0"/>
    <w:rPr>
      <w:sz w:val="20"/>
      <w:szCs w:val="20"/>
    </w:rPr>
  </w:style>
  <w:style w:type="character" w:customStyle="1" w:styleId="FootnoteTextChar">
    <w:name w:val="Footnote Text Char"/>
    <w:basedOn w:val="DefaultParagraphFont"/>
    <w:link w:val="FootnoteText"/>
    <w:uiPriority w:val="99"/>
    <w:semiHidden/>
    <w:rsid w:val="009A19C0"/>
  </w:style>
  <w:style w:type="character" w:styleId="FootnoteReference">
    <w:name w:val="footnote reference"/>
    <w:basedOn w:val="DefaultParagraphFont"/>
    <w:uiPriority w:val="99"/>
    <w:semiHidden/>
    <w:unhideWhenUsed/>
    <w:rsid w:val="009A19C0"/>
    <w:rPr>
      <w:vertAlign w:val="superscript"/>
    </w:rPr>
  </w:style>
  <w:style w:type="character" w:styleId="Emphasis">
    <w:name w:val="Emphasis"/>
    <w:basedOn w:val="DefaultParagraphFont"/>
    <w:uiPriority w:val="20"/>
    <w:qFormat/>
    <w:rsid w:val="00A36294"/>
    <w:rPr>
      <w:i/>
      <w:iCs/>
    </w:rPr>
  </w:style>
  <w:style w:type="paragraph" w:styleId="EndnoteText">
    <w:name w:val="endnote text"/>
    <w:basedOn w:val="Normal"/>
    <w:link w:val="EndnoteTextChar"/>
    <w:uiPriority w:val="99"/>
    <w:semiHidden/>
    <w:unhideWhenUsed/>
    <w:rsid w:val="000A3D74"/>
    <w:rPr>
      <w:sz w:val="20"/>
      <w:szCs w:val="20"/>
    </w:rPr>
  </w:style>
  <w:style w:type="character" w:customStyle="1" w:styleId="EndnoteTextChar">
    <w:name w:val="Endnote Text Char"/>
    <w:basedOn w:val="DefaultParagraphFont"/>
    <w:link w:val="EndnoteText"/>
    <w:uiPriority w:val="99"/>
    <w:semiHidden/>
    <w:rsid w:val="000A3D74"/>
  </w:style>
  <w:style w:type="character" w:styleId="EndnoteReference">
    <w:name w:val="endnote reference"/>
    <w:basedOn w:val="DefaultParagraphFont"/>
    <w:uiPriority w:val="99"/>
    <w:semiHidden/>
    <w:unhideWhenUsed/>
    <w:rsid w:val="000A3D7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84349">
      <w:bodyDiv w:val="1"/>
      <w:marLeft w:val="0"/>
      <w:marRight w:val="0"/>
      <w:marTop w:val="0"/>
      <w:marBottom w:val="0"/>
      <w:divBdr>
        <w:top w:val="none" w:sz="0" w:space="0" w:color="auto"/>
        <w:left w:val="none" w:sz="0" w:space="0" w:color="auto"/>
        <w:bottom w:val="none" w:sz="0" w:space="0" w:color="auto"/>
        <w:right w:val="none" w:sz="0" w:space="0" w:color="auto"/>
      </w:divBdr>
    </w:div>
    <w:div w:id="191260902">
      <w:bodyDiv w:val="1"/>
      <w:marLeft w:val="0"/>
      <w:marRight w:val="0"/>
      <w:marTop w:val="0"/>
      <w:marBottom w:val="0"/>
      <w:divBdr>
        <w:top w:val="none" w:sz="0" w:space="0" w:color="auto"/>
        <w:left w:val="none" w:sz="0" w:space="0" w:color="auto"/>
        <w:bottom w:val="none" w:sz="0" w:space="0" w:color="auto"/>
        <w:right w:val="none" w:sz="0" w:space="0" w:color="auto"/>
      </w:divBdr>
    </w:div>
    <w:div w:id="223876915">
      <w:bodyDiv w:val="1"/>
      <w:marLeft w:val="0"/>
      <w:marRight w:val="0"/>
      <w:marTop w:val="0"/>
      <w:marBottom w:val="0"/>
      <w:divBdr>
        <w:top w:val="none" w:sz="0" w:space="0" w:color="auto"/>
        <w:left w:val="none" w:sz="0" w:space="0" w:color="auto"/>
        <w:bottom w:val="none" w:sz="0" w:space="0" w:color="auto"/>
        <w:right w:val="none" w:sz="0" w:space="0" w:color="auto"/>
      </w:divBdr>
    </w:div>
    <w:div w:id="295255157">
      <w:bodyDiv w:val="1"/>
      <w:marLeft w:val="0"/>
      <w:marRight w:val="0"/>
      <w:marTop w:val="0"/>
      <w:marBottom w:val="0"/>
      <w:divBdr>
        <w:top w:val="none" w:sz="0" w:space="0" w:color="auto"/>
        <w:left w:val="none" w:sz="0" w:space="0" w:color="auto"/>
        <w:bottom w:val="none" w:sz="0" w:space="0" w:color="auto"/>
        <w:right w:val="none" w:sz="0" w:space="0" w:color="auto"/>
      </w:divBdr>
    </w:div>
    <w:div w:id="724836599">
      <w:bodyDiv w:val="1"/>
      <w:marLeft w:val="0"/>
      <w:marRight w:val="0"/>
      <w:marTop w:val="0"/>
      <w:marBottom w:val="0"/>
      <w:divBdr>
        <w:top w:val="none" w:sz="0" w:space="0" w:color="auto"/>
        <w:left w:val="none" w:sz="0" w:space="0" w:color="auto"/>
        <w:bottom w:val="none" w:sz="0" w:space="0" w:color="auto"/>
        <w:right w:val="none" w:sz="0" w:space="0" w:color="auto"/>
      </w:divBdr>
    </w:div>
    <w:div w:id="1006249593">
      <w:bodyDiv w:val="1"/>
      <w:marLeft w:val="0"/>
      <w:marRight w:val="0"/>
      <w:marTop w:val="0"/>
      <w:marBottom w:val="0"/>
      <w:divBdr>
        <w:top w:val="none" w:sz="0" w:space="0" w:color="auto"/>
        <w:left w:val="none" w:sz="0" w:space="0" w:color="auto"/>
        <w:bottom w:val="none" w:sz="0" w:space="0" w:color="auto"/>
        <w:right w:val="none" w:sz="0" w:space="0" w:color="auto"/>
      </w:divBdr>
      <w:divsChild>
        <w:div w:id="1470854454">
          <w:marLeft w:val="0"/>
          <w:marRight w:val="0"/>
          <w:marTop w:val="0"/>
          <w:marBottom w:val="0"/>
          <w:divBdr>
            <w:top w:val="none" w:sz="0" w:space="0" w:color="auto"/>
            <w:left w:val="none" w:sz="0" w:space="0" w:color="auto"/>
            <w:bottom w:val="none" w:sz="0" w:space="0" w:color="auto"/>
            <w:right w:val="none" w:sz="0" w:space="0" w:color="auto"/>
          </w:divBdr>
          <w:divsChild>
            <w:div w:id="2096660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6493331">
      <w:bodyDiv w:val="1"/>
      <w:marLeft w:val="0"/>
      <w:marRight w:val="0"/>
      <w:marTop w:val="0"/>
      <w:marBottom w:val="0"/>
      <w:divBdr>
        <w:top w:val="none" w:sz="0" w:space="0" w:color="auto"/>
        <w:left w:val="none" w:sz="0" w:space="0" w:color="auto"/>
        <w:bottom w:val="none" w:sz="0" w:space="0" w:color="auto"/>
        <w:right w:val="none" w:sz="0" w:space="0" w:color="auto"/>
      </w:divBdr>
    </w:div>
    <w:div w:id="1199321615">
      <w:bodyDiv w:val="1"/>
      <w:marLeft w:val="0"/>
      <w:marRight w:val="0"/>
      <w:marTop w:val="0"/>
      <w:marBottom w:val="0"/>
      <w:divBdr>
        <w:top w:val="none" w:sz="0" w:space="0" w:color="auto"/>
        <w:left w:val="none" w:sz="0" w:space="0" w:color="auto"/>
        <w:bottom w:val="none" w:sz="0" w:space="0" w:color="auto"/>
        <w:right w:val="none" w:sz="0" w:space="0" w:color="auto"/>
      </w:divBdr>
    </w:div>
    <w:div w:id="1231504301">
      <w:bodyDiv w:val="1"/>
      <w:marLeft w:val="0"/>
      <w:marRight w:val="0"/>
      <w:marTop w:val="0"/>
      <w:marBottom w:val="0"/>
      <w:divBdr>
        <w:top w:val="none" w:sz="0" w:space="0" w:color="auto"/>
        <w:left w:val="none" w:sz="0" w:space="0" w:color="auto"/>
        <w:bottom w:val="none" w:sz="0" w:space="0" w:color="auto"/>
        <w:right w:val="none" w:sz="0" w:space="0" w:color="auto"/>
      </w:divBdr>
    </w:div>
    <w:div w:id="1319186514">
      <w:bodyDiv w:val="1"/>
      <w:marLeft w:val="0"/>
      <w:marRight w:val="0"/>
      <w:marTop w:val="0"/>
      <w:marBottom w:val="0"/>
      <w:divBdr>
        <w:top w:val="none" w:sz="0" w:space="0" w:color="auto"/>
        <w:left w:val="none" w:sz="0" w:space="0" w:color="auto"/>
        <w:bottom w:val="none" w:sz="0" w:space="0" w:color="auto"/>
        <w:right w:val="none" w:sz="0" w:space="0" w:color="auto"/>
      </w:divBdr>
    </w:div>
    <w:div w:id="1693461195">
      <w:bodyDiv w:val="1"/>
      <w:marLeft w:val="0"/>
      <w:marRight w:val="0"/>
      <w:marTop w:val="0"/>
      <w:marBottom w:val="0"/>
      <w:divBdr>
        <w:top w:val="none" w:sz="0" w:space="0" w:color="auto"/>
        <w:left w:val="none" w:sz="0" w:space="0" w:color="auto"/>
        <w:bottom w:val="none" w:sz="0" w:space="0" w:color="auto"/>
        <w:right w:val="none" w:sz="0" w:space="0" w:color="auto"/>
      </w:divBdr>
    </w:div>
    <w:div w:id="1866820919">
      <w:bodyDiv w:val="1"/>
      <w:marLeft w:val="0"/>
      <w:marRight w:val="0"/>
      <w:marTop w:val="0"/>
      <w:marBottom w:val="0"/>
      <w:divBdr>
        <w:top w:val="none" w:sz="0" w:space="0" w:color="auto"/>
        <w:left w:val="none" w:sz="0" w:space="0" w:color="auto"/>
        <w:bottom w:val="none" w:sz="0" w:space="0" w:color="auto"/>
        <w:right w:val="none" w:sz="0" w:space="0" w:color="auto"/>
      </w:divBdr>
    </w:div>
    <w:div w:id="2012637171">
      <w:bodyDiv w:val="1"/>
      <w:marLeft w:val="0"/>
      <w:marRight w:val="0"/>
      <w:marTop w:val="0"/>
      <w:marBottom w:val="0"/>
      <w:divBdr>
        <w:top w:val="none" w:sz="0" w:space="0" w:color="auto"/>
        <w:left w:val="none" w:sz="0" w:space="0" w:color="auto"/>
        <w:bottom w:val="none" w:sz="0" w:space="0" w:color="auto"/>
        <w:right w:val="none" w:sz="0" w:space="0" w:color="auto"/>
      </w:divBdr>
      <w:divsChild>
        <w:div w:id="1913464848">
          <w:marLeft w:val="0"/>
          <w:marRight w:val="0"/>
          <w:marTop w:val="0"/>
          <w:marBottom w:val="0"/>
          <w:divBdr>
            <w:top w:val="none" w:sz="0" w:space="0" w:color="auto"/>
            <w:left w:val="none" w:sz="0" w:space="0" w:color="auto"/>
            <w:bottom w:val="none" w:sz="0" w:space="0" w:color="auto"/>
            <w:right w:val="none" w:sz="0" w:space="0" w:color="auto"/>
          </w:divBdr>
          <w:divsChild>
            <w:div w:id="1435058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08254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6F0CD4-3B4C-4383-A058-1490DFCF2C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1427</TotalTime>
  <Pages>8</Pages>
  <Words>2142</Words>
  <Characters>12212</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Devanshi Pathak</dc:creator>
  <cp:keywords/>
  <dc:description/>
  <cp:lastModifiedBy>Devanshi Pathak</cp:lastModifiedBy>
  <cp:revision>8</cp:revision>
  <dcterms:created xsi:type="dcterms:W3CDTF">2025-06-23T17:37:00Z</dcterms:created>
  <dcterms:modified xsi:type="dcterms:W3CDTF">2025-06-25T05:39:00Z</dcterms:modified>
</cp:coreProperties>
</file>