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BDECA" w14:textId="599B1949" w:rsidR="00617629" w:rsidRDefault="00617629" w:rsidP="00617629">
      <w:pPr>
        <w:spacing w:line="360" w:lineRule="auto"/>
        <w:jc w:val="center"/>
        <w:rPr>
          <w:rFonts w:ascii="Times New Roman" w:hAnsi="Times New Roman" w:cs="Times New Roman"/>
          <w:b/>
          <w:bCs/>
          <w:u w:val="single"/>
          <w:lang w:val="en-US"/>
        </w:rPr>
      </w:pPr>
      <w:r w:rsidRPr="00617629">
        <w:rPr>
          <w:rFonts w:ascii="Times New Roman" w:hAnsi="Times New Roman" w:cs="Times New Roman"/>
          <w:b/>
          <w:bCs/>
          <w:u w:val="single"/>
          <w:lang w:val="en-US"/>
        </w:rPr>
        <w:t>Balancing Brand Identity and Competition: Aesthetic Functionality in Fashion Trademark Law</w:t>
      </w:r>
    </w:p>
    <w:p w14:paraId="3257E313" w14:textId="77777777" w:rsidR="00617629" w:rsidRPr="00617629" w:rsidRDefault="00617629" w:rsidP="00617629">
      <w:pPr>
        <w:spacing w:line="360" w:lineRule="auto"/>
        <w:jc w:val="center"/>
        <w:rPr>
          <w:rFonts w:ascii="Times New Roman" w:hAnsi="Times New Roman" w:cs="Times New Roman"/>
          <w:b/>
          <w:bCs/>
          <w:u w:val="single"/>
          <w:lang w:val="en-US"/>
        </w:rPr>
      </w:pPr>
    </w:p>
    <w:p w14:paraId="223B24E2" w14:textId="25C26777" w:rsidR="00AD205B" w:rsidRPr="0022284C" w:rsidRDefault="00617629" w:rsidP="0022284C">
      <w:pPr>
        <w:pStyle w:val="ListParagraph"/>
        <w:numPr>
          <w:ilvl w:val="0"/>
          <w:numId w:val="1"/>
        </w:numPr>
        <w:spacing w:line="360" w:lineRule="auto"/>
        <w:rPr>
          <w:rFonts w:ascii="Times New Roman" w:hAnsi="Times New Roman" w:cs="Times New Roman"/>
          <w:b/>
          <w:bCs/>
          <w:lang w:val="en-US"/>
        </w:rPr>
      </w:pPr>
      <w:r w:rsidRPr="0022284C">
        <w:rPr>
          <w:rFonts w:ascii="Times New Roman" w:hAnsi="Times New Roman" w:cs="Times New Roman"/>
          <w:b/>
          <w:bCs/>
          <w:lang w:val="en-US"/>
        </w:rPr>
        <w:t>Introduction</w:t>
      </w:r>
    </w:p>
    <w:p w14:paraId="6B95C526" w14:textId="2B1FFC44" w:rsidR="00A960DB" w:rsidRDefault="00A960DB" w:rsidP="003359B1">
      <w:pPr>
        <w:spacing w:line="360" w:lineRule="auto"/>
        <w:jc w:val="both"/>
        <w:rPr>
          <w:rFonts w:ascii="Times New Roman" w:hAnsi="Times New Roman" w:cs="Times New Roman"/>
          <w:lang w:val="en-US"/>
        </w:rPr>
      </w:pPr>
      <w:r w:rsidRPr="003359B1">
        <w:rPr>
          <w:rFonts w:ascii="Times New Roman" w:hAnsi="Times New Roman" w:cs="Times New Roman"/>
          <w:lang w:val="en-US"/>
        </w:rPr>
        <w:t xml:space="preserve">Every business aims to </w:t>
      </w:r>
      <w:proofErr w:type="spellStart"/>
      <w:r w:rsidRPr="003359B1">
        <w:rPr>
          <w:rFonts w:ascii="Times New Roman" w:hAnsi="Times New Roman" w:cs="Times New Roman"/>
          <w:lang w:val="en-US"/>
        </w:rPr>
        <w:t>mould</w:t>
      </w:r>
      <w:proofErr w:type="spellEnd"/>
      <w:r w:rsidRPr="003359B1">
        <w:rPr>
          <w:rFonts w:ascii="Times New Roman" w:hAnsi="Times New Roman" w:cs="Times New Roman"/>
          <w:lang w:val="en-US"/>
        </w:rPr>
        <w:t xml:space="preserve"> itself into one that can make a mark for itself in the world and appeal to consumers, incorporating numerous business strategies to secure its position in the business world. One of the most prominent methods used by businesses to make sure their products are able to establish a place in the minds and hearts of the masses is by attributing a certain characteristic to the product that sets it apart from others of its kind. In legal parlance, ‘trademark’ is the term given to those certain </w:t>
      </w:r>
      <w:r w:rsidR="00323F12">
        <w:rPr>
          <w:rFonts w:ascii="Times New Roman" w:hAnsi="Times New Roman" w:cs="Times New Roman"/>
          <w:lang w:val="en-US"/>
        </w:rPr>
        <w:t>marks/designs</w:t>
      </w:r>
      <w:r w:rsidRPr="003359B1">
        <w:rPr>
          <w:rFonts w:ascii="Times New Roman" w:hAnsi="Times New Roman" w:cs="Times New Roman"/>
          <w:lang w:val="en-US"/>
        </w:rPr>
        <w:t xml:space="preserve"> of a product that make it unique and novel; an extremely prominent example of understanding trademark is that of Christian Louboutin. A luxury couture brand exclusively known for its footwear, Christian </w:t>
      </w:r>
      <w:r w:rsidR="00FE74CE" w:rsidRPr="003359B1">
        <w:rPr>
          <w:rFonts w:ascii="Times New Roman" w:hAnsi="Times New Roman" w:cs="Times New Roman"/>
          <w:lang w:val="en-US"/>
        </w:rPr>
        <w:t>Louboutin's heels and shoes derive their popularity from their distinctive</w:t>
      </w:r>
      <w:r w:rsidRPr="003359B1">
        <w:rPr>
          <w:rFonts w:ascii="Times New Roman" w:hAnsi="Times New Roman" w:cs="Times New Roman"/>
          <w:lang w:val="en-US"/>
        </w:rPr>
        <w:t xml:space="preserve"> red soles. Thus, Louboutin as a brand made use of the concept of red soles as its trademark in its attempt to set </w:t>
      </w:r>
      <w:r w:rsidR="0041361B">
        <w:rPr>
          <w:rFonts w:ascii="Times New Roman" w:hAnsi="Times New Roman" w:cs="Times New Roman"/>
          <w:lang w:val="en-US"/>
        </w:rPr>
        <w:t>itself</w:t>
      </w:r>
      <w:r w:rsidRPr="003359B1">
        <w:rPr>
          <w:rFonts w:ascii="Times New Roman" w:hAnsi="Times New Roman" w:cs="Times New Roman"/>
          <w:lang w:val="en-US"/>
        </w:rPr>
        <w:t xml:space="preserve"> apart from other luxury fashion brands. Not only did it set the brand apart, </w:t>
      </w:r>
      <w:r w:rsidR="00FE74CE" w:rsidRPr="003359B1">
        <w:rPr>
          <w:rFonts w:ascii="Times New Roman" w:hAnsi="Times New Roman" w:cs="Times New Roman"/>
          <w:lang w:val="en-US"/>
        </w:rPr>
        <w:t>but it also</w:t>
      </w:r>
      <w:r w:rsidRPr="003359B1">
        <w:rPr>
          <w:rFonts w:ascii="Times New Roman" w:hAnsi="Times New Roman" w:cs="Times New Roman"/>
          <w:lang w:val="en-US"/>
        </w:rPr>
        <w:t xml:space="preserve"> became a very prominent reason for </w:t>
      </w:r>
      <w:r w:rsidR="0041361B">
        <w:rPr>
          <w:rFonts w:ascii="Times New Roman" w:hAnsi="Times New Roman" w:cs="Times New Roman"/>
          <w:lang w:val="en-US"/>
        </w:rPr>
        <w:t>its</w:t>
      </w:r>
      <w:r w:rsidRPr="003359B1">
        <w:rPr>
          <w:rFonts w:ascii="Times New Roman" w:hAnsi="Times New Roman" w:cs="Times New Roman"/>
          <w:lang w:val="en-US"/>
        </w:rPr>
        <w:t xml:space="preserve"> popularity.</w:t>
      </w:r>
    </w:p>
    <w:p w14:paraId="596303D7" w14:textId="77777777" w:rsidR="00617629" w:rsidRPr="003359B1" w:rsidRDefault="00617629" w:rsidP="003359B1">
      <w:pPr>
        <w:spacing w:line="360" w:lineRule="auto"/>
        <w:jc w:val="both"/>
        <w:rPr>
          <w:rFonts w:ascii="Times New Roman" w:hAnsi="Times New Roman" w:cs="Times New Roman"/>
          <w:lang w:val="en-US"/>
        </w:rPr>
      </w:pPr>
    </w:p>
    <w:p w14:paraId="5F958D36" w14:textId="20023406" w:rsidR="00AD205B" w:rsidRPr="0022284C" w:rsidRDefault="00617629" w:rsidP="0022284C">
      <w:pPr>
        <w:pStyle w:val="ListParagraph"/>
        <w:numPr>
          <w:ilvl w:val="0"/>
          <w:numId w:val="1"/>
        </w:numPr>
        <w:spacing w:line="360" w:lineRule="auto"/>
        <w:rPr>
          <w:rFonts w:ascii="Times New Roman" w:hAnsi="Times New Roman" w:cs="Times New Roman"/>
          <w:b/>
          <w:bCs/>
          <w:lang w:val="en-US"/>
        </w:rPr>
      </w:pPr>
      <w:r w:rsidRPr="0022284C">
        <w:rPr>
          <w:rFonts w:ascii="Times New Roman" w:hAnsi="Times New Roman" w:cs="Times New Roman"/>
          <w:b/>
          <w:bCs/>
          <w:lang w:val="en-US"/>
        </w:rPr>
        <w:t xml:space="preserve">The Essentials of </w:t>
      </w:r>
      <w:r w:rsidR="002D3188" w:rsidRPr="0022284C">
        <w:rPr>
          <w:rFonts w:ascii="Times New Roman" w:hAnsi="Times New Roman" w:cs="Times New Roman"/>
          <w:b/>
          <w:bCs/>
          <w:lang w:val="en-US"/>
        </w:rPr>
        <w:t>a</w:t>
      </w:r>
      <w:r w:rsidRPr="0022284C">
        <w:rPr>
          <w:rFonts w:ascii="Times New Roman" w:hAnsi="Times New Roman" w:cs="Times New Roman"/>
          <w:b/>
          <w:bCs/>
          <w:lang w:val="en-US"/>
        </w:rPr>
        <w:t xml:space="preserve"> Trademark</w:t>
      </w:r>
    </w:p>
    <w:p w14:paraId="4D9337AE" w14:textId="57944291" w:rsidR="00AD205B" w:rsidRDefault="00356F66" w:rsidP="003359B1">
      <w:pPr>
        <w:spacing w:line="360" w:lineRule="auto"/>
        <w:jc w:val="both"/>
        <w:rPr>
          <w:rFonts w:ascii="Times New Roman" w:hAnsi="Times New Roman" w:cs="Times New Roman"/>
          <w:lang w:val="en-US"/>
        </w:rPr>
      </w:pPr>
      <w:r w:rsidRPr="003359B1">
        <w:rPr>
          <w:rFonts w:ascii="Times New Roman" w:hAnsi="Times New Roman" w:cs="Times New Roman"/>
          <w:lang w:val="en-US"/>
        </w:rPr>
        <w:t xml:space="preserve">As </w:t>
      </w:r>
      <w:r w:rsidR="00F34B3F">
        <w:rPr>
          <w:rFonts w:ascii="Times New Roman" w:hAnsi="Times New Roman" w:cs="Times New Roman"/>
          <w:lang w:val="en-US"/>
        </w:rPr>
        <w:t>society makes its way through modernization</w:t>
      </w:r>
      <w:r w:rsidRPr="003359B1">
        <w:rPr>
          <w:rFonts w:ascii="Times New Roman" w:hAnsi="Times New Roman" w:cs="Times New Roman"/>
          <w:lang w:val="en-US"/>
        </w:rPr>
        <w:t xml:space="preserve">, the fight for trademarks has made its way into the fashion industry. No longer confined to mere logos of fashion brands, the industry now sees a rise in the demand for trademarking over aspects such as </w:t>
      </w:r>
      <w:proofErr w:type="spellStart"/>
      <w:r w:rsidRPr="003359B1">
        <w:rPr>
          <w:rFonts w:ascii="Times New Roman" w:hAnsi="Times New Roman" w:cs="Times New Roman"/>
          <w:lang w:val="en-US"/>
        </w:rPr>
        <w:t>colo</w:t>
      </w:r>
      <w:r w:rsidR="00F82F98">
        <w:rPr>
          <w:rFonts w:ascii="Times New Roman" w:hAnsi="Times New Roman" w:cs="Times New Roman"/>
          <w:lang w:val="en-US"/>
        </w:rPr>
        <w:t>u</w:t>
      </w:r>
      <w:r w:rsidRPr="003359B1">
        <w:rPr>
          <w:rFonts w:ascii="Times New Roman" w:hAnsi="Times New Roman" w:cs="Times New Roman"/>
          <w:lang w:val="en-US"/>
        </w:rPr>
        <w:t>rs</w:t>
      </w:r>
      <w:proofErr w:type="spellEnd"/>
      <w:r w:rsidRPr="003359B1">
        <w:rPr>
          <w:rFonts w:ascii="Times New Roman" w:hAnsi="Times New Roman" w:cs="Times New Roman"/>
          <w:lang w:val="en-US"/>
        </w:rPr>
        <w:t xml:space="preserve">, in a claim that they are signature to the brand. Against such a backdrop, the </w:t>
      </w:r>
      <w:r w:rsidR="001E52F5" w:rsidRPr="003359B1">
        <w:rPr>
          <w:rFonts w:ascii="Times New Roman" w:hAnsi="Times New Roman" w:cs="Times New Roman"/>
          <w:lang w:val="en-US"/>
        </w:rPr>
        <w:t xml:space="preserve">Courts have </w:t>
      </w:r>
      <w:r w:rsidR="001D6C5D" w:rsidRPr="003359B1">
        <w:rPr>
          <w:rFonts w:ascii="Times New Roman" w:hAnsi="Times New Roman" w:cs="Times New Roman"/>
          <w:lang w:val="en-US"/>
        </w:rPr>
        <w:t>delved deep into factual and definition-based intricacies to understand</w:t>
      </w:r>
      <w:r w:rsidR="001E52F5" w:rsidRPr="003359B1">
        <w:rPr>
          <w:rFonts w:ascii="Times New Roman" w:hAnsi="Times New Roman" w:cs="Times New Roman"/>
          <w:lang w:val="en-US"/>
        </w:rPr>
        <w:t xml:space="preserve"> </w:t>
      </w:r>
      <w:r w:rsidR="001D6C5D" w:rsidRPr="003359B1">
        <w:rPr>
          <w:rFonts w:ascii="Times New Roman" w:hAnsi="Times New Roman" w:cs="Times New Roman"/>
          <w:lang w:val="en-US"/>
        </w:rPr>
        <w:t xml:space="preserve">how the practice of trademarking is to </w:t>
      </w:r>
      <w:r w:rsidR="00FE74CE" w:rsidRPr="003359B1">
        <w:rPr>
          <w:rFonts w:ascii="Times New Roman" w:hAnsi="Times New Roman" w:cs="Times New Roman"/>
          <w:lang w:val="en-US"/>
        </w:rPr>
        <w:t xml:space="preserve">be </w:t>
      </w:r>
      <w:r w:rsidR="001D6C5D" w:rsidRPr="003359B1">
        <w:rPr>
          <w:rFonts w:ascii="Times New Roman" w:hAnsi="Times New Roman" w:cs="Times New Roman"/>
          <w:lang w:val="en-US"/>
        </w:rPr>
        <w:t>shaped in a manner that allows for the marking of distinct elements without monopolization of certain brands</w:t>
      </w:r>
      <w:r w:rsidR="00FE74CE" w:rsidRPr="003359B1">
        <w:rPr>
          <w:rFonts w:ascii="Times New Roman" w:hAnsi="Times New Roman" w:cs="Times New Roman"/>
          <w:lang w:val="en-US"/>
        </w:rPr>
        <w:t>,</w:t>
      </w:r>
      <w:r w:rsidR="001D6C5D" w:rsidRPr="003359B1">
        <w:rPr>
          <w:rFonts w:ascii="Times New Roman" w:hAnsi="Times New Roman" w:cs="Times New Roman"/>
          <w:lang w:val="en-US"/>
        </w:rPr>
        <w:t xml:space="preserve"> creating unfair competition. To be able to interpret how trademarks function, it becomes imperative to understand </w:t>
      </w:r>
      <w:r w:rsidR="007D0D0D" w:rsidRPr="003359B1">
        <w:rPr>
          <w:rFonts w:ascii="Times New Roman" w:hAnsi="Times New Roman" w:cs="Times New Roman"/>
          <w:lang w:val="en-US"/>
        </w:rPr>
        <w:t xml:space="preserve">what symbols/marks are likely to qualify as trademarks. </w:t>
      </w:r>
      <w:r w:rsidR="00FE74CE" w:rsidRPr="003359B1">
        <w:rPr>
          <w:rFonts w:ascii="Times New Roman" w:hAnsi="Times New Roman" w:cs="Times New Roman"/>
          <w:lang w:val="en-US"/>
        </w:rPr>
        <w:t>In a generic sense, any</w:t>
      </w:r>
      <w:r w:rsidR="007D0D0D" w:rsidRPr="003359B1">
        <w:rPr>
          <w:rFonts w:ascii="Times New Roman" w:hAnsi="Times New Roman" w:cs="Times New Roman"/>
          <w:lang w:val="en-US"/>
        </w:rPr>
        <w:t xml:space="preserve"> mark representing a particular brand entity with a uniqueness/distinctiveness attached to it, along with easy memorability</w:t>
      </w:r>
      <w:r w:rsidR="00FE74CE" w:rsidRPr="003359B1">
        <w:rPr>
          <w:rFonts w:ascii="Times New Roman" w:hAnsi="Times New Roman" w:cs="Times New Roman"/>
          <w:lang w:val="en-US"/>
        </w:rPr>
        <w:t>,</w:t>
      </w:r>
      <w:r w:rsidR="007D0D0D" w:rsidRPr="003359B1">
        <w:rPr>
          <w:rFonts w:ascii="Times New Roman" w:hAnsi="Times New Roman" w:cs="Times New Roman"/>
          <w:lang w:val="en-US"/>
        </w:rPr>
        <w:t xml:space="preserve"> </w:t>
      </w:r>
      <w:r w:rsidR="00FE74CE" w:rsidRPr="003359B1">
        <w:rPr>
          <w:rFonts w:ascii="Times New Roman" w:hAnsi="Times New Roman" w:cs="Times New Roman"/>
          <w:lang w:val="en-US"/>
        </w:rPr>
        <w:t>without serving a practical purpose, can be eligible for registration as a trademark.</w:t>
      </w:r>
      <w:r w:rsidR="00617629">
        <w:rPr>
          <w:rFonts w:ascii="Times New Roman" w:hAnsi="Times New Roman" w:cs="Times New Roman"/>
          <w:lang w:val="en-US"/>
        </w:rPr>
        <w:t xml:space="preserve"> </w:t>
      </w:r>
      <w:r w:rsidR="00CE3AB6" w:rsidRPr="003359B1">
        <w:rPr>
          <w:rFonts w:ascii="Times New Roman" w:hAnsi="Times New Roman" w:cs="Times New Roman"/>
          <w:lang w:val="en-US"/>
        </w:rPr>
        <w:t>Under</w:t>
      </w:r>
      <w:r w:rsidR="00FE74CE" w:rsidRPr="003359B1">
        <w:rPr>
          <w:rFonts w:ascii="Times New Roman" w:hAnsi="Times New Roman" w:cs="Times New Roman"/>
          <w:lang w:val="en-US"/>
        </w:rPr>
        <w:t xml:space="preserve"> the Lanham Act of 1946</w:t>
      </w:r>
      <w:r w:rsidR="00CE3AB6" w:rsidRPr="003359B1">
        <w:rPr>
          <w:rFonts w:ascii="Times New Roman" w:hAnsi="Times New Roman" w:cs="Times New Roman"/>
          <w:lang w:val="en-US"/>
        </w:rPr>
        <w:t>, which legislates over trademarks within American Law,</w:t>
      </w:r>
      <w:r w:rsidR="00FE74CE" w:rsidRPr="003359B1">
        <w:rPr>
          <w:rFonts w:ascii="Times New Roman" w:hAnsi="Times New Roman" w:cs="Times New Roman"/>
          <w:lang w:val="en-US"/>
        </w:rPr>
        <w:t xml:space="preserve"> any mark that is distinctive</w:t>
      </w:r>
      <w:r w:rsidR="00CC3755">
        <w:rPr>
          <w:rFonts w:ascii="Times New Roman" w:hAnsi="Times New Roman" w:cs="Times New Roman"/>
          <w:lang w:val="en-US"/>
        </w:rPr>
        <w:t xml:space="preserve"> </w:t>
      </w:r>
      <w:r w:rsidR="00FE74CE" w:rsidRPr="003359B1">
        <w:rPr>
          <w:rFonts w:ascii="Times New Roman" w:hAnsi="Times New Roman" w:cs="Times New Roman"/>
          <w:lang w:val="en-US"/>
        </w:rPr>
        <w:t>and has a commercial purpose can be registered as a trademark successfully</w:t>
      </w:r>
      <w:r w:rsidR="00CC3755">
        <w:rPr>
          <w:rFonts w:ascii="Times New Roman" w:hAnsi="Times New Roman" w:cs="Times New Roman"/>
          <w:lang w:val="en-US"/>
        </w:rPr>
        <w:t xml:space="preserve">, along with being nonfunctional as strengthened </w:t>
      </w:r>
      <w:r w:rsidR="00CC3755">
        <w:rPr>
          <w:rFonts w:ascii="Times New Roman" w:hAnsi="Times New Roman" w:cs="Times New Roman"/>
          <w:lang w:val="en-US"/>
        </w:rPr>
        <w:lastRenderedPageBreak/>
        <w:t>by precedent</w:t>
      </w:r>
      <w:r w:rsidR="00FE74CE" w:rsidRPr="003359B1">
        <w:rPr>
          <w:rFonts w:ascii="Times New Roman" w:hAnsi="Times New Roman" w:cs="Times New Roman"/>
          <w:lang w:val="en-US"/>
        </w:rPr>
        <w:t xml:space="preserve">. </w:t>
      </w:r>
      <w:r w:rsidR="00CE3AB6" w:rsidRPr="003359B1">
        <w:rPr>
          <w:rFonts w:ascii="Times New Roman" w:hAnsi="Times New Roman" w:cs="Times New Roman"/>
          <w:lang w:val="en-US"/>
        </w:rPr>
        <w:t xml:space="preserve">For understanding how trademarks are granted within the complex industry of fashion in America, one needs to deeply dissect the essentials of trademark as provided under the Act. </w:t>
      </w:r>
      <w:r w:rsidR="00246FFA">
        <w:rPr>
          <w:rStyle w:val="FootnoteReference"/>
          <w:rFonts w:ascii="Times New Roman" w:hAnsi="Times New Roman" w:cs="Times New Roman"/>
          <w:lang w:val="en-US"/>
        </w:rPr>
        <w:footnoteReference w:id="1"/>
      </w:r>
    </w:p>
    <w:p w14:paraId="47632C07" w14:textId="78CD2588" w:rsidR="00CE3AB6" w:rsidRPr="003359B1" w:rsidRDefault="003359B1" w:rsidP="003359B1">
      <w:pPr>
        <w:spacing w:line="360" w:lineRule="auto"/>
        <w:jc w:val="both"/>
        <w:rPr>
          <w:rFonts w:ascii="Times New Roman" w:hAnsi="Times New Roman" w:cs="Times New Roman"/>
          <w:lang w:val="en-US"/>
        </w:rPr>
      </w:pPr>
      <w:r>
        <w:rPr>
          <w:rFonts w:ascii="Times New Roman" w:hAnsi="Times New Roman" w:cs="Times New Roman"/>
          <w:lang w:val="en-US"/>
        </w:rPr>
        <w:t>Commercial purpose as an essential solely requires that the purpose and the use of the article that the design/mark represents should be commercial in nature to be eligible for trademark protection.</w:t>
      </w:r>
      <w:r w:rsidR="004E5951">
        <w:rPr>
          <w:rFonts w:ascii="Times New Roman" w:hAnsi="Times New Roman" w:cs="Times New Roman"/>
          <w:lang w:val="en-US"/>
        </w:rPr>
        <w:t xml:space="preserve"> </w:t>
      </w:r>
      <w:r w:rsidR="00CE3AB6" w:rsidRPr="003359B1">
        <w:rPr>
          <w:rFonts w:ascii="Times New Roman" w:hAnsi="Times New Roman" w:cs="Times New Roman"/>
          <w:lang w:val="en-US"/>
        </w:rPr>
        <w:t>Distinctiveness</w:t>
      </w:r>
      <w:r w:rsidR="00456732" w:rsidRPr="003359B1">
        <w:rPr>
          <w:rFonts w:ascii="Times New Roman" w:hAnsi="Times New Roman" w:cs="Times New Roman"/>
          <w:lang w:val="en-US"/>
        </w:rPr>
        <w:t>,</w:t>
      </w:r>
      <w:r w:rsidR="00CE3AB6" w:rsidRPr="003359B1">
        <w:rPr>
          <w:rFonts w:ascii="Times New Roman" w:hAnsi="Times New Roman" w:cs="Times New Roman"/>
          <w:lang w:val="en-US"/>
        </w:rPr>
        <w:t xml:space="preserve"> as an essential</w:t>
      </w:r>
      <w:r w:rsidR="00456732" w:rsidRPr="003359B1">
        <w:rPr>
          <w:rFonts w:ascii="Times New Roman" w:hAnsi="Times New Roman" w:cs="Times New Roman"/>
          <w:lang w:val="en-US"/>
        </w:rPr>
        <w:t>,</w:t>
      </w:r>
      <w:r w:rsidR="00CE3AB6" w:rsidRPr="003359B1">
        <w:rPr>
          <w:rFonts w:ascii="Times New Roman" w:hAnsi="Times New Roman" w:cs="Times New Roman"/>
          <w:lang w:val="en-US"/>
        </w:rPr>
        <w:t xml:space="preserve"> highlight</w:t>
      </w:r>
      <w:r w:rsidR="00DD57F2">
        <w:rPr>
          <w:rFonts w:ascii="Times New Roman" w:hAnsi="Times New Roman" w:cs="Times New Roman"/>
          <w:lang w:val="en-US"/>
        </w:rPr>
        <w:t>s</w:t>
      </w:r>
      <w:r w:rsidR="00CE3AB6" w:rsidRPr="003359B1">
        <w:rPr>
          <w:rFonts w:ascii="Times New Roman" w:hAnsi="Times New Roman" w:cs="Times New Roman"/>
          <w:lang w:val="en-US"/>
        </w:rPr>
        <w:t xml:space="preserve"> how the particular goods identified by the mark in question should originate from a distinctive</w:t>
      </w:r>
      <w:r w:rsidR="00456732" w:rsidRPr="003359B1">
        <w:rPr>
          <w:rFonts w:ascii="Times New Roman" w:hAnsi="Times New Roman" w:cs="Times New Roman"/>
          <w:lang w:val="en-US"/>
        </w:rPr>
        <w:t>/specific</w:t>
      </w:r>
      <w:r w:rsidR="00CE3AB6" w:rsidRPr="003359B1">
        <w:rPr>
          <w:rFonts w:ascii="Times New Roman" w:hAnsi="Times New Roman" w:cs="Times New Roman"/>
          <w:lang w:val="en-US"/>
        </w:rPr>
        <w:t xml:space="preserve"> source</w:t>
      </w:r>
      <w:r w:rsidR="00456732" w:rsidRPr="003359B1">
        <w:rPr>
          <w:rFonts w:ascii="Times New Roman" w:hAnsi="Times New Roman" w:cs="Times New Roman"/>
          <w:lang w:val="en-US"/>
        </w:rPr>
        <w:t xml:space="preserve">. In such scenarios, there are four types of distinctiveness that exist when studying the eligibility of marks for trademarking: arbitrary, suggestive, descriptive and generic. Within this categorization, the first two are considered to be inherently distinctive, thereby </w:t>
      </w:r>
      <w:r w:rsidR="00456732" w:rsidRPr="009E3C52">
        <w:rPr>
          <w:rFonts w:ascii="Times New Roman" w:hAnsi="Times New Roman" w:cs="Times New Roman"/>
          <w:i/>
          <w:iCs/>
          <w:lang w:val="en-US"/>
        </w:rPr>
        <w:t>ipso facto</w:t>
      </w:r>
      <w:r w:rsidR="00456732" w:rsidRPr="003359B1">
        <w:rPr>
          <w:rFonts w:ascii="Times New Roman" w:hAnsi="Times New Roman" w:cs="Times New Roman"/>
          <w:lang w:val="en-US"/>
        </w:rPr>
        <w:t xml:space="preserve"> making the mark eligible for legal protection. The generic category, on the other hand, is inherently ineligible for trademark protection due to its origin belonging to a general source rather than a unique one.</w:t>
      </w:r>
    </w:p>
    <w:p w14:paraId="43036FC3" w14:textId="64938F57" w:rsidR="00456732" w:rsidRPr="003359B1" w:rsidRDefault="00456732" w:rsidP="003359B1">
      <w:pPr>
        <w:spacing w:line="360" w:lineRule="auto"/>
        <w:jc w:val="both"/>
        <w:rPr>
          <w:rFonts w:ascii="Times New Roman" w:hAnsi="Times New Roman" w:cs="Times New Roman"/>
          <w:lang w:val="en-US"/>
        </w:rPr>
      </w:pPr>
      <w:r w:rsidRPr="003359B1">
        <w:rPr>
          <w:rFonts w:ascii="Times New Roman" w:hAnsi="Times New Roman" w:cs="Times New Roman"/>
          <w:lang w:val="en-US"/>
        </w:rPr>
        <w:t>The descriptive category, however, is an interesting aspect to look into</w:t>
      </w:r>
      <w:r w:rsidR="00E63F09" w:rsidRPr="003359B1">
        <w:rPr>
          <w:rFonts w:ascii="Times New Roman" w:hAnsi="Times New Roman" w:cs="Times New Roman"/>
          <w:lang w:val="en-US"/>
        </w:rPr>
        <w:t xml:space="preserve"> due to its duality. While it may usually remain ineligible for trademark protection, if it can be proved that the goods have acquired ‘secondary meaning’ in the eyes of the consumers, then the mark becomes eligible for trademark protection. Secondary meaning, under the Act, describes a concept wherein a mark that is generally descriptive acquires a different meaning in the eyes of the public after they begin to associate the good represented by the mark </w:t>
      </w:r>
      <w:r w:rsidR="00A264F0">
        <w:rPr>
          <w:rFonts w:ascii="Times New Roman" w:hAnsi="Times New Roman" w:cs="Times New Roman"/>
          <w:lang w:val="en-US"/>
        </w:rPr>
        <w:t>with</w:t>
      </w:r>
      <w:r w:rsidR="00E63F09" w:rsidRPr="003359B1">
        <w:rPr>
          <w:rFonts w:ascii="Times New Roman" w:hAnsi="Times New Roman" w:cs="Times New Roman"/>
          <w:lang w:val="en-US"/>
        </w:rPr>
        <w:t xml:space="preserve"> a particular brand entity.</w:t>
      </w:r>
      <w:r w:rsidR="00D235DE">
        <w:rPr>
          <w:rStyle w:val="FootnoteReference"/>
          <w:rFonts w:ascii="Times New Roman" w:hAnsi="Times New Roman" w:cs="Times New Roman"/>
          <w:lang w:val="en-US"/>
        </w:rPr>
        <w:footnoteReference w:id="2"/>
      </w:r>
      <w:r w:rsidR="00E63F09" w:rsidRPr="003359B1">
        <w:rPr>
          <w:rFonts w:ascii="Times New Roman" w:hAnsi="Times New Roman" w:cs="Times New Roman"/>
          <w:lang w:val="en-US"/>
        </w:rPr>
        <w:t xml:space="preserve"> In the case of </w:t>
      </w:r>
      <w:r w:rsidR="00E63F09" w:rsidRPr="00F82F98">
        <w:rPr>
          <w:rFonts w:ascii="Times New Roman" w:hAnsi="Times New Roman" w:cs="Times New Roman"/>
          <w:i/>
          <w:iCs/>
          <w:lang w:val="en-US"/>
        </w:rPr>
        <w:t>Trico Products Corp. v. Ace Products Corp</w:t>
      </w:r>
      <w:r w:rsidR="00E63F09" w:rsidRPr="003359B1">
        <w:rPr>
          <w:rFonts w:ascii="Times New Roman" w:hAnsi="Times New Roman" w:cs="Times New Roman"/>
          <w:lang w:val="en-US"/>
        </w:rPr>
        <w:t>.</w:t>
      </w:r>
      <w:r w:rsidR="003777AA" w:rsidRPr="003359B1">
        <w:rPr>
          <w:rFonts w:ascii="Times New Roman" w:hAnsi="Times New Roman" w:cs="Times New Roman"/>
          <w:lang w:val="en-US"/>
        </w:rPr>
        <w:t xml:space="preserve">, it was held by the </w:t>
      </w:r>
      <w:r w:rsidR="00B1546B">
        <w:rPr>
          <w:rFonts w:ascii="Times New Roman" w:hAnsi="Times New Roman" w:cs="Times New Roman"/>
          <w:lang w:val="en-US"/>
        </w:rPr>
        <w:t xml:space="preserve">District </w:t>
      </w:r>
      <w:r w:rsidR="003777AA" w:rsidRPr="003359B1">
        <w:rPr>
          <w:rFonts w:ascii="Times New Roman" w:hAnsi="Times New Roman" w:cs="Times New Roman"/>
          <w:lang w:val="en-US"/>
        </w:rPr>
        <w:t xml:space="preserve">Court </w:t>
      </w:r>
      <w:r w:rsidR="00B1546B">
        <w:rPr>
          <w:rFonts w:ascii="Times New Roman" w:hAnsi="Times New Roman" w:cs="Times New Roman"/>
          <w:lang w:val="en-US"/>
        </w:rPr>
        <w:t xml:space="preserve">of Connecticut </w:t>
      </w:r>
      <w:r w:rsidR="003777AA" w:rsidRPr="003359B1">
        <w:rPr>
          <w:rFonts w:ascii="Times New Roman" w:hAnsi="Times New Roman" w:cs="Times New Roman"/>
          <w:lang w:val="en-US"/>
        </w:rPr>
        <w:t>that copying/imitation of a particular windshield wiper design could be legally stopped if it were proved that the</w:t>
      </w:r>
      <w:r w:rsidR="00F34B3F">
        <w:rPr>
          <w:rFonts w:ascii="Times New Roman" w:hAnsi="Times New Roman" w:cs="Times New Roman"/>
          <w:lang w:val="en-US"/>
        </w:rPr>
        <w:t xml:space="preserve"> public had associated the</w:t>
      </w:r>
      <w:r w:rsidR="003777AA" w:rsidRPr="003359B1">
        <w:rPr>
          <w:rFonts w:ascii="Times New Roman" w:hAnsi="Times New Roman" w:cs="Times New Roman"/>
          <w:lang w:val="en-US"/>
        </w:rPr>
        <w:t xml:space="preserve"> appearance of the article with the manufacturer as the first comer</w:t>
      </w:r>
      <w:r w:rsidR="00F34B3F">
        <w:rPr>
          <w:rFonts w:ascii="Times New Roman" w:hAnsi="Times New Roman" w:cs="Times New Roman"/>
          <w:lang w:val="en-US"/>
        </w:rPr>
        <w:t xml:space="preserve"> in its mind</w:t>
      </w:r>
      <w:r w:rsidR="003777AA" w:rsidRPr="003359B1">
        <w:rPr>
          <w:rFonts w:ascii="Times New Roman" w:hAnsi="Times New Roman" w:cs="Times New Roman"/>
          <w:lang w:val="en-US"/>
        </w:rPr>
        <w:t>,</w:t>
      </w:r>
      <w:r w:rsidR="00D235DE">
        <w:rPr>
          <w:rStyle w:val="FootnoteReference"/>
          <w:rFonts w:ascii="Times New Roman" w:hAnsi="Times New Roman" w:cs="Times New Roman"/>
          <w:lang w:val="en-US"/>
        </w:rPr>
        <w:footnoteReference w:id="3"/>
      </w:r>
      <w:r w:rsidR="003777AA" w:rsidRPr="003359B1">
        <w:rPr>
          <w:rFonts w:ascii="Times New Roman" w:hAnsi="Times New Roman" w:cs="Times New Roman"/>
          <w:lang w:val="en-US"/>
        </w:rPr>
        <w:t xml:space="preserve"> thereby highlighting the </w:t>
      </w:r>
      <w:r w:rsidR="00F34B3F">
        <w:rPr>
          <w:rFonts w:ascii="Times New Roman" w:hAnsi="Times New Roman" w:cs="Times New Roman"/>
          <w:lang w:val="en-US"/>
        </w:rPr>
        <w:t>underlying theme</w:t>
      </w:r>
      <w:r w:rsidR="003777AA" w:rsidRPr="003359B1">
        <w:rPr>
          <w:rFonts w:ascii="Times New Roman" w:hAnsi="Times New Roman" w:cs="Times New Roman"/>
          <w:lang w:val="en-US"/>
        </w:rPr>
        <w:t xml:space="preserve"> of ‘secondary meaning’ as prevalent under American Law.</w:t>
      </w:r>
    </w:p>
    <w:p w14:paraId="067C2E79" w14:textId="6D2039C0" w:rsidR="000C0B31" w:rsidRPr="003359B1" w:rsidRDefault="00B35A9E" w:rsidP="003359B1">
      <w:pPr>
        <w:spacing w:line="360" w:lineRule="auto"/>
        <w:jc w:val="both"/>
        <w:rPr>
          <w:rFonts w:ascii="Times New Roman" w:hAnsi="Times New Roman" w:cs="Times New Roman"/>
        </w:rPr>
      </w:pPr>
      <w:r>
        <w:rPr>
          <w:rFonts w:ascii="Times New Roman" w:hAnsi="Times New Roman" w:cs="Times New Roman"/>
          <w:lang w:val="en-US"/>
        </w:rPr>
        <w:t>In legal parlance, a</w:t>
      </w:r>
      <w:r w:rsidR="003777AA" w:rsidRPr="003359B1">
        <w:rPr>
          <w:rFonts w:ascii="Times New Roman" w:hAnsi="Times New Roman" w:cs="Times New Roman"/>
          <w:lang w:val="en-US"/>
        </w:rPr>
        <w:t xml:space="preserve"> nonfunctional mark is also referred to as the doctrine of functionality. According to this doctrine, if any mark fighting for trademark protection is found to be ‘functional’ in nature, it automatically becomes ineligible for the same</w:t>
      </w:r>
      <w:r w:rsidR="000C0B31" w:rsidRPr="003359B1">
        <w:rPr>
          <w:rFonts w:ascii="Times New Roman" w:hAnsi="Times New Roman" w:cs="Times New Roman"/>
          <w:lang w:val="en-US"/>
        </w:rPr>
        <w:t>. This doctrine exists to ensure that no trademark is provided to a mark/design representing a product’s function, as this effectively hinders competitive freedom and breeds unfair competition</w:t>
      </w:r>
      <w:r w:rsidR="00A8702A" w:rsidRPr="003359B1">
        <w:rPr>
          <w:rFonts w:ascii="Times New Roman" w:hAnsi="Times New Roman" w:cs="Times New Roman"/>
          <w:lang w:val="en-US"/>
        </w:rPr>
        <w:t>.</w:t>
      </w:r>
      <w:r w:rsidR="000C0B31" w:rsidRPr="003359B1">
        <w:rPr>
          <w:rFonts w:ascii="Times New Roman" w:hAnsi="Times New Roman" w:cs="Times New Roman"/>
          <w:lang w:val="en-US"/>
        </w:rPr>
        <w:t xml:space="preserve"> A similar opinion was provided </w:t>
      </w:r>
      <w:r w:rsidR="000C0B31" w:rsidRPr="003359B1">
        <w:rPr>
          <w:rFonts w:ascii="Times New Roman" w:hAnsi="Times New Roman" w:cs="Times New Roman"/>
        </w:rPr>
        <w:t xml:space="preserve">in a decision given by the </w:t>
      </w:r>
      <w:r w:rsidR="009E3C52">
        <w:rPr>
          <w:rFonts w:ascii="Times New Roman" w:hAnsi="Times New Roman" w:cs="Times New Roman"/>
        </w:rPr>
        <w:t>Eighth Circuit</w:t>
      </w:r>
      <w:r w:rsidR="000C0B31" w:rsidRPr="003359B1">
        <w:rPr>
          <w:rFonts w:ascii="Times New Roman" w:hAnsi="Times New Roman" w:cs="Times New Roman"/>
        </w:rPr>
        <w:t xml:space="preserve"> in the case of </w:t>
      </w:r>
      <w:r w:rsidR="000C0B31" w:rsidRPr="00F82F98">
        <w:rPr>
          <w:rFonts w:ascii="Times New Roman" w:hAnsi="Times New Roman" w:cs="Times New Roman"/>
          <w:i/>
          <w:iCs/>
        </w:rPr>
        <w:t xml:space="preserve">Truck Equipment Service Co. </w:t>
      </w:r>
      <w:r w:rsidR="000C0B31" w:rsidRPr="00F82F98">
        <w:rPr>
          <w:rFonts w:ascii="Times New Roman" w:hAnsi="Times New Roman" w:cs="Times New Roman"/>
          <w:i/>
          <w:iCs/>
        </w:rPr>
        <w:lastRenderedPageBreak/>
        <w:t>v. Fruehauf Corp.</w:t>
      </w:r>
      <w:r w:rsidR="000C0B31" w:rsidRPr="003359B1">
        <w:rPr>
          <w:rFonts w:ascii="Times New Roman" w:hAnsi="Times New Roman" w:cs="Times New Roman"/>
        </w:rPr>
        <w:t xml:space="preserve"> Herein, </w:t>
      </w:r>
      <w:r w:rsidR="00FA025B" w:rsidRPr="003359B1">
        <w:rPr>
          <w:rFonts w:ascii="Times New Roman" w:hAnsi="Times New Roman" w:cs="Times New Roman"/>
        </w:rPr>
        <w:t xml:space="preserve">the plaintiff </w:t>
      </w:r>
      <w:r w:rsidR="00FA025B">
        <w:rPr>
          <w:rFonts w:ascii="Times New Roman" w:hAnsi="Times New Roman" w:cs="Times New Roman"/>
        </w:rPr>
        <w:t>fought for the</w:t>
      </w:r>
      <w:r w:rsidR="00FA025B" w:rsidRPr="003359B1">
        <w:rPr>
          <w:rFonts w:ascii="Times New Roman" w:hAnsi="Times New Roman" w:cs="Times New Roman"/>
        </w:rPr>
        <w:t xml:space="preserve"> protection of</w:t>
      </w:r>
      <w:r w:rsidR="00FA025B">
        <w:rPr>
          <w:rFonts w:ascii="Times New Roman" w:hAnsi="Times New Roman" w:cs="Times New Roman"/>
        </w:rPr>
        <w:t xml:space="preserve"> its</w:t>
      </w:r>
      <w:r w:rsidR="00FA025B" w:rsidRPr="003359B1">
        <w:rPr>
          <w:rFonts w:ascii="Times New Roman" w:hAnsi="Times New Roman" w:cs="Times New Roman"/>
        </w:rPr>
        <w:t xml:space="preserve"> bulk commodity semi-trailer</w:t>
      </w:r>
      <w:r w:rsidR="00FA025B">
        <w:rPr>
          <w:rFonts w:ascii="Times New Roman" w:hAnsi="Times New Roman" w:cs="Times New Roman"/>
        </w:rPr>
        <w:t xml:space="preserve">’s </w:t>
      </w:r>
      <w:r w:rsidR="00FA025B" w:rsidRPr="003359B1">
        <w:rPr>
          <w:rFonts w:ascii="Times New Roman" w:hAnsi="Times New Roman" w:cs="Times New Roman"/>
        </w:rPr>
        <w:t>desig</w:t>
      </w:r>
      <w:r w:rsidR="00FA025B">
        <w:rPr>
          <w:rFonts w:ascii="Times New Roman" w:hAnsi="Times New Roman" w:cs="Times New Roman"/>
        </w:rPr>
        <w:t xml:space="preserve">n, where </w:t>
      </w:r>
      <w:r w:rsidR="000C0B31" w:rsidRPr="003359B1">
        <w:rPr>
          <w:rFonts w:ascii="Times New Roman" w:hAnsi="Times New Roman" w:cs="Times New Roman"/>
        </w:rPr>
        <w:t xml:space="preserve">it was held </w:t>
      </w:r>
      <w:r w:rsidR="00520B44">
        <w:rPr>
          <w:rFonts w:ascii="Times New Roman" w:hAnsi="Times New Roman" w:cs="Times New Roman"/>
        </w:rPr>
        <w:t xml:space="preserve">that </w:t>
      </w:r>
      <w:r w:rsidR="000C0B31" w:rsidRPr="003359B1">
        <w:rPr>
          <w:rFonts w:ascii="Times New Roman" w:hAnsi="Times New Roman" w:cs="Times New Roman"/>
        </w:rPr>
        <w:t>the question in such cases should always be whether a protection from imitation would lead to hindrance in market competition.</w:t>
      </w:r>
      <w:r w:rsidR="00082DE6">
        <w:rPr>
          <w:rStyle w:val="FootnoteReference"/>
          <w:rFonts w:ascii="Times New Roman" w:hAnsi="Times New Roman" w:cs="Times New Roman"/>
        </w:rPr>
        <w:footnoteReference w:id="4"/>
      </w:r>
    </w:p>
    <w:p w14:paraId="72B2ED39" w14:textId="2FFDC321" w:rsidR="00AD205B" w:rsidRDefault="00A8702A" w:rsidP="003359B1">
      <w:pPr>
        <w:spacing w:line="360" w:lineRule="auto"/>
        <w:jc w:val="both"/>
        <w:rPr>
          <w:rFonts w:ascii="Times New Roman" w:hAnsi="Times New Roman" w:cs="Times New Roman"/>
        </w:rPr>
      </w:pPr>
      <w:r w:rsidRPr="003359B1">
        <w:rPr>
          <w:rFonts w:ascii="Times New Roman" w:hAnsi="Times New Roman" w:cs="Times New Roman"/>
          <w:lang w:val="en-US"/>
        </w:rPr>
        <w:t>For decades now, the doctrine of functionality has been largely utilitarian-based, thereby giving it the common term ‘doctrine of utilitarian functionality’</w:t>
      </w:r>
      <w:r w:rsidRPr="003359B1">
        <w:rPr>
          <w:rFonts w:ascii="Times New Roman" w:hAnsi="Times New Roman" w:cs="Times New Roman"/>
        </w:rPr>
        <w:t>. What this entails is that if the designs/marks in question arise out of articles with a useful function attached to them, such products are usually termed as ‘utilitarian products.’ Therefore, under the Act, ‘utilitarian products’ with designs serving ‘utilitarian functions’ would automatically be ‘functional’ in nature, making them ineligible for legal protection</w:t>
      </w:r>
      <w:r w:rsidR="00632361" w:rsidRPr="003359B1">
        <w:rPr>
          <w:rFonts w:ascii="Times New Roman" w:hAnsi="Times New Roman" w:cs="Times New Roman"/>
        </w:rPr>
        <w:t>.</w:t>
      </w:r>
      <w:r w:rsidR="00D235DE">
        <w:rPr>
          <w:rStyle w:val="FootnoteReference"/>
          <w:rFonts w:ascii="Times New Roman" w:hAnsi="Times New Roman" w:cs="Times New Roman"/>
        </w:rPr>
        <w:footnoteReference w:id="5"/>
      </w:r>
      <w:r w:rsidR="00632361" w:rsidRPr="003359B1">
        <w:rPr>
          <w:rFonts w:ascii="Times New Roman" w:hAnsi="Times New Roman" w:cs="Times New Roman"/>
        </w:rPr>
        <w:t xml:space="preserve"> </w:t>
      </w:r>
      <w:r w:rsidR="000C0B31" w:rsidRPr="003359B1">
        <w:rPr>
          <w:rFonts w:ascii="Times New Roman" w:hAnsi="Times New Roman" w:cs="Times New Roman"/>
        </w:rPr>
        <w:t>However, as the aesthetic and ornamental aspects of the legal world, especially the fashion industry, begin to become more significant and complex, a need arose for the doctrine of functionality to be further branched out. The doctrine of ‘aesthetic functionality’ is a fairly newer concept that has become of utmost importance in the modern legal landscape.</w:t>
      </w:r>
      <w:r w:rsidR="00E8676C" w:rsidRPr="003359B1">
        <w:rPr>
          <w:rFonts w:ascii="Times New Roman" w:hAnsi="Times New Roman" w:cs="Times New Roman"/>
        </w:rPr>
        <w:t xml:space="preserve"> </w:t>
      </w:r>
    </w:p>
    <w:p w14:paraId="6616DD03" w14:textId="77777777" w:rsidR="00617629" w:rsidRPr="003359B1" w:rsidRDefault="00617629" w:rsidP="003359B1">
      <w:pPr>
        <w:spacing w:line="360" w:lineRule="auto"/>
        <w:jc w:val="both"/>
        <w:rPr>
          <w:rFonts w:ascii="Times New Roman" w:hAnsi="Times New Roman" w:cs="Times New Roman"/>
        </w:rPr>
      </w:pPr>
    </w:p>
    <w:p w14:paraId="1F33308C" w14:textId="682D943F" w:rsidR="00AD205B" w:rsidRPr="0022284C" w:rsidRDefault="0022284C" w:rsidP="0022284C">
      <w:pPr>
        <w:pStyle w:val="ListParagraph"/>
        <w:numPr>
          <w:ilvl w:val="0"/>
          <w:numId w:val="1"/>
        </w:numPr>
        <w:spacing w:line="360" w:lineRule="auto"/>
        <w:rPr>
          <w:rFonts w:ascii="Times New Roman" w:hAnsi="Times New Roman" w:cs="Times New Roman"/>
          <w:b/>
          <w:bCs/>
        </w:rPr>
      </w:pPr>
      <w:r w:rsidRPr="0022284C">
        <w:rPr>
          <w:rFonts w:ascii="Times New Roman" w:hAnsi="Times New Roman" w:cs="Times New Roman"/>
          <w:b/>
          <w:bCs/>
        </w:rPr>
        <w:t xml:space="preserve">The </w:t>
      </w:r>
      <w:r w:rsidR="00617629" w:rsidRPr="0022284C">
        <w:rPr>
          <w:rFonts w:ascii="Times New Roman" w:hAnsi="Times New Roman" w:cs="Times New Roman"/>
          <w:b/>
          <w:bCs/>
        </w:rPr>
        <w:t xml:space="preserve">Doctrine </w:t>
      </w:r>
      <w:r w:rsidR="00FA7C18">
        <w:rPr>
          <w:rFonts w:ascii="Times New Roman" w:hAnsi="Times New Roman" w:cs="Times New Roman"/>
          <w:b/>
          <w:bCs/>
        </w:rPr>
        <w:t>o</w:t>
      </w:r>
      <w:r w:rsidR="00617629" w:rsidRPr="0022284C">
        <w:rPr>
          <w:rFonts w:ascii="Times New Roman" w:hAnsi="Times New Roman" w:cs="Times New Roman"/>
          <w:b/>
          <w:bCs/>
        </w:rPr>
        <w:t>f Aesthetic Functionality</w:t>
      </w:r>
    </w:p>
    <w:p w14:paraId="4FB589E1" w14:textId="38DA9B4C" w:rsidR="00A8702A" w:rsidRPr="003359B1" w:rsidRDefault="00E8676C" w:rsidP="003359B1">
      <w:pPr>
        <w:spacing w:line="360" w:lineRule="auto"/>
        <w:jc w:val="both"/>
        <w:rPr>
          <w:rFonts w:ascii="Times New Roman" w:hAnsi="Times New Roman" w:cs="Times New Roman"/>
        </w:rPr>
      </w:pPr>
      <w:r w:rsidRPr="003359B1">
        <w:rPr>
          <w:rFonts w:ascii="Times New Roman" w:hAnsi="Times New Roman" w:cs="Times New Roman"/>
        </w:rPr>
        <w:t>This doctrine focuses purely on the ornamental aspects of the design, such as its colour or shape, that add to the aesthetic appeal of the product and might not be integral to its core function. Despite their largely nonfunctional and ornamental aspect, such element</w:t>
      </w:r>
      <w:r w:rsidR="00AE2719" w:rsidRPr="003359B1">
        <w:rPr>
          <w:rFonts w:ascii="Times New Roman" w:hAnsi="Times New Roman" w:cs="Times New Roman"/>
        </w:rPr>
        <w:t>s</w:t>
      </w:r>
      <w:r w:rsidRPr="003359B1">
        <w:rPr>
          <w:rFonts w:ascii="Times New Roman" w:hAnsi="Times New Roman" w:cs="Times New Roman"/>
        </w:rPr>
        <w:t xml:space="preserve"> are </w:t>
      </w:r>
      <w:r w:rsidR="00AE2719" w:rsidRPr="003359B1">
        <w:rPr>
          <w:rFonts w:ascii="Times New Roman" w:hAnsi="Times New Roman" w:cs="Times New Roman"/>
        </w:rPr>
        <w:t xml:space="preserve">termed ‘aesthetically functional’ and are </w:t>
      </w:r>
      <w:r w:rsidRPr="003359B1">
        <w:rPr>
          <w:rFonts w:ascii="Times New Roman" w:hAnsi="Times New Roman" w:cs="Times New Roman"/>
        </w:rPr>
        <w:t>still denied trademark protection due to the</w:t>
      </w:r>
      <w:r w:rsidR="00AE2719" w:rsidRPr="003359B1">
        <w:rPr>
          <w:rFonts w:ascii="Times New Roman" w:hAnsi="Times New Roman" w:cs="Times New Roman"/>
        </w:rPr>
        <w:t xml:space="preserve"> important function that they play</w:t>
      </w:r>
      <w:r w:rsidRPr="003359B1">
        <w:rPr>
          <w:rFonts w:ascii="Times New Roman" w:hAnsi="Times New Roman" w:cs="Times New Roman"/>
        </w:rPr>
        <w:t xml:space="preserve"> in the market; trademarking of such elements could thus lead to their monopolization and hinder fair competition.</w:t>
      </w:r>
      <w:r w:rsidR="00246FFA">
        <w:rPr>
          <w:rStyle w:val="FootnoteReference"/>
          <w:rFonts w:ascii="Times New Roman" w:hAnsi="Times New Roman" w:cs="Times New Roman"/>
        </w:rPr>
        <w:footnoteReference w:id="6"/>
      </w:r>
    </w:p>
    <w:p w14:paraId="17DFA6A0" w14:textId="1B4702E6" w:rsidR="000C0B31" w:rsidRPr="003359B1" w:rsidRDefault="000C0B31" w:rsidP="003359B1">
      <w:pPr>
        <w:spacing w:line="360" w:lineRule="auto"/>
        <w:jc w:val="both"/>
        <w:rPr>
          <w:rFonts w:ascii="Times New Roman" w:hAnsi="Times New Roman" w:cs="Times New Roman"/>
        </w:rPr>
      </w:pPr>
      <w:r w:rsidRPr="003359B1">
        <w:rPr>
          <w:rFonts w:ascii="Times New Roman" w:hAnsi="Times New Roman" w:cs="Times New Roman"/>
        </w:rPr>
        <w:t>Th</w:t>
      </w:r>
      <w:r w:rsidR="00E8676C" w:rsidRPr="003359B1">
        <w:rPr>
          <w:rFonts w:ascii="Times New Roman" w:hAnsi="Times New Roman" w:cs="Times New Roman"/>
        </w:rPr>
        <w:t xml:space="preserve">e relevance of this doctrine began to be highlighted a few decades back; in the case of </w:t>
      </w:r>
      <w:proofErr w:type="spellStart"/>
      <w:r w:rsidR="00E8676C" w:rsidRPr="00F82F98">
        <w:rPr>
          <w:rFonts w:ascii="Times New Roman" w:hAnsi="Times New Roman" w:cs="Times New Roman"/>
          <w:i/>
          <w:iCs/>
        </w:rPr>
        <w:t>Paglerio</w:t>
      </w:r>
      <w:proofErr w:type="spellEnd"/>
      <w:r w:rsidR="00E8676C" w:rsidRPr="00F82F98">
        <w:rPr>
          <w:rFonts w:ascii="Times New Roman" w:hAnsi="Times New Roman" w:cs="Times New Roman"/>
          <w:i/>
          <w:iCs/>
        </w:rPr>
        <w:t xml:space="preserve"> v. Wallace China Co</w:t>
      </w:r>
      <w:r w:rsidR="00E8676C" w:rsidRPr="003359B1">
        <w:rPr>
          <w:rFonts w:ascii="Times New Roman" w:hAnsi="Times New Roman" w:cs="Times New Roman"/>
        </w:rPr>
        <w:t>.</w:t>
      </w:r>
      <w:r w:rsidR="00AE2719" w:rsidRPr="003359B1">
        <w:rPr>
          <w:rFonts w:ascii="Times New Roman" w:hAnsi="Times New Roman" w:cs="Times New Roman"/>
        </w:rPr>
        <w:t xml:space="preserve">, the Ninth Circuit held that the design present on the hotel </w:t>
      </w:r>
      <w:proofErr w:type="spellStart"/>
      <w:r w:rsidR="00AE2719" w:rsidRPr="003359B1">
        <w:rPr>
          <w:rFonts w:ascii="Times New Roman" w:hAnsi="Times New Roman" w:cs="Times New Roman"/>
        </w:rPr>
        <w:t>china</w:t>
      </w:r>
      <w:proofErr w:type="spellEnd"/>
      <w:r w:rsidR="00AE2719" w:rsidRPr="003359B1">
        <w:rPr>
          <w:rFonts w:ascii="Times New Roman" w:hAnsi="Times New Roman" w:cs="Times New Roman"/>
        </w:rPr>
        <w:t xml:space="preserve"> as the product in question was not eligible for trademark protection as the said design was the product’s ‘essential selling feature’.</w:t>
      </w:r>
      <w:r w:rsidR="00D235DE">
        <w:rPr>
          <w:rStyle w:val="FootnoteReference"/>
          <w:rFonts w:ascii="Times New Roman" w:hAnsi="Times New Roman" w:cs="Times New Roman"/>
        </w:rPr>
        <w:footnoteReference w:id="7"/>
      </w:r>
      <w:r w:rsidR="00AE2719" w:rsidRPr="003359B1">
        <w:rPr>
          <w:rFonts w:ascii="Times New Roman" w:hAnsi="Times New Roman" w:cs="Times New Roman"/>
        </w:rPr>
        <w:t xml:space="preserve"> This highlighted how certain ornamental designs/features are so integral in influencing the product’s sale that they become ‘aesthetically functional’. This doctrine was again put to use in the case of </w:t>
      </w:r>
      <w:proofErr w:type="spellStart"/>
      <w:r w:rsidR="00AE2719" w:rsidRPr="00F82F98">
        <w:rPr>
          <w:rFonts w:ascii="Times New Roman" w:hAnsi="Times New Roman" w:cs="Times New Roman"/>
          <w:i/>
          <w:iCs/>
        </w:rPr>
        <w:t>Qualitex</w:t>
      </w:r>
      <w:proofErr w:type="spellEnd"/>
      <w:r w:rsidR="00AE2719" w:rsidRPr="00F82F98">
        <w:rPr>
          <w:rFonts w:ascii="Times New Roman" w:hAnsi="Times New Roman" w:cs="Times New Roman"/>
          <w:i/>
          <w:iCs/>
        </w:rPr>
        <w:t xml:space="preserve"> Co. v. Jacobson Products Co.</w:t>
      </w:r>
      <w:r w:rsidR="0009395F" w:rsidRPr="003359B1">
        <w:rPr>
          <w:rFonts w:ascii="Times New Roman" w:hAnsi="Times New Roman" w:cs="Times New Roman"/>
        </w:rPr>
        <w:t>,</w:t>
      </w:r>
      <w:r w:rsidR="00AE2719" w:rsidRPr="003359B1">
        <w:rPr>
          <w:rFonts w:ascii="Times New Roman" w:hAnsi="Times New Roman" w:cs="Times New Roman"/>
        </w:rPr>
        <w:t xml:space="preserve"> specifically in the context of a </w:t>
      </w:r>
      <w:r w:rsidR="0009395F" w:rsidRPr="003359B1">
        <w:rPr>
          <w:rFonts w:ascii="Times New Roman" w:hAnsi="Times New Roman" w:cs="Times New Roman"/>
        </w:rPr>
        <w:t>colour</w:t>
      </w:r>
      <w:r w:rsidR="00AE2719" w:rsidRPr="003359B1">
        <w:rPr>
          <w:rFonts w:ascii="Times New Roman" w:hAnsi="Times New Roman" w:cs="Times New Roman"/>
        </w:rPr>
        <w:t xml:space="preserve"> being the design/mark in question.</w:t>
      </w:r>
      <w:r w:rsidR="0009395F" w:rsidRPr="003359B1">
        <w:rPr>
          <w:rFonts w:ascii="Times New Roman" w:hAnsi="Times New Roman" w:cs="Times New Roman"/>
        </w:rPr>
        <w:t xml:space="preserve"> In the factual matrix of this case, </w:t>
      </w:r>
      <w:r w:rsidR="0009395F" w:rsidRPr="003359B1">
        <w:rPr>
          <w:rFonts w:ascii="Times New Roman" w:hAnsi="Times New Roman" w:cs="Times New Roman"/>
        </w:rPr>
        <w:lastRenderedPageBreak/>
        <w:t>the manufacturer, as the plaintiff, claimed trademark protection on a certain green gold shade of dry-cleaning press pads, wherein the Court</w:t>
      </w:r>
      <w:r w:rsidR="00B1546B">
        <w:rPr>
          <w:rFonts w:ascii="Times New Roman" w:hAnsi="Times New Roman" w:cs="Times New Roman"/>
        </w:rPr>
        <w:t xml:space="preserve"> of Appeals for the Ninth Circuit</w:t>
      </w:r>
      <w:r w:rsidR="0009395F" w:rsidRPr="003359B1">
        <w:rPr>
          <w:rFonts w:ascii="Times New Roman" w:hAnsi="Times New Roman" w:cs="Times New Roman"/>
        </w:rPr>
        <w:t xml:space="preserve"> held that colours could be trademarked if they came to be identified to a certain brand identity in the eyes of the public, highlighting how there did not exist any particular bar on the trademarking of colours. However, it is imperative to note that the Court also opined on how such trademarking of colours could lead to hindrance in market competition; they, therefore, also held that for such trademarks to be eligible, they need to acquire ‘secondary meaning’, with a prerequisite of not being ‘functional’ in nature.</w:t>
      </w:r>
      <w:r w:rsidR="00DB257E">
        <w:rPr>
          <w:rStyle w:val="FootnoteReference"/>
          <w:rFonts w:ascii="Times New Roman" w:hAnsi="Times New Roman" w:cs="Times New Roman"/>
        </w:rPr>
        <w:footnoteReference w:id="8"/>
      </w:r>
    </w:p>
    <w:p w14:paraId="7971CC43" w14:textId="35E7B4F3" w:rsidR="0032474E" w:rsidRPr="003359B1" w:rsidRDefault="0032474E" w:rsidP="003359B1">
      <w:pPr>
        <w:spacing w:line="360" w:lineRule="auto"/>
        <w:jc w:val="both"/>
        <w:rPr>
          <w:rFonts w:ascii="Times New Roman" w:hAnsi="Times New Roman" w:cs="Times New Roman"/>
        </w:rPr>
      </w:pPr>
      <w:r w:rsidRPr="003359B1">
        <w:rPr>
          <w:rFonts w:ascii="Times New Roman" w:hAnsi="Times New Roman" w:cs="Times New Roman"/>
        </w:rPr>
        <w:t xml:space="preserve">Thus, the doctrine of ‘aesthetic functionality’ </w:t>
      </w:r>
      <w:r w:rsidR="0021526A">
        <w:rPr>
          <w:rFonts w:ascii="Times New Roman" w:hAnsi="Times New Roman" w:cs="Times New Roman"/>
        </w:rPr>
        <w:t>requires</w:t>
      </w:r>
      <w:r w:rsidRPr="003359B1">
        <w:rPr>
          <w:rFonts w:ascii="Times New Roman" w:hAnsi="Times New Roman" w:cs="Times New Roman"/>
        </w:rPr>
        <w:t xml:space="preserve"> that the design of the product in question must not have an aesthetic appeal that is essential in </w:t>
      </w:r>
      <w:r w:rsidR="00E60BE4" w:rsidRPr="003359B1">
        <w:rPr>
          <w:rFonts w:ascii="Times New Roman" w:hAnsi="Times New Roman" w:cs="Times New Roman"/>
        </w:rPr>
        <w:t xml:space="preserve">ensuring the product’s function and sale in the market, therefore requiring that it should acquire ‘secondary meaning’ for legal protection. However, in case the design is found to be ‘functional’, the establishment of ‘secondary meaning’ fails to be of any use. To add on to </w:t>
      </w:r>
      <w:r w:rsidR="0021526A">
        <w:rPr>
          <w:rFonts w:ascii="Times New Roman" w:hAnsi="Times New Roman" w:cs="Times New Roman"/>
        </w:rPr>
        <w:t>what the term</w:t>
      </w:r>
      <w:r w:rsidR="00E60BE4" w:rsidRPr="003359B1">
        <w:rPr>
          <w:rFonts w:ascii="Times New Roman" w:hAnsi="Times New Roman" w:cs="Times New Roman"/>
        </w:rPr>
        <w:t xml:space="preserve"> ‘functional’</w:t>
      </w:r>
      <w:r w:rsidR="0021526A">
        <w:rPr>
          <w:rFonts w:ascii="Times New Roman" w:hAnsi="Times New Roman" w:cs="Times New Roman"/>
        </w:rPr>
        <w:t xml:space="preserve"> entails</w:t>
      </w:r>
      <w:r w:rsidR="00E60BE4" w:rsidRPr="003359B1">
        <w:rPr>
          <w:rFonts w:ascii="Times New Roman" w:hAnsi="Times New Roman" w:cs="Times New Roman"/>
        </w:rPr>
        <w:t xml:space="preserve">, the case of </w:t>
      </w:r>
      <w:r w:rsidR="00E60BE4" w:rsidRPr="00F82F98">
        <w:rPr>
          <w:rFonts w:ascii="Times New Roman" w:hAnsi="Times New Roman" w:cs="Times New Roman"/>
          <w:i/>
          <w:iCs/>
        </w:rPr>
        <w:t>Inwood Laboratories, Inc. v. Ives Laboratories, Inc.</w:t>
      </w:r>
      <w:r w:rsidR="00E60BE4" w:rsidRPr="003359B1">
        <w:rPr>
          <w:rFonts w:ascii="Times New Roman" w:hAnsi="Times New Roman" w:cs="Times New Roman"/>
        </w:rPr>
        <w:t xml:space="preserve"> while discussing the functionality of the colour of medicine capsules, highlighted in its judgement how a product is considered to be ‘functional’ if it affects the cost/quality of the article.</w:t>
      </w:r>
      <w:r w:rsidR="00DB257E">
        <w:rPr>
          <w:rStyle w:val="FootnoteReference"/>
          <w:rFonts w:ascii="Times New Roman" w:hAnsi="Times New Roman" w:cs="Times New Roman"/>
        </w:rPr>
        <w:footnoteReference w:id="9"/>
      </w:r>
    </w:p>
    <w:p w14:paraId="3E0C23D4" w14:textId="30AF8815" w:rsidR="00E60BE4" w:rsidRDefault="00E60BE4" w:rsidP="003359B1">
      <w:pPr>
        <w:spacing w:line="360" w:lineRule="auto"/>
        <w:jc w:val="both"/>
        <w:rPr>
          <w:rFonts w:ascii="Times New Roman" w:hAnsi="Times New Roman" w:cs="Times New Roman"/>
        </w:rPr>
      </w:pPr>
      <w:r w:rsidRPr="003359B1">
        <w:rPr>
          <w:rFonts w:ascii="Times New Roman" w:hAnsi="Times New Roman" w:cs="Times New Roman"/>
        </w:rPr>
        <w:t xml:space="preserve">Bringing the discussed ideas of the ‘aesthetic functionality’ doctrine to the forefront, the highly debated 2011 litigation of </w:t>
      </w:r>
      <w:r w:rsidRPr="00F82F98">
        <w:rPr>
          <w:rFonts w:ascii="Times New Roman" w:hAnsi="Times New Roman" w:cs="Times New Roman"/>
          <w:i/>
          <w:iCs/>
        </w:rPr>
        <w:t>Christian Louboutin</w:t>
      </w:r>
      <w:r w:rsidR="009E3C52">
        <w:rPr>
          <w:rFonts w:ascii="Times New Roman" w:hAnsi="Times New Roman" w:cs="Times New Roman"/>
          <w:i/>
          <w:iCs/>
        </w:rPr>
        <w:t xml:space="preserve"> S.A.</w:t>
      </w:r>
      <w:r w:rsidRPr="00F82F98">
        <w:rPr>
          <w:rFonts w:ascii="Times New Roman" w:hAnsi="Times New Roman" w:cs="Times New Roman"/>
          <w:i/>
          <w:iCs/>
        </w:rPr>
        <w:t xml:space="preserve"> v. Yves Saint Laurent</w:t>
      </w:r>
      <w:r w:rsidR="009E3C52">
        <w:rPr>
          <w:rFonts w:ascii="Times New Roman" w:hAnsi="Times New Roman" w:cs="Times New Roman"/>
          <w:i/>
          <w:iCs/>
        </w:rPr>
        <w:t xml:space="preserve"> Am. Inc.</w:t>
      </w:r>
      <w:r w:rsidRPr="003359B1">
        <w:rPr>
          <w:rFonts w:ascii="Times New Roman" w:hAnsi="Times New Roman" w:cs="Times New Roman"/>
        </w:rPr>
        <w:t>, with its controversy arising over the red outsole of a pair of YSL heels, brought the Courts to question the applicability and the scope of this doctrine in today’s fast-paced and growing fashion industry.</w:t>
      </w:r>
    </w:p>
    <w:p w14:paraId="7F28A5CC" w14:textId="77777777" w:rsidR="00617629" w:rsidRPr="003359B1" w:rsidRDefault="00617629" w:rsidP="003359B1">
      <w:pPr>
        <w:spacing w:line="360" w:lineRule="auto"/>
        <w:jc w:val="both"/>
        <w:rPr>
          <w:rFonts w:ascii="Times New Roman" w:hAnsi="Times New Roman" w:cs="Times New Roman"/>
        </w:rPr>
      </w:pPr>
    </w:p>
    <w:p w14:paraId="7816A316" w14:textId="7D23E919" w:rsidR="00614E2C" w:rsidRPr="00FA7C18" w:rsidRDefault="00FA7C18" w:rsidP="0022284C">
      <w:pPr>
        <w:pStyle w:val="ListParagraph"/>
        <w:numPr>
          <w:ilvl w:val="0"/>
          <w:numId w:val="1"/>
        </w:numPr>
        <w:spacing w:line="360" w:lineRule="auto"/>
        <w:rPr>
          <w:rFonts w:ascii="Times New Roman" w:hAnsi="Times New Roman" w:cs="Times New Roman"/>
          <w:b/>
          <w:bCs/>
          <w:i/>
          <w:iCs/>
        </w:rPr>
      </w:pPr>
      <w:r>
        <w:rPr>
          <w:rFonts w:ascii="Times New Roman" w:hAnsi="Times New Roman" w:cs="Times New Roman"/>
          <w:b/>
          <w:bCs/>
        </w:rPr>
        <w:t xml:space="preserve">Understanding the case of </w:t>
      </w:r>
      <w:r w:rsidR="00617629" w:rsidRPr="00FA7C18">
        <w:rPr>
          <w:rFonts w:ascii="Times New Roman" w:hAnsi="Times New Roman" w:cs="Times New Roman"/>
          <w:b/>
          <w:bCs/>
          <w:i/>
          <w:iCs/>
        </w:rPr>
        <w:t>Christian Louboutin</w:t>
      </w:r>
      <w:r w:rsidRPr="00FA7C18">
        <w:rPr>
          <w:rFonts w:ascii="Times New Roman" w:hAnsi="Times New Roman" w:cs="Times New Roman"/>
          <w:b/>
          <w:bCs/>
          <w:i/>
          <w:iCs/>
        </w:rPr>
        <w:t xml:space="preserve"> S. A.</w:t>
      </w:r>
      <w:r w:rsidR="00617629" w:rsidRPr="00FA7C18">
        <w:rPr>
          <w:rFonts w:ascii="Times New Roman" w:hAnsi="Times New Roman" w:cs="Times New Roman"/>
          <w:b/>
          <w:bCs/>
          <w:i/>
          <w:iCs/>
        </w:rPr>
        <w:t xml:space="preserve"> </w:t>
      </w:r>
      <w:r w:rsidRPr="00FA7C18">
        <w:rPr>
          <w:rFonts w:ascii="Times New Roman" w:hAnsi="Times New Roman" w:cs="Times New Roman"/>
          <w:b/>
          <w:bCs/>
          <w:i/>
          <w:iCs/>
        </w:rPr>
        <w:t>v</w:t>
      </w:r>
      <w:r w:rsidR="00617629" w:rsidRPr="00FA7C18">
        <w:rPr>
          <w:rFonts w:ascii="Times New Roman" w:hAnsi="Times New Roman" w:cs="Times New Roman"/>
          <w:b/>
          <w:bCs/>
          <w:i/>
          <w:iCs/>
        </w:rPr>
        <w:t>. Yves Saint Laurent</w:t>
      </w:r>
      <w:r w:rsidRPr="00FA7C18">
        <w:rPr>
          <w:rFonts w:ascii="Times New Roman" w:hAnsi="Times New Roman" w:cs="Times New Roman"/>
          <w:b/>
          <w:bCs/>
          <w:i/>
          <w:iCs/>
        </w:rPr>
        <w:t xml:space="preserve"> Am. Inc.</w:t>
      </w:r>
    </w:p>
    <w:p w14:paraId="7FF48B07" w14:textId="6C91413F" w:rsidR="00BA0EFC" w:rsidRPr="003359B1" w:rsidRDefault="00614E2C" w:rsidP="003359B1">
      <w:pPr>
        <w:spacing w:line="360" w:lineRule="auto"/>
        <w:jc w:val="both"/>
        <w:rPr>
          <w:rFonts w:ascii="Times New Roman" w:hAnsi="Times New Roman" w:cs="Times New Roman"/>
        </w:rPr>
      </w:pPr>
      <w:r w:rsidRPr="003359B1">
        <w:rPr>
          <w:rFonts w:ascii="Times New Roman" w:hAnsi="Times New Roman" w:cs="Times New Roman"/>
        </w:rPr>
        <w:t>The luxury brand, Christian Louboutin, came into being in</w:t>
      </w:r>
      <w:r w:rsidR="00CC3755">
        <w:rPr>
          <w:rFonts w:ascii="Times New Roman" w:hAnsi="Times New Roman" w:cs="Times New Roman"/>
        </w:rPr>
        <w:t xml:space="preserve"> 1991</w:t>
      </w:r>
      <w:r w:rsidRPr="003359B1">
        <w:rPr>
          <w:rFonts w:ascii="Times New Roman" w:hAnsi="Times New Roman" w:cs="Times New Roman"/>
        </w:rPr>
        <w:t xml:space="preserve">, quickly rising to fame with the consumers’ special focus on its iconic red outsole. Everyone, from celebrities to influencers, wears </w:t>
      </w:r>
      <w:proofErr w:type="spellStart"/>
      <w:r w:rsidRPr="003359B1">
        <w:rPr>
          <w:rFonts w:ascii="Times New Roman" w:hAnsi="Times New Roman" w:cs="Times New Roman"/>
        </w:rPr>
        <w:t>Louboutins</w:t>
      </w:r>
      <w:proofErr w:type="spellEnd"/>
      <w:r w:rsidRPr="003359B1">
        <w:rPr>
          <w:rFonts w:ascii="Times New Roman" w:hAnsi="Times New Roman" w:cs="Times New Roman"/>
        </w:rPr>
        <w:t xml:space="preserve">, showing off the signature red soles of their heels. </w:t>
      </w:r>
      <w:r w:rsidR="00BA4BE7">
        <w:rPr>
          <w:rFonts w:ascii="Times New Roman" w:hAnsi="Times New Roman" w:cs="Times New Roman"/>
        </w:rPr>
        <w:t>Subject to</w:t>
      </w:r>
      <w:r w:rsidRPr="003359B1">
        <w:rPr>
          <w:rFonts w:ascii="Times New Roman" w:hAnsi="Times New Roman" w:cs="Times New Roman"/>
        </w:rPr>
        <w:t xml:space="preserve"> the amount of popularity the brand had gotten</w:t>
      </w:r>
      <w:r w:rsidR="00BA4BE7">
        <w:rPr>
          <w:rFonts w:ascii="Times New Roman" w:hAnsi="Times New Roman" w:cs="Times New Roman"/>
        </w:rPr>
        <w:t>,</w:t>
      </w:r>
      <w:r w:rsidRPr="003359B1">
        <w:rPr>
          <w:rFonts w:ascii="Times New Roman" w:hAnsi="Times New Roman" w:cs="Times New Roman"/>
        </w:rPr>
        <w:t xml:space="preserve"> </w:t>
      </w:r>
      <w:r w:rsidR="00BA4BE7">
        <w:rPr>
          <w:rFonts w:ascii="Times New Roman" w:hAnsi="Times New Roman" w:cs="Times New Roman"/>
        </w:rPr>
        <w:t>due</w:t>
      </w:r>
      <w:r w:rsidRPr="003359B1">
        <w:rPr>
          <w:rFonts w:ascii="Times New Roman" w:hAnsi="Times New Roman" w:cs="Times New Roman"/>
        </w:rPr>
        <w:t xml:space="preserve"> to the red sole, Louboutin sought a trademark over the ‘Red Sole Mark’ through the PTO in 2007, which was granted in 2008. The ‘lacquered red sole on the footwear’ now had trademark protection and was confined to Christian Louboutin for </w:t>
      </w:r>
      <w:r w:rsidRPr="003359B1">
        <w:rPr>
          <w:rFonts w:ascii="Times New Roman" w:hAnsi="Times New Roman" w:cs="Times New Roman"/>
        </w:rPr>
        <w:lastRenderedPageBreak/>
        <w:t>commercial use</w:t>
      </w:r>
      <w:r w:rsidR="00EB2FD7">
        <w:rPr>
          <w:rFonts w:ascii="Times New Roman" w:hAnsi="Times New Roman" w:cs="Times New Roman"/>
        </w:rPr>
        <w:t>.</w:t>
      </w:r>
      <w:r w:rsidR="009A6FED">
        <w:rPr>
          <w:rStyle w:val="FootnoteReference"/>
          <w:rFonts w:ascii="Times New Roman" w:hAnsi="Times New Roman" w:cs="Times New Roman"/>
        </w:rPr>
        <w:footnoteReference w:id="10"/>
      </w:r>
      <w:r w:rsidR="00EB2FD7">
        <w:rPr>
          <w:rFonts w:ascii="Times New Roman" w:hAnsi="Times New Roman" w:cs="Times New Roman"/>
        </w:rPr>
        <w:t xml:space="preserve"> </w:t>
      </w:r>
      <w:r w:rsidR="00F92F6A" w:rsidRPr="003359B1">
        <w:rPr>
          <w:rFonts w:ascii="Times New Roman" w:hAnsi="Times New Roman" w:cs="Times New Roman"/>
        </w:rPr>
        <w:t xml:space="preserve">However, soon thereafter, yet another luxury brand, YSL, was set to market and release a line of monochrome footwear in a variation of colours, red being among them. This meant that the red shoe would </w:t>
      </w:r>
      <w:r w:rsidR="00AB5465">
        <w:rPr>
          <w:rFonts w:ascii="Times New Roman" w:hAnsi="Times New Roman" w:cs="Times New Roman"/>
        </w:rPr>
        <w:t>consist of a</w:t>
      </w:r>
      <w:r w:rsidR="00F92F6A" w:rsidRPr="003359B1">
        <w:rPr>
          <w:rFonts w:ascii="Times New Roman" w:hAnsi="Times New Roman" w:cs="Times New Roman"/>
        </w:rPr>
        <w:t xml:space="preserve"> red outsole </w:t>
      </w:r>
      <w:r w:rsidR="00AB5465">
        <w:rPr>
          <w:rFonts w:ascii="Times New Roman" w:hAnsi="Times New Roman" w:cs="Times New Roman"/>
        </w:rPr>
        <w:t>too</w:t>
      </w:r>
      <w:r w:rsidR="00F92F6A" w:rsidRPr="003359B1">
        <w:rPr>
          <w:rFonts w:ascii="Times New Roman" w:hAnsi="Times New Roman" w:cs="Times New Roman"/>
        </w:rPr>
        <w:t xml:space="preserve">. When Christian Louboutin got to know about the release of such a YSL line, they </w:t>
      </w:r>
      <w:r w:rsidR="00AD205B" w:rsidRPr="003359B1">
        <w:rPr>
          <w:rFonts w:ascii="Times New Roman" w:hAnsi="Times New Roman" w:cs="Times New Roman"/>
        </w:rPr>
        <w:t xml:space="preserve">requested its removal due to trademark infringement, subject to YSL’s red outsole. </w:t>
      </w:r>
    </w:p>
    <w:p w14:paraId="3DE0B087" w14:textId="35A063FD" w:rsidR="00AD205B" w:rsidRPr="003359B1" w:rsidRDefault="00AD205B" w:rsidP="003359B1">
      <w:pPr>
        <w:spacing w:line="360" w:lineRule="auto"/>
        <w:jc w:val="both"/>
        <w:rPr>
          <w:rFonts w:ascii="Times New Roman" w:hAnsi="Times New Roman" w:cs="Times New Roman"/>
        </w:rPr>
      </w:pPr>
      <w:r w:rsidRPr="003359B1">
        <w:rPr>
          <w:rFonts w:ascii="Times New Roman" w:hAnsi="Times New Roman" w:cs="Times New Roman"/>
        </w:rPr>
        <w:t>Following a denial of this request and a failure of negotiation rounds, Louboutin filed a case against YSL on 7</w:t>
      </w:r>
      <w:r w:rsidRPr="003359B1">
        <w:rPr>
          <w:rFonts w:ascii="Times New Roman" w:hAnsi="Times New Roman" w:cs="Times New Roman"/>
          <w:vertAlign w:val="superscript"/>
        </w:rPr>
        <w:t>th</w:t>
      </w:r>
      <w:r w:rsidRPr="003359B1">
        <w:rPr>
          <w:rFonts w:ascii="Times New Roman" w:hAnsi="Times New Roman" w:cs="Times New Roman"/>
        </w:rPr>
        <w:t xml:space="preserve"> April 2011 under the Lanham Act, on the grounds of trademark infringement</w:t>
      </w:r>
      <w:r w:rsidR="00F72E21">
        <w:rPr>
          <w:rFonts w:ascii="Times New Roman" w:hAnsi="Times New Roman" w:cs="Times New Roman"/>
        </w:rPr>
        <w:t xml:space="preserve"> and</w:t>
      </w:r>
      <w:r w:rsidRPr="003359B1">
        <w:rPr>
          <w:rFonts w:ascii="Times New Roman" w:hAnsi="Times New Roman" w:cs="Times New Roman"/>
        </w:rPr>
        <w:t xml:space="preserve"> dilution, unlawful deceptive acts and practices, false designation of origin </w:t>
      </w:r>
      <w:r w:rsidR="00F72E21">
        <w:rPr>
          <w:rFonts w:ascii="Times New Roman" w:hAnsi="Times New Roman" w:cs="Times New Roman"/>
        </w:rPr>
        <w:t>along with</w:t>
      </w:r>
      <w:r w:rsidRPr="003359B1">
        <w:rPr>
          <w:rFonts w:ascii="Times New Roman" w:hAnsi="Times New Roman" w:cs="Times New Roman"/>
        </w:rPr>
        <w:t xml:space="preserve"> unfair competition. While the litigation went on, they also sought for preliminary injunction to be imposed on YSL against marketing any such footwear with the ‘Red Sole Mark.’ In </w:t>
      </w:r>
      <w:r w:rsidR="00BA0EFC" w:rsidRPr="003359B1">
        <w:rPr>
          <w:rFonts w:ascii="Times New Roman" w:hAnsi="Times New Roman" w:cs="Times New Roman"/>
        </w:rPr>
        <w:t xml:space="preserve">response to this, YSL argued that the ‘Red Sole Mark’ should be cancelled on the grounds that it lacks ‘distinctiveness’, is ‘functional’ in nature, while also being obtained by fraud on the PTO. Furthermore, they also </w:t>
      </w:r>
      <w:r w:rsidR="00D56464">
        <w:rPr>
          <w:rFonts w:ascii="Times New Roman" w:hAnsi="Times New Roman" w:cs="Times New Roman"/>
        </w:rPr>
        <w:t>claimed</w:t>
      </w:r>
      <w:r w:rsidR="00BA0EFC" w:rsidRPr="003359B1">
        <w:rPr>
          <w:rFonts w:ascii="Times New Roman" w:hAnsi="Times New Roman" w:cs="Times New Roman"/>
        </w:rPr>
        <w:t xml:space="preserve"> remedies for unfair competition along with Louboutin’s interference in their business relations.</w:t>
      </w:r>
      <w:r w:rsidR="00246FFA">
        <w:rPr>
          <w:rStyle w:val="FootnoteReference"/>
          <w:rFonts w:ascii="Times New Roman" w:hAnsi="Times New Roman" w:cs="Times New Roman"/>
        </w:rPr>
        <w:footnoteReference w:id="11"/>
      </w:r>
    </w:p>
    <w:p w14:paraId="401D3D9F" w14:textId="6CC0473C" w:rsidR="00BA0EFC" w:rsidRPr="003359B1" w:rsidRDefault="00BA0EFC" w:rsidP="003359B1">
      <w:pPr>
        <w:spacing w:line="360" w:lineRule="auto"/>
        <w:jc w:val="both"/>
        <w:rPr>
          <w:rFonts w:ascii="Times New Roman" w:hAnsi="Times New Roman" w:cs="Times New Roman"/>
        </w:rPr>
      </w:pPr>
      <w:r w:rsidRPr="003359B1">
        <w:rPr>
          <w:rFonts w:ascii="Times New Roman" w:hAnsi="Times New Roman" w:cs="Times New Roman"/>
        </w:rPr>
        <w:t xml:space="preserve">Analysing the intricacies of this complex case, the final judgement of the </w:t>
      </w:r>
      <w:r w:rsidR="00B1546B">
        <w:rPr>
          <w:rFonts w:ascii="Times New Roman" w:hAnsi="Times New Roman" w:cs="Times New Roman"/>
        </w:rPr>
        <w:t>Southern District of New York</w:t>
      </w:r>
      <w:r w:rsidRPr="003359B1">
        <w:rPr>
          <w:rFonts w:ascii="Times New Roman" w:hAnsi="Times New Roman" w:cs="Times New Roman"/>
        </w:rPr>
        <w:t xml:space="preserve"> given by Judge Marrero ruled in favour of YSL. In his decision, Judge Marrero used the </w:t>
      </w:r>
      <w:proofErr w:type="spellStart"/>
      <w:r w:rsidRPr="003359B1">
        <w:rPr>
          <w:rFonts w:ascii="Times New Roman" w:hAnsi="Times New Roman" w:cs="Times New Roman"/>
        </w:rPr>
        <w:t>Qualitex</w:t>
      </w:r>
      <w:proofErr w:type="spellEnd"/>
      <w:r w:rsidRPr="003359B1">
        <w:rPr>
          <w:rFonts w:ascii="Times New Roman" w:hAnsi="Times New Roman" w:cs="Times New Roman"/>
        </w:rPr>
        <w:t xml:space="preserve"> judgement as a precedent in deducing how Louboutin’s red colour has a ‘significant </w:t>
      </w:r>
      <w:proofErr w:type="spellStart"/>
      <w:r w:rsidRPr="003359B1">
        <w:rPr>
          <w:rFonts w:ascii="Times New Roman" w:hAnsi="Times New Roman" w:cs="Times New Roman"/>
        </w:rPr>
        <w:t>nontrademark</w:t>
      </w:r>
      <w:proofErr w:type="spellEnd"/>
      <w:r w:rsidRPr="003359B1">
        <w:rPr>
          <w:rFonts w:ascii="Times New Roman" w:hAnsi="Times New Roman" w:cs="Times New Roman"/>
        </w:rPr>
        <w:t xml:space="preserve"> function’ due to its aesthetic functionality.</w:t>
      </w:r>
      <w:r w:rsidR="005C3B45">
        <w:rPr>
          <w:rStyle w:val="FootnoteReference"/>
          <w:rFonts w:ascii="Times New Roman" w:hAnsi="Times New Roman" w:cs="Times New Roman"/>
        </w:rPr>
        <w:footnoteReference w:id="12"/>
      </w:r>
      <w:r w:rsidR="004D41BD" w:rsidRPr="003359B1">
        <w:rPr>
          <w:rFonts w:ascii="Times New Roman" w:hAnsi="Times New Roman" w:cs="Times New Roman"/>
        </w:rPr>
        <w:t xml:space="preserve"> In the context of the case, he aimed to equate ‘ornamental’ with ‘functional’, for which he referred to cases such as </w:t>
      </w:r>
      <w:r w:rsidR="004D41BD" w:rsidRPr="00F82F98">
        <w:rPr>
          <w:rFonts w:ascii="Times New Roman" w:hAnsi="Times New Roman" w:cs="Times New Roman"/>
          <w:i/>
          <w:iCs/>
        </w:rPr>
        <w:t>Brunswick Co. v. British Seagull Ltd.</w:t>
      </w:r>
      <w:r w:rsidR="009A6FED">
        <w:rPr>
          <w:rStyle w:val="FootnoteReference"/>
          <w:rFonts w:ascii="Times New Roman" w:hAnsi="Times New Roman" w:cs="Times New Roman"/>
        </w:rPr>
        <w:footnoteReference w:id="13"/>
      </w:r>
      <w:r w:rsidR="00082DE6">
        <w:rPr>
          <w:rFonts w:ascii="Times New Roman" w:hAnsi="Times New Roman" w:cs="Times New Roman"/>
        </w:rPr>
        <w:t xml:space="preserve"> </w:t>
      </w:r>
      <w:r w:rsidR="004D41BD" w:rsidRPr="003359B1">
        <w:rPr>
          <w:rFonts w:ascii="Times New Roman" w:hAnsi="Times New Roman" w:cs="Times New Roman"/>
        </w:rPr>
        <w:t xml:space="preserve">and </w:t>
      </w:r>
      <w:r w:rsidR="004D41BD" w:rsidRPr="00F82F98">
        <w:rPr>
          <w:rFonts w:ascii="Times New Roman" w:hAnsi="Times New Roman" w:cs="Times New Roman"/>
          <w:i/>
          <w:iCs/>
        </w:rPr>
        <w:t xml:space="preserve">Deere &amp; Co. v. Farmhand, </w:t>
      </w:r>
      <w:r w:rsidR="00082DE6" w:rsidRPr="00F82F98">
        <w:rPr>
          <w:rFonts w:ascii="Times New Roman" w:hAnsi="Times New Roman" w:cs="Times New Roman"/>
          <w:i/>
          <w:iCs/>
        </w:rPr>
        <w:t>Inc</w:t>
      </w:r>
      <w:r w:rsidR="004D41BD" w:rsidRPr="00F82F98">
        <w:rPr>
          <w:rFonts w:ascii="Times New Roman" w:hAnsi="Times New Roman" w:cs="Times New Roman"/>
          <w:i/>
          <w:iCs/>
        </w:rPr>
        <w:t>,</w:t>
      </w:r>
      <w:r w:rsidR="009A6FED">
        <w:rPr>
          <w:rStyle w:val="FootnoteReference"/>
          <w:rFonts w:ascii="Times New Roman" w:hAnsi="Times New Roman" w:cs="Times New Roman"/>
        </w:rPr>
        <w:footnoteReference w:id="14"/>
      </w:r>
      <w:r w:rsidR="004D41BD" w:rsidRPr="003359B1">
        <w:rPr>
          <w:rFonts w:ascii="Times New Roman" w:hAnsi="Times New Roman" w:cs="Times New Roman"/>
        </w:rPr>
        <w:t xml:space="preserve"> which highlighted how ornamental aspects can also be functional. T</w:t>
      </w:r>
      <w:r w:rsidR="00AB5465">
        <w:rPr>
          <w:rFonts w:ascii="Times New Roman" w:hAnsi="Times New Roman" w:cs="Times New Roman"/>
        </w:rPr>
        <w:t>he aspect of cost/quality</w:t>
      </w:r>
      <w:r w:rsidR="004D41BD" w:rsidRPr="003359B1">
        <w:rPr>
          <w:rFonts w:ascii="Times New Roman" w:hAnsi="Times New Roman" w:cs="Times New Roman"/>
        </w:rPr>
        <w:t xml:space="preserve"> </w:t>
      </w:r>
      <w:r w:rsidR="00AB5465">
        <w:rPr>
          <w:rFonts w:ascii="Times New Roman" w:hAnsi="Times New Roman" w:cs="Times New Roman"/>
        </w:rPr>
        <w:t xml:space="preserve">of the article was also analysed as a precedent to </w:t>
      </w:r>
      <w:r w:rsidR="004D41BD" w:rsidRPr="003359B1">
        <w:rPr>
          <w:rFonts w:ascii="Times New Roman" w:hAnsi="Times New Roman" w:cs="Times New Roman"/>
        </w:rPr>
        <w:t>further prove the</w:t>
      </w:r>
      <w:r w:rsidR="002A2320">
        <w:rPr>
          <w:rFonts w:ascii="Times New Roman" w:hAnsi="Times New Roman" w:cs="Times New Roman"/>
        </w:rPr>
        <w:t xml:space="preserve"> functional nature of the ‘Red Sole Mark’</w:t>
      </w:r>
      <w:r w:rsidR="00AB5465">
        <w:rPr>
          <w:rFonts w:ascii="Times New Roman" w:hAnsi="Times New Roman" w:cs="Times New Roman"/>
        </w:rPr>
        <w:t xml:space="preserve">. </w:t>
      </w:r>
      <w:r w:rsidR="004D41BD" w:rsidRPr="003359B1">
        <w:rPr>
          <w:rFonts w:ascii="Times New Roman" w:hAnsi="Times New Roman" w:cs="Times New Roman"/>
        </w:rPr>
        <w:t xml:space="preserve">Furthermore, he opined that “whatever commercial purposes may support extending trademark protection to a single </w:t>
      </w:r>
      <w:proofErr w:type="spellStart"/>
      <w:r w:rsidR="004D41BD" w:rsidRPr="003359B1">
        <w:rPr>
          <w:rFonts w:ascii="Times New Roman" w:hAnsi="Times New Roman" w:cs="Times New Roman"/>
        </w:rPr>
        <w:t>color</w:t>
      </w:r>
      <w:proofErr w:type="spellEnd"/>
      <w:r w:rsidR="004D41BD" w:rsidRPr="003359B1">
        <w:rPr>
          <w:rFonts w:ascii="Times New Roman" w:hAnsi="Times New Roman" w:cs="Times New Roman"/>
        </w:rPr>
        <w:t xml:space="preserve"> for industrial goods do not easily fit the unique characteristics and needs—the creativity, aesthetics, taste, and seasonal change—that define production of articles </w:t>
      </w:r>
      <w:r w:rsidR="004D41BD" w:rsidRPr="003359B1">
        <w:rPr>
          <w:rFonts w:ascii="Times New Roman" w:hAnsi="Times New Roman" w:cs="Times New Roman"/>
        </w:rPr>
        <w:lastRenderedPageBreak/>
        <w:t xml:space="preserve">of fashion”, thus establishing that single colour trademarks are not eligible for legal protection, thereby </w:t>
      </w:r>
      <w:r w:rsidR="00767E2B" w:rsidRPr="003359B1">
        <w:rPr>
          <w:rFonts w:ascii="Times New Roman" w:hAnsi="Times New Roman" w:cs="Times New Roman"/>
        </w:rPr>
        <w:t>questioning the validity of</w:t>
      </w:r>
      <w:r w:rsidR="004D41BD" w:rsidRPr="003359B1">
        <w:rPr>
          <w:rFonts w:ascii="Times New Roman" w:hAnsi="Times New Roman" w:cs="Times New Roman"/>
        </w:rPr>
        <w:t xml:space="preserve"> the ‘Red Sole Mark’ due to its functionality.</w:t>
      </w:r>
      <w:r w:rsidR="00767E2B" w:rsidRPr="003359B1">
        <w:rPr>
          <w:rFonts w:ascii="Times New Roman" w:hAnsi="Times New Roman" w:cs="Times New Roman"/>
        </w:rPr>
        <w:t xml:space="preserve"> Due to </w:t>
      </w:r>
      <w:r w:rsidR="00CE6DE7">
        <w:rPr>
          <w:rFonts w:ascii="Times New Roman" w:hAnsi="Times New Roman" w:cs="Times New Roman"/>
        </w:rPr>
        <w:t>the</w:t>
      </w:r>
      <w:r w:rsidR="00767E2B" w:rsidRPr="003359B1">
        <w:rPr>
          <w:rFonts w:ascii="Times New Roman" w:hAnsi="Times New Roman" w:cs="Times New Roman"/>
        </w:rPr>
        <w:t xml:space="preserve"> functional nature, the aspect of ‘secondary meaning’ was not considered altogether by Judge Marrero.</w:t>
      </w:r>
      <w:r w:rsidR="005C3B45">
        <w:rPr>
          <w:rStyle w:val="FootnoteReference"/>
          <w:rFonts w:ascii="Times New Roman" w:hAnsi="Times New Roman" w:cs="Times New Roman"/>
        </w:rPr>
        <w:footnoteReference w:id="15"/>
      </w:r>
    </w:p>
    <w:p w14:paraId="41CA7DC4" w14:textId="06811CDD" w:rsidR="004D41BD" w:rsidRPr="003359B1" w:rsidRDefault="004D41BD" w:rsidP="003359B1">
      <w:pPr>
        <w:spacing w:line="360" w:lineRule="auto"/>
        <w:jc w:val="both"/>
        <w:rPr>
          <w:rFonts w:ascii="Times New Roman" w:hAnsi="Times New Roman" w:cs="Times New Roman"/>
        </w:rPr>
      </w:pPr>
      <w:r w:rsidRPr="003359B1">
        <w:rPr>
          <w:rFonts w:ascii="Times New Roman" w:hAnsi="Times New Roman" w:cs="Times New Roman"/>
        </w:rPr>
        <w:t xml:space="preserve">This decision of the District Court was, however, overturned by the </w:t>
      </w:r>
      <w:r w:rsidR="00B1546B">
        <w:rPr>
          <w:rFonts w:ascii="Times New Roman" w:hAnsi="Times New Roman" w:cs="Times New Roman"/>
        </w:rPr>
        <w:t>Second</w:t>
      </w:r>
      <w:r w:rsidR="00BD7B91">
        <w:rPr>
          <w:rFonts w:ascii="Times New Roman" w:hAnsi="Times New Roman" w:cs="Times New Roman"/>
        </w:rPr>
        <w:t xml:space="preserve"> Circuit </w:t>
      </w:r>
      <w:r w:rsidRPr="003359B1">
        <w:rPr>
          <w:rFonts w:ascii="Times New Roman" w:hAnsi="Times New Roman" w:cs="Times New Roman"/>
        </w:rPr>
        <w:t>on appeal on September 5</w:t>
      </w:r>
      <w:r w:rsidRPr="003359B1">
        <w:rPr>
          <w:rFonts w:ascii="Times New Roman" w:hAnsi="Times New Roman" w:cs="Times New Roman"/>
          <w:vertAlign w:val="superscript"/>
        </w:rPr>
        <w:t>th</w:t>
      </w:r>
      <w:r w:rsidRPr="003359B1">
        <w:rPr>
          <w:rFonts w:ascii="Times New Roman" w:hAnsi="Times New Roman" w:cs="Times New Roman"/>
        </w:rPr>
        <w:t xml:space="preserve">, 2012. The </w:t>
      </w:r>
      <w:r w:rsidR="00B1546B">
        <w:rPr>
          <w:rFonts w:ascii="Times New Roman" w:hAnsi="Times New Roman" w:cs="Times New Roman"/>
        </w:rPr>
        <w:t>Second</w:t>
      </w:r>
      <w:r w:rsidR="00BD7B91">
        <w:rPr>
          <w:rFonts w:ascii="Times New Roman" w:hAnsi="Times New Roman" w:cs="Times New Roman"/>
        </w:rPr>
        <w:t xml:space="preserve"> Circuit</w:t>
      </w:r>
      <w:r w:rsidRPr="003359B1">
        <w:rPr>
          <w:rFonts w:ascii="Times New Roman" w:hAnsi="Times New Roman" w:cs="Times New Roman"/>
        </w:rPr>
        <w:t xml:space="preserve"> held that the decision of single </w:t>
      </w:r>
      <w:r w:rsidR="00767E2B" w:rsidRPr="003359B1">
        <w:rPr>
          <w:rFonts w:ascii="Times New Roman" w:hAnsi="Times New Roman" w:cs="Times New Roman"/>
        </w:rPr>
        <w:t>colour</w:t>
      </w:r>
      <w:r w:rsidRPr="003359B1">
        <w:rPr>
          <w:rFonts w:ascii="Times New Roman" w:hAnsi="Times New Roman" w:cs="Times New Roman"/>
        </w:rPr>
        <w:t xml:space="preserve"> trademarks being ineligible for protection was inconsistent with the </w:t>
      </w:r>
      <w:proofErr w:type="spellStart"/>
      <w:r w:rsidRPr="003359B1">
        <w:rPr>
          <w:rFonts w:ascii="Times New Roman" w:hAnsi="Times New Roman" w:cs="Times New Roman"/>
        </w:rPr>
        <w:t>Qualitex</w:t>
      </w:r>
      <w:proofErr w:type="spellEnd"/>
      <w:r w:rsidRPr="003359B1">
        <w:rPr>
          <w:rFonts w:ascii="Times New Roman" w:hAnsi="Times New Roman" w:cs="Times New Roman"/>
        </w:rPr>
        <w:t xml:space="preserve"> judgement</w:t>
      </w:r>
      <w:r w:rsidR="00767E2B" w:rsidRPr="003359B1">
        <w:rPr>
          <w:rFonts w:ascii="Times New Roman" w:hAnsi="Times New Roman" w:cs="Times New Roman"/>
        </w:rPr>
        <w:t>.</w:t>
      </w:r>
      <w:r w:rsidR="005C3B45">
        <w:rPr>
          <w:rStyle w:val="FootnoteReference"/>
          <w:rFonts w:ascii="Times New Roman" w:hAnsi="Times New Roman" w:cs="Times New Roman"/>
        </w:rPr>
        <w:footnoteReference w:id="16"/>
      </w:r>
      <w:r w:rsidR="00767E2B" w:rsidRPr="003359B1">
        <w:rPr>
          <w:rFonts w:ascii="Times New Roman" w:hAnsi="Times New Roman" w:cs="Times New Roman"/>
        </w:rPr>
        <w:t xml:space="preserve"> The Court held that the red sole of the Louboutin shoes had acquired ‘secondary meaning’ over time, which had made it grow ‘distinct’ in nature as it became associated with Louboutin’s brand identity. Therefore, subject to the </w:t>
      </w:r>
      <w:r w:rsidR="00BD7B91">
        <w:rPr>
          <w:rFonts w:ascii="Times New Roman" w:hAnsi="Times New Roman" w:cs="Times New Roman"/>
        </w:rPr>
        <w:t>federal court’s</w:t>
      </w:r>
      <w:r w:rsidR="00767E2B" w:rsidRPr="003359B1">
        <w:rPr>
          <w:rFonts w:ascii="Times New Roman" w:hAnsi="Times New Roman" w:cs="Times New Roman"/>
        </w:rPr>
        <w:t xml:space="preserve"> power to modify trademark registrations under Section 37 of the Act, the ‘Red Sole Mark’ was held valid; however, to suppress monopolization, its validity was confined to only those shoes wherein the outsole</w:t>
      </w:r>
      <w:r w:rsidR="00A310EC">
        <w:rPr>
          <w:rFonts w:ascii="Times New Roman" w:hAnsi="Times New Roman" w:cs="Times New Roman"/>
        </w:rPr>
        <w:t>’s red colour</w:t>
      </w:r>
      <w:r w:rsidR="00767E2B" w:rsidRPr="003359B1">
        <w:rPr>
          <w:rFonts w:ascii="Times New Roman" w:hAnsi="Times New Roman" w:cs="Times New Roman"/>
        </w:rPr>
        <w:t xml:space="preserve"> contrasted with the rest of the shoe. Thus, keeping in mind the modified trademark, the absence </w:t>
      </w:r>
      <w:r w:rsidR="00C404DD" w:rsidRPr="003359B1">
        <w:rPr>
          <w:rFonts w:ascii="Times New Roman" w:hAnsi="Times New Roman" w:cs="Times New Roman"/>
        </w:rPr>
        <w:t>in</w:t>
      </w:r>
      <w:r w:rsidR="00767E2B" w:rsidRPr="003359B1">
        <w:rPr>
          <w:rFonts w:ascii="Times New Roman" w:hAnsi="Times New Roman" w:cs="Times New Roman"/>
        </w:rPr>
        <w:t xml:space="preserve"> contrast of the YSL heels with its outsole due to being monochromatic</w:t>
      </w:r>
      <w:r w:rsidR="00C404DD" w:rsidRPr="003359B1">
        <w:rPr>
          <w:rFonts w:ascii="Times New Roman" w:hAnsi="Times New Roman" w:cs="Times New Roman"/>
        </w:rPr>
        <w:t xml:space="preserve"> cleared the brand from trademark infringement. The Court also highlighted how no need arose to address the ‘functional’ aspect of the ‘Red Sole Mark’ altogether.</w:t>
      </w:r>
      <w:r w:rsidR="00246FFA">
        <w:rPr>
          <w:rStyle w:val="FootnoteReference"/>
          <w:rFonts w:ascii="Times New Roman" w:hAnsi="Times New Roman" w:cs="Times New Roman"/>
        </w:rPr>
        <w:footnoteReference w:id="17"/>
      </w:r>
    </w:p>
    <w:p w14:paraId="49D84B33" w14:textId="79C108BB" w:rsidR="00C404DD" w:rsidRPr="00A85E1A" w:rsidRDefault="00617629" w:rsidP="00A85E1A">
      <w:pPr>
        <w:pStyle w:val="ListParagraph"/>
        <w:numPr>
          <w:ilvl w:val="0"/>
          <w:numId w:val="1"/>
        </w:numPr>
        <w:spacing w:line="360" w:lineRule="auto"/>
        <w:rPr>
          <w:rFonts w:ascii="Times New Roman" w:hAnsi="Times New Roman" w:cs="Times New Roman"/>
          <w:b/>
          <w:bCs/>
        </w:rPr>
      </w:pPr>
      <w:r w:rsidRPr="00A85E1A">
        <w:rPr>
          <w:rFonts w:ascii="Times New Roman" w:hAnsi="Times New Roman" w:cs="Times New Roman"/>
          <w:b/>
          <w:bCs/>
        </w:rPr>
        <w:t>The Implications of Single Colour Trademarks</w:t>
      </w:r>
    </w:p>
    <w:p w14:paraId="5C3EB1B8" w14:textId="38AC0EA1" w:rsidR="00850DCC" w:rsidRPr="003359B1" w:rsidRDefault="00A03D6F" w:rsidP="003359B1">
      <w:pPr>
        <w:spacing w:line="360" w:lineRule="auto"/>
        <w:jc w:val="both"/>
        <w:rPr>
          <w:rFonts w:ascii="Times New Roman" w:hAnsi="Times New Roman" w:cs="Times New Roman"/>
        </w:rPr>
      </w:pPr>
      <w:r w:rsidRPr="003359B1">
        <w:rPr>
          <w:rFonts w:ascii="Times New Roman" w:hAnsi="Times New Roman" w:cs="Times New Roman"/>
        </w:rPr>
        <w:t xml:space="preserve">Following the </w:t>
      </w:r>
      <w:r w:rsidR="00B1546B">
        <w:rPr>
          <w:rFonts w:ascii="Times New Roman" w:hAnsi="Times New Roman" w:cs="Times New Roman"/>
        </w:rPr>
        <w:t>Second</w:t>
      </w:r>
      <w:r w:rsidR="00BD7B91">
        <w:rPr>
          <w:rFonts w:ascii="Times New Roman" w:hAnsi="Times New Roman" w:cs="Times New Roman"/>
        </w:rPr>
        <w:t xml:space="preserve"> Circuit’s</w:t>
      </w:r>
      <w:r w:rsidRPr="003359B1">
        <w:rPr>
          <w:rFonts w:ascii="Times New Roman" w:hAnsi="Times New Roman" w:cs="Times New Roman"/>
        </w:rPr>
        <w:t xml:space="preserve"> judgement in 2012, Christian Louboutin, to date, has trademark protection over its much-popular colour-contrasting red-sole heels. However, w</w:t>
      </w:r>
      <w:r w:rsidR="00850DCC" w:rsidRPr="003359B1">
        <w:rPr>
          <w:rFonts w:ascii="Times New Roman" w:hAnsi="Times New Roman" w:cs="Times New Roman"/>
        </w:rPr>
        <w:t>hat became a topic of significant debate and discussion among legal scholars in trade</w:t>
      </w:r>
      <w:r w:rsidR="00193A23">
        <w:rPr>
          <w:rFonts w:ascii="Times New Roman" w:hAnsi="Times New Roman" w:cs="Times New Roman"/>
        </w:rPr>
        <w:t>mark</w:t>
      </w:r>
      <w:r w:rsidR="00850DCC" w:rsidRPr="003359B1">
        <w:rPr>
          <w:rFonts w:ascii="Times New Roman" w:hAnsi="Times New Roman" w:cs="Times New Roman"/>
        </w:rPr>
        <w:t xml:space="preserve"> law jurisprudence following this judgement was how the Court applied the doctrine of aesthetic functionality on the ‘Red Sole Mark’. The first questionable aspect of the judgement was the acceptance of ‘secondary meaning’ as an eligibility criterion for trademark protection without consideration of ‘functionality’. As </w:t>
      </w:r>
      <w:r w:rsidR="00B1546B">
        <w:rPr>
          <w:rFonts w:ascii="Times New Roman" w:hAnsi="Times New Roman" w:cs="Times New Roman"/>
        </w:rPr>
        <w:t>has been established strongly through precedent</w:t>
      </w:r>
      <w:r w:rsidR="00850DCC" w:rsidRPr="003359B1">
        <w:rPr>
          <w:rFonts w:ascii="Times New Roman" w:hAnsi="Times New Roman" w:cs="Times New Roman"/>
        </w:rPr>
        <w:t xml:space="preserve">, ‘functionality’ and ‘secondary meaning’ (under ‘distinctiveness’) form two separate essentials of trademarks, which </w:t>
      </w:r>
      <w:r w:rsidR="00850DCC" w:rsidRPr="00D0299D">
        <w:rPr>
          <w:rFonts w:ascii="Times New Roman" w:hAnsi="Times New Roman" w:cs="Times New Roman"/>
          <w:i/>
          <w:iCs/>
        </w:rPr>
        <w:t>ipso facto</w:t>
      </w:r>
      <w:r w:rsidR="00850DCC" w:rsidRPr="003359B1">
        <w:rPr>
          <w:rFonts w:ascii="Times New Roman" w:hAnsi="Times New Roman" w:cs="Times New Roman"/>
        </w:rPr>
        <w:t xml:space="preserve"> points towards </w:t>
      </w:r>
      <w:r w:rsidR="00B15B7C">
        <w:rPr>
          <w:rFonts w:ascii="Times New Roman" w:hAnsi="Times New Roman" w:cs="Times New Roman"/>
        </w:rPr>
        <w:t xml:space="preserve">how </w:t>
      </w:r>
      <w:r w:rsidR="00850DCC" w:rsidRPr="003359B1">
        <w:rPr>
          <w:rFonts w:ascii="Times New Roman" w:hAnsi="Times New Roman" w:cs="Times New Roman"/>
        </w:rPr>
        <w:t xml:space="preserve">the absence of one essential negates the presence of the rest. For a mark to be eligible for protection, it requires the presence of all three essentials. Keeping this in mind, the decision of the </w:t>
      </w:r>
      <w:r w:rsidR="00B1546B">
        <w:rPr>
          <w:rFonts w:ascii="Times New Roman" w:hAnsi="Times New Roman" w:cs="Times New Roman"/>
        </w:rPr>
        <w:t>Second</w:t>
      </w:r>
      <w:r w:rsidR="00BD7B91">
        <w:rPr>
          <w:rFonts w:ascii="Times New Roman" w:hAnsi="Times New Roman" w:cs="Times New Roman"/>
        </w:rPr>
        <w:t xml:space="preserve"> </w:t>
      </w:r>
      <w:r w:rsidR="00B1546B">
        <w:rPr>
          <w:rFonts w:ascii="Times New Roman" w:hAnsi="Times New Roman" w:cs="Times New Roman"/>
        </w:rPr>
        <w:t>Circuit</w:t>
      </w:r>
      <w:r w:rsidR="00850DCC" w:rsidRPr="003359B1">
        <w:rPr>
          <w:rFonts w:ascii="Times New Roman" w:hAnsi="Times New Roman" w:cs="Times New Roman"/>
        </w:rPr>
        <w:t xml:space="preserve"> to allow a single colour trademark </w:t>
      </w:r>
      <w:r w:rsidR="00850DCC" w:rsidRPr="003359B1">
        <w:rPr>
          <w:rFonts w:ascii="Times New Roman" w:hAnsi="Times New Roman" w:cs="Times New Roman"/>
        </w:rPr>
        <w:lastRenderedPageBreak/>
        <w:t xml:space="preserve">solely based on ‘commercial use’ and ‘secondary meaning’ without feeling the need to address the ‘functional’ aspect of the mark makes a major chunk of the judgement heavily flawed. </w:t>
      </w:r>
    </w:p>
    <w:p w14:paraId="122C8A16" w14:textId="4701672F" w:rsidR="00B15B7C" w:rsidRDefault="00850DCC" w:rsidP="003359B1">
      <w:pPr>
        <w:spacing w:line="360" w:lineRule="auto"/>
        <w:jc w:val="both"/>
        <w:rPr>
          <w:rFonts w:ascii="Times New Roman" w:hAnsi="Times New Roman" w:cs="Times New Roman"/>
        </w:rPr>
      </w:pPr>
      <w:r w:rsidRPr="003359B1">
        <w:rPr>
          <w:rFonts w:ascii="Times New Roman" w:hAnsi="Times New Roman" w:cs="Times New Roman"/>
        </w:rPr>
        <w:t>To substantiate this,</w:t>
      </w:r>
      <w:r w:rsidR="00BF63E8" w:rsidRPr="003359B1">
        <w:rPr>
          <w:rFonts w:ascii="Times New Roman" w:hAnsi="Times New Roman" w:cs="Times New Roman"/>
        </w:rPr>
        <w:t xml:space="preserve"> since both the Courts heavily relied on the </w:t>
      </w:r>
      <w:proofErr w:type="spellStart"/>
      <w:r w:rsidR="00BF63E8" w:rsidRPr="003359B1">
        <w:rPr>
          <w:rFonts w:ascii="Times New Roman" w:hAnsi="Times New Roman" w:cs="Times New Roman"/>
        </w:rPr>
        <w:t>Qualitex</w:t>
      </w:r>
      <w:proofErr w:type="spellEnd"/>
      <w:r w:rsidR="00BF63E8" w:rsidRPr="003359B1">
        <w:rPr>
          <w:rFonts w:ascii="Times New Roman" w:hAnsi="Times New Roman" w:cs="Times New Roman"/>
        </w:rPr>
        <w:t xml:space="preserve"> judgement as a precedent, it becomes imperative to mention how that very judgment held that if the mark in question is ‘functional’ in nature, there arises no need to refer to ‘secondary meaning’. Thus, the ideal way in which the eligibility of the ‘Red Sole Mark’ should have been assessed would have been to dissect its ‘functionality’ first before delving into whether it had acquired ‘secondary meaning’ or not. Due to the </w:t>
      </w:r>
      <w:r w:rsidR="00475C5D">
        <w:rPr>
          <w:rFonts w:ascii="Times New Roman" w:hAnsi="Times New Roman" w:cs="Times New Roman"/>
        </w:rPr>
        <w:t>negligible</w:t>
      </w:r>
      <w:r w:rsidR="00BF63E8" w:rsidRPr="003359B1">
        <w:rPr>
          <w:rFonts w:ascii="Times New Roman" w:hAnsi="Times New Roman" w:cs="Times New Roman"/>
        </w:rPr>
        <w:t xml:space="preserve"> focus on ‘functionality’, </w:t>
      </w:r>
      <w:r w:rsidR="00421F47">
        <w:rPr>
          <w:rFonts w:ascii="Times New Roman" w:hAnsi="Times New Roman" w:cs="Times New Roman"/>
        </w:rPr>
        <w:t xml:space="preserve">no light could be thrown on </w:t>
      </w:r>
      <w:r w:rsidR="00BF63E8" w:rsidRPr="003359B1">
        <w:rPr>
          <w:rFonts w:ascii="Times New Roman" w:hAnsi="Times New Roman" w:cs="Times New Roman"/>
        </w:rPr>
        <w:t xml:space="preserve">the </w:t>
      </w:r>
      <w:r w:rsidR="00475C5D">
        <w:rPr>
          <w:rFonts w:ascii="Times New Roman" w:hAnsi="Times New Roman" w:cs="Times New Roman"/>
        </w:rPr>
        <w:t>issue</w:t>
      </w:r>
      <w:r w:rsidR="00BF63E8" w:rsidRPr="003359B1">
        <w:rPr>
          <w:rFonts w:ascii="Times New Roman" w:hAnsi="Times New Roman" w:cs="Times New Roman"/>
        </w:rPr>
        <w:t xml:space="preserve"> of aesthetic functionality in this judgement. The role of the sole’s red colour in determining its cost, being a strong ‘selling feature’ and being integral to the market’s function, were aspects that remained untouched by the Court while giving its judgement, making it quite lopsided in the truest sense. Thus,</w:t>
      </w:r>
      <w:r w:rsidR="000D268A" w:rsidRPr="003359B1">
        <w:rPr>
          <w:rFonts w:ascii="Times New Roman" w:hAnsi="Times New Roman" w:cs="Times New Roman"/>
        </w:rPr>
        <w:t xml:space="preserve"> </w:t>
      </w:r>
      <w:r w:rsidR="00B15B7C">
        <w:rPr>
          <w:rFonts w:ascii="Times New Roman" w:hAnsi="Times New Roman" w:cs="Times New Roman"/>
        </w:rPr>
        <w:t>even though the</w:t>
      </w:r>
      <w:r w:rsidR="00B15B7C" w:rsidRPr="003359B1">
        <w:rPr>
          <w:rFonts w:ascii="Times New Roman" w:hAnsi="Times New Roman" w:cs="Times New Roman"/>
        </w:rPr>
        <w:t xml:space="preserve"> </w:t>
      </w:r>
      <w:r w:rsidR="00BD7B91">
        <w:rPr>
          <w:rFonts w:ascii="Times New Roman" w:hAnsi="Times New Roman" w:cs="Times New Roman"/>
        </w:rPr>
        <w:t>appellate judgement</w:t>
      </w:r>
      <w:r w:rsidR="00B15B7C" w:rsidRPr="003359B1">
        <w:rPr>
          <w:rFonts w:ascii="Times New Roman" w:hAnsi="Times New Roman" w:cs="Times New Roman"/>
        </w:rPr>
        <w:t xml:space="preserve"> failed to interpret </w:t>
      </w:r>
      <w:r w:rsidR="00B15B7C">
        <w:rPr>
          <w:rFonts w:ascii="Times New Roman" w:hAnsi="Times New Roman" w:cs="Times New Roman"/>
        </w:rPr>
        <w:t>the</w:t>
      </w:r>
      <w:r w:rsidR="00B15B7C" w:rsidRPr="003359B1">
        <w:rPr>
          <w:rFonts w:ascii="Times New Roman" w:hAnsi="Times New Roman" w:cs="Times New Roman"/>
        </w:rPr>
        <w:t xml:space="preserve"> doctrine of aesthetic functionality </w:t>
      </w:r>
      <w:r w:rsidR="00B15B7C">
        <w:rPr>
          <w:rFonts w:ascii="Times New Roman" w:hAnsi="Times New Roman" w:cs="Times New Roman"/>
        </w:rPr>
        <w:t xml:space="preserve">properly, </w:t>
      </w:r>
      <w:r w:rsidR="000D268A" w:rsidRPr="003359B1">
        <w:rPr>
          <w:rFonts w:ascii="Times New Roman" w:hAnsi="Times New Roman" w:cs="Times New Roman"/>
        </w:rPr>
        <w:t>the District Court</w:t>
      </w:r>
      <w:r w:rsidR="00385FB3">
        <w:rPr>
          <w:rFonts w:ascii="Times New Roman" w:hAnsi="Times New Roman" w:cs="Times New Roman"/>
        </w:rPr>
        <w:t>’s interpretation</w:t>
      </w:r>
      <w:r w:rsidR="000D268A" w:rsidRPr="003359B1">
        <w:rPr>
          <w:rFonts w:ascii="Times New Roman" w:hAnsi="Times New Roman" w:cs="Times New Roman"/>
        </w:rPr>
        <w:t xml:space="preserve"> </w:t>
      </w:r>
      <w:r w:rsidR="00385FB3">
        <w:rPr>
          <w:rFonts w:ascii="Times New Roman" w:hAnsi="Times New Roman" w:cs="Times New Roman"/>
        </w:rPr>
        <w:t xml:space="preserve">of </w:t>
      </w:r>
      <w:r w:rsidR="00B15B7C">
        <w:rPr>
          <w:rFonts w:ascii="Times New Roman" w:hAnsi="Times New Roman" w:cs="Times New Roman"/>
        </w:rPr>
        <w:t xml:space="preserve">it </w:t>
      </w:r>
      <w:r w:rsidR="00385FB3">
        <w:rPr>
          <w:rFonts w:ascii="Times New Roman" w:hAnsi="Times New Roman" w:cs="Times New Roman"/>
        </w:rPr>
        <w:t xml:space="preserve">was </w:t>
      </w:r>
      <w:r w:rsidR="000D268A" w:rsidRPr="003359B1">
        <w:rPr>
          <w:rFonts w:ascii="Times New Roman" w:hAnsi="Times New Roman" w:cs="Times New Roman"/>
        </w:rPr>
        <w:t xml:space="preserve">quite </w:t>
      </w:r>
      <w:r w:rsidR="00385FB3">
        <w:rPr>
          <w:rFonts w:ascii="Times New Roman" w:hAnsi="Times New Roman" w:cs="Times New Roman"/>
        </w:rPr>
        <w:t>intricate</w:t>
      </w:r>
      <w:r w:rsidR="00B15B7C">
        <w:rPr>
          <w:rFonts w:ascii="Times New Roman" w:hAnsi="Times New Roman" w:cs="Times New Roman"/>
        </w:rPr>
        <w:t>.</w:t>
      </w:r>
    </w:p>
    <w:p w14:paraId="485926FB" w14:textId="230F8BD7" w:rsidR="00A03D6F" w:rsidRPr="003359B1" w:rsidRDefault="00C404DD" w:rsidP="003359B1">
      <w:pPr>
        <w:spacing w:line="360" w:lineRule="auto"/>
        <w:jc w:val="both"/>
        <w:rPr>
          <w:rFonts w:ascii="Times New Roman" w:hAnsi="Times New Roman" w:cs="Times New Roman"/>
        </w:rPr>
      </w:pPr>
      <w:r w:rsidRPr="003359B1">
        <w:rPr>
          <w:rFonts w:ascii="Times New Roman" w:hAnsi="Times New Roman" w:cs="Times New Roman"/>
        </w:rPr>
        <w:t xml:space="preserve">While the opposing judgements given by </w:t>
      </w:r>
      <w:r w:rsidR="00BD7B91">
        <w:rPr>
          <w:rFonts w:ascii="Times New Roman" w:hAnsi="Times New Roman" w:cs="Times New Roman"/>
        </w:rPr>
        <w:t xml:space="preserve">both the courts </w:t>
      </w:r>
      <w:r w:rsidRPr="003359B1">
        <w:rPr>
          <w:rFonts w:ascii="Times New Roman" w:hAnsi="Times New Roman" w:cs="Times New Roman"/>
        </w:rPr>
        <w:t xml:space="preserve">became the cause of several debates, there is a growing concern that has begun to brew in the minds of </w:t>
      </w:r>
      <w:r w:rsidR="00872B83">
        <w:rPr>
          <w:rFonts w:ascii="Times New Roman" w:hAnsi="Times New Roman" w:cs="Times New Roman"/>
        </w:rPr>
        <w:t>the fashion industry</w:t>
      </w:r>
      <w:r w:rsidRPr="003359B1">
        <w:rPr>
          <w:rFonts w:ascii="Times New Roman" w:hAnsi="Times New Roman" w:cs="Times New Roman"/>
        </w:rPr>
        <w:t xml:space="preserve">. If the precedent set in the </w:t>
      </w:r>
      <w:r w:rsidR="00B1546B">
        <w:rPr>
          <w:rFonts w:ascii="Times New Roman" w:hAnsi="Times New Roman" w:cs="Times New Roman"/>
        </w:rPr>
        <w:t>Second</w:t>
      </w:r>
      <w:r w:rsidR="00BD7B91">
        <w:rPr>
          <w:rFonts w:ascii="Times New Roman" w:hAnsi="Times New Roman" w:cs="Times New Roman"/>
        </w:rPr>
        <w:t xml:space="preserve"> Circuit’s</w:t>
      </w:r>
      <w:r w:rsidRPr="003359B1">
        <w:rPr>
          <w:rFonts w:ascii="Times New Roman" w:hAnsi="Times New Roman" w:cs="Times New Roman"/>
        </w:rPr>
        <w:t xml:space="preserve"> judgement is put to use in today’s fashion industry, then the economy might be set to face quite a strong challenge. </w:t>
      </w:r>
      <w:r w:rsidR="005579BC" w:rsidRPr="003359B1">
        <w:rPr>
          <w:rFonts w:ascii="Times New Roman" w:hAnsi="Times New Roman" w:cs="Times New Roman"/>
        </w:rPr>
        <w:t xml:space="preserve">If single colour trademarks are looked upon as favourably by the Courts, then it would not be long before numerous other prominent brand entities with their signature-coloured logos and patterns would also register for trademarks. </w:t>
      </w:r>
    </w:p>
    <w:p w14:paraId="00C6BCBC" w14:textId="5E14FA5A" w:rsidR="00AD205B" w:rsidRPr="003359B1" w:rsidRDefault="005579BC" w:rsidP="003359B1">
      <w:pPr>
        <w:spacing w:line="360" w:lineRule="auto"/>
        <w:jc w:val="both"/>
        <w:rPr>
          <w:rFonts w:ascii="Times New Roman" w:hAnsi="Times New Roman" w:cs="Times New Roman"/>
        </w:rPr>
      </w:pPr>
      <w:r w:rsidRPr="003359B1">
        <w:rPr>
          <w:rFonts w:ascii="Times New Roman" w:hAnsi="Times New Roman" w:cs="Times New Roman"/>
        </w:rPr>
        <w:t xml:space="preserve">As consumerism grows by the day in the world, so does the number of fashion brand entities with newer options to offer. Every such brand wants something signature to them to expand their reach and leave a mark in the minds of the consumers, and colours, with their eye-catchiness, become the strongest technique to do </w:t>
      </w:r>
      <w:r w:rsidR="00A03D6F" w:rsidRPr="003359B1">
        <w:rPr>
          <w:rFonts w:ascii="Times New Roman" w:hAnsi="Times New Roman" w:cs="Times New Roman"/>
        </w:rPr>
        <w:t>so</w:t>
      </w:r>
      <w:r w:rsidRPr="003359B1">
        <w:rPr>
          <w:rFonts w:ascii="Times New Roman" w:hAnsi="Times New Roman" w:cs="Times New Roman"/>
        </w:rPr>
        <w:t>.</w:t>
      </w:r>
      <w:r w:rsidR="00850DCC" w:rsidRPr="003359B1">
        <w:rPr>
          <w:rFonts w:ascii="Times New Roman" w:hAnsi="Times New Roman" w:cs="Times New Roman"/>
        </w:rPr>
        <w:t xml:space="preserve"> </w:t>
      </w:r>
      <w:r w:rsidR="00A03D6F" w:rsidRPr="003359B1">
        <w:rPr>
          <w:rFonts w:ascii="Times New Roman" w:hAnsi="Times New Roman" w:cs="Times New Roman"/>
        </w:rPr>
        <w:t>While this indeed becomes a great marketing strategy, it is important to highlight that there exists only a limited number of colours. The luxury jewellery brand, Tiffany &amp; Co., already possesses trademark protection over its signature box colour, robins-egg blue, while another French luxury fashion brand, Hermes, has trademark protection over the warm orange colour associated with the brand.</w:t>
      </w:r>
      <w:r w:rsidR="00DB257E">
        <w:rPr>
          <w:rStyle w:val="FootnoteReference"/>
          <w:rFonts w:ascii="Times New Roman" w:hAnsi="Times New Roman" w:cs="Times New Roman"/>
        </w:rPr>
        <w:footnoteReference w:id="18"/>
      </w:r>
      <w:r w:rsidR="00A03D6F" w:rsidRPr="003359B1">
        <w:rPr>
          <w:rFonts w:ascii="Times New Roman" w:hAnsi="Times New Roman" w:cs="Times New Roman"/>
        </w:rPr>
        <w:t xml:space="preserve"> Thus, analysing the rate at which colours are being trademarked, it won’t be long before only </w:t>
      </w:r>
      <w:r w:rsidR="00A03D6F" w:rsidRPr="003359B1">
        <w:rPr>
          <w:rFonts w:ascii="Times New Roman" w:hAnsi="Times New Roman" w:cs="Times New Roman"/>
        </w:rPr>
        <w:lastRenderedPageBreak/>
        <w:t xml:space="preserve">a handful of colours will be left for new competitors to explore with, which amounts to nothing but unfair competition. Concepts such as seasonal trends, which </w:t>
      </w:r>
      <w:r w:rsidR="00E04566">
        <w:rPr>
          <w:rFonts w:ascii="Times New Roman" w:hAnsi="Times New Roman" w:cs="Times New Roman"/>
        </w:rPr>
        <w:t>heavily</w:t>
      </w:r>
      <w:r w:rsidR="00A03D6F" w:rsidRPr="003359B1">
        <w:rPr>
          <w:rFonts w:ascii="Times New Roman" w:hAnsi="Times New Roman" w:cs="Times New Roman"/>
        </w:rPr>
        <w:t xml:space="preserve"> rely on colours, and colour symbolizations might begin to fade further into the future, leading to a potentially colour-monopolized fashion industry. The Restatement of Torts declares that </w:t>
      </w:r>
      <w:r w:rsidR="000C1B9B">
        <w:rPr>
          <w:rFonts w:ascii="Times New Roman" w:hAnsi="Times New Roman" w:cs="Times New Roman"/>
        </w:rPr>
        <w:t>‘</w:t>
      </w:r>
      <w:r w:rsidR="00A03D6F" w:rsidRPr="003359B1">
        <w:rPr>
          <w:rFonts w:ascii="Times New Roman" w:hAnsi="Times New Roman" w:cs="Times New Roman"/>
        </w:rPr>
        <w:t>the privilege to engage in business and to compete with others implies a privilege to copy or imitate the physical appearance of another's goods.</w:t>
      </w:r>
      <w:r w:rsidR="000C1B9B">
        <w:rPr>
          <w:rFonts w:ascii="Times New Roman" w:hAnsi="Times New Roman" w:cs="Times New Roman"/>
        </w:rPr>
        <w:t>’</w:t>
      </w:r>
      <w:r w:rsidR="00CF5C5A">
        <w:rPr>
          <w:rStyle w:val="FootnoteReference"/>
          <w:rFonts w:ascii="Times New Roman" w:hAnsi="Times New Roman" w:cs="Times New Roman"/>
        </w:rPr>
        <w:footnoteReference w:id="19"/>
      </w:r>
      <w:r w:rsidR="002D3188">
        <w:rPr>
          <w:rFonts w:ascii="Times New Roman" w:hAnsi="Times New Roman" w:cs="Times New Roman"/>
        </w:rPr>
        <w:t xml:space="preserve"> </w:t>
      </w:r>
      <w:r w:rsidR="00A03D6F" w:rsidRPr="003359B1">
        <w:rPr>
          <w:rFonts w:ascii="Times New Roman" w:hAnsi="Times New Roman" w:cs="Times New Roman"/>
        </w:rPr>
        <w:t xml:space="preserve">This very sentence highlights how </w:t>
      </w:r>
      <w:r w:rsidR="000F55E0" w:rsidRPr="003359B1">
        <w:rPr>
          <w:rFonts w:ascii="Times New Roman" w:hAnsi="Times New Roman" w:cs="Times New Roman"/>
        </w:rPr>
        <w:t xml:space="preserve">the </w:t>
      </w:r>
      <w:r w:rsidR="00105583">
        <w:rPr>
          <w:rFonts w:ascii="Times New Roman" w:hAnsi="Times New Roman" w:cs="Times New Roman"/>
        </w:rPr>
        <w:t xml:space="preserve">imitation of </w:t>
      </w:r>
      <w:r w:rsidR="00DA7B42">
        <w:rPr>
          <w:rFonts w:ascii="Times New Roman" w:hAnsi="Times New Roman" w:cs="Times New Roman"/>
        </w:rPr>
        <w:t xml:space="preserve">the physical appearance of </w:t>
      </w:r>
      <w:r w:rsidR="00105583">
        <w:rPr>
          <w:rFonts w:ascii="Times New Roman" w:hAnsi="Times New Roman" w:cs="Times New Roman"/>
        </w:rPr>
        <w:t>products</w:t>
      </w:r>
      <w:r w:rsidR="00DA7B42">
        <w:rPr>
          <w:rFonts w:ascii="Times New Roman" w:hAnsi="Times New Roman" w:cs="Times New Roman"/>
        </w:rPr>
        <w:t xml:space="preserve"> in the market</w:t>
      </w:r>
      <w:r w:rsidR="00105583">
        <w:rPr>
          <w:rFonts w:ascii="Times New Roman" w:hAnsi="Times New Roman" w:cs="Times New Roman"/>
        </w:rPr>
        <w:t xml:space="preserve"> is quintessential to business engagement</w:t>
      </w:r>
      <w:r w:rsidR="000F55E0" w:rsidRPr="003359B1">
        <w:rPr>
          <w:rFonts w:ascii="Times New Roman" w:hAnsi="Times New Roman" w:cs="Times New Roman"/>
        </w:rPr>
        <w:t xml:space="preserve"> in the form of healthy competition. Thus, while it is necessary that trademarks be granted to colours that rightfully pass the aesthetic functionality doctrine, it becomes essential that no designs functional in nature acquire trademarks. As was similarly held in </w:t>
      </w:r>
      <w:r w:rsidR="000F55E0" w:rsidRPr="00F82F98">
        <w:rPr>
          <w:rFonts w:ascii="Times New Roman" w:hAnsi="Times New Roman" w:cs="Times New Roman"/>
          <w:i/>
          <w:iCs/>
        </w:rPr>
        <w:t>Yale &amp; Towne Mfg. Co. v. Alder.</w:t>
      </w:r>
      <w:r w:rsidR="000F55E0" w:rsidRPr="003359B1">
        <w:rPr>
          <w:rFonts w:ascii="Times New Roman" w:hAnsi="Times New Roman" w:cs="Times New Roman"/>
        </w:rPr>
        <w:t>, such lackadaisical attitudes and lopsided interpretations can indeed breed the growth of unfair competition.</w:t>
      </w:r>
      <w:r w:rsidR="00082DE6">
        <w:rPr>
          <w:rStyle w:val="FootnoteReference"/>
          <w:rFonts w:ascii="Times New Roman" w:hAnsi="Times New Roman" w:cs="Times New Roman"/>
        </w:rPr>
        <w:footnoteReference w:id="20"/>
      </w:r>
    </w:p>
    <w:p w14:paraId="0691891F" w14:textId="440187F0" w:rsidR="00BD13C9" w:rsidRPr="00A85E1A" w:rsidRDefault="00617629" w:rsidP="00A85E1A">
      <w:pPr>
        <w:pStyle w:val="ListParagraph"/>
        <w:numPr>
          <w:ilvl w:val="0"/>
          <w:numId w:val="1"/>
        </w:numPr>
        <w:spacing w:line="360" w:lineRule="auto"/>
        <w:rPr>
          <w:rFonts w:ascii="Times New Roman" w:hAnsi="Times New Roman" w:cs="Times New Roman"/>
          <w:b/>
          <w:bCs/>
        </w:rPr>
      </w:pPr>
      <w:r w:rsidRPr="00A85E1A">
        <w:rPr>
          <w:rFonts w:ascii="Times New Roman" w:hAnsi="Times New Roman" w:cs="Times New Roman"/>
          <w:b/>
          <w:bCs/>
        </w:rPr>
        <w:t>Conclusion</w:t>
      </w:r>
    </w:p>
    <w:p w14:paraId="04CBE4D1" w14:textId="72FFCD6C" w:rsidR="003359B1" w:rsidRPr="003359B1" w:rsidRDefault="003359B1" w:rsidP="003359B1">
      <w:pPr>
        <w:spacing w:line="360" w:lineRule="auto"/>
        <w:jc w:val="both"/>
        <w:rPr>
          <w:rFonts w:ascii="Times New Roman" w:hAnsi="Times New Roman" w:cs="Times New Roman"/>
        </w:rPr>
      </w:pPr>
      <w:r w:rsidRPr="003359B1">
        <w:rPr>
          <w:rFonts w:ascii="Times New Roman" w:hAnsi="Times New Roman" w:cs="Times New Roman"/>
        </w:rPr>
        <w:t xml:space="preserve">The doctrine of aesthetic functionality plays a very significant </w:t>
      </w:r>
      <w:r w:rsidR="0062497D">
        <w:rPr>
          <w:rFonts w:ascii="Times New Roman" w:hAnsi="Times New Roman" w:cs="Times New Roman"/>
        </w:rPr>
        <w:t xml:space="preserve">role </w:t>
      </w:r>
      <w:r w:rsidRPr="003359B1">
        <w:rPr>
          <w:rFonts w:ascii="Times New Roman" w:hAnsi="Times New Roman" w:cs="Times New Roman"/>
        </w:rPr>
        <w:t xml:space="preserve">within trademark law, especially in the fashion industry. Its presence prevents the monopolization of features of aesthetic appeal, such as colours and shapes, in a manner that hinders competition. The impact of the appeal on market success and consumer choice plays a prominent role in determining its trademark protection. </w:t>
      </w:r>
    </w:p>
    <w:p w14:paraId="3D11A3DB" w14:textId="7D78F16E" w:rsidR="00BD13C9" w:rsidRPr="003359B1" w:rsidRDefault="003359B1" w:rsidP="00617629">
      <w:pPr>
        <w:spacing w:line="360" w:lineRule="auto"/>
        <w:jc w:val="both"/>
        <w:rPr>
          <w:rFonts w:ascii="Times New Roman" w:hAnsi="Times New Roman" w:cs="Times New Roman"/>
        </w:rPr>
      </w:pPr>
      <w:r w:rsidRPr="003359B1">
        <w:rPr>
          <w:rFonts w:ascii="Times New Roman" w:hAnsi="Times New Roman" w:cs="Times New Roman"/>
        </w:rPr>
        <w:t xml:space="preserve">The </w:t>
      </w:r>
      <w:r w:rsidRPr="00D67E19">
        <w:rPr>
          <w:rFonts w:ascii="Times New Roman" w:hAnsi="Times New Roman" w:cs="Times New Roman"/>
          <w:i/>
          <w:iCs/>
        </w:rPr>
        <w:t>Louboutin v. YSL</w:t>
      </w:r>
      <w:r w:rsidRPr="003359B1">
        <w:rPr>
          <w:rFonts w:ascii="Times New Roman" w:hAnsi="Times New Roman" w:cs="Times New Roman"/>
        </w:rPr>
        <w:t xml:space="preserve"> case brings this doctrine into sharp focus, revealing both its importance and the challenges in applying it. While courts do indeed recognize the value of brand identity, it is imperative that they also prevent brands from claiming legal rights over aesthetic elements that are vital to the fashion industry’s creativity. Ultimately, the doctrine of aesthetic functionality serves as a safeguard, ensuring that trademark law protects true aesthetic designs without stifling competition in a market driven by style and aesthetics.</w:t>
      </w:r>
    </w:p>
    <w:p w14:paraId="53A4BE7F" w14:textId="77777777" w:rsidR="00BD13C9" w:rsidRPr="003359B1" w:rsidRDefault="00BD13C9" w:rsidP="003359B1">
      <w:pPr>
        <w:jc w:val="both"/>
        <w:rPr>
          <w:rFonts w:ascii="Times New Roman" w:hAnsi="Times New Roman" w:cs="Times New Roman"/>
        </w:rPr>
      </w:pPr>
    </w:p>
    <w:p w14:paraId="1560E89E" w14:textId="77777777" w:rsidR="00BD13C9" w:rsidRPr="003359B1" w:rsidRDefault="00BD13C9" w:rsidP="003359B1">
      <w:pPr>
        <w:jc w:val="both"/>
        <w:rPr>
          <w:rFonts w:ascii="Times New Roman" w:hAnsi="Times New Roman" w:cs="Times New Roman"/>
        </w:rPr>
      </w:pPr>
    </w:p>
    <w:sectPr w:rsidR="00BD13C9" w:rsidRPr="003359B1" w:rsidSect="00617629">
      <w:footerReference w:type="default" r:id="rId8"/>
      <w:pgSz w:w="11906" w:h="16838"/>
      <w:pgMar w:top="1440" w:right="1440" w:bottom="1440" w:left="144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B2990" w14:textId="77777777" w:rsidR="00883274" w:rsidRDefault="00883274" w:rsidP="00246FFA">
      <w:pPr>
        <w:spacing w:after="0" w:line="240" w:lineRule="auto"/>
      </w:pPr>
      <w:r>
        <w:separator/>
      </w:r>
    </w:p>
  </w:endnote>
  <w:endnote w:type="continuationSeparator" w:id="0">
    <w:p w14:paraId="56595BA5" w14:textId="77777777" w:rsidR="00883274" w:rsidRDefault="00883274" w:rsidP="00246F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057420403"/>
      <w:docPartObj>
        <w:docPartGallery w:val="Page Numbers (Bottom of Page)"/>
        <w:docPartUnique/>
      </w:docPartObj>
    </w:sdtPr>
    <w:sdtEndPr>
      <w:rPr>
        <w:noProof/>
      </w:rPr>
    </w:sdtEndPr>
    <w:sdtContent>
      <w:p w14:paraId="48D0ACBE" w14:textId="2BBF53FB" w:rsidR="00CC3755" w:rsidRPr="00CC3755" w:rsidRDefault="00CC3755">
        <w:pPr>
          <w:pStyle w:val="Footer"/>
          <w:jc w:val="center"/>
          <w:rPr>
            <w:rFonts w:ascii="Times New Roman" w:hAnsi="Times New Roman" w:cs="Times New Roman"/>
          </w:rPr>
        </w:pPr>
        <w:r w:rsidRPr="00CC3755">
          <w:rPr>
            <w:rFonts w:ascii="Times New Roman" w:hAnsi="Times New Roman" w:cs="Times New Roman"/>
          </w:rPr>
          <w:fldChar w:fldCharType="begin"/>
        </w:r>
        <w:r w:rsidRPr="00CC3755">
          <w:rPr>
            <w:rFonts w:ascii="Times New Roman" w:hAnsi="Times New Roman" w:cs="Times New Roman"/>
          </w:rPr>
          <w:instrText xml:space="preserve"> PAGE   \* MERGEFORMAT </w:instrText>
        </w:r>
        <w:r w:rsidRPr="00CC3755">
          <w:rPr>
            <w:rFonts w:ascii="Times New Roman" w:hAnsi="Times New Roman" w:cs="Times New Roman"/>
          </w:rPr>
          <w:fldChar w:fldCharType="separate"/>
        </w:r>
        <w:r w:rsidRPr="00CC3755">
          <w:rPr>
            <w:rFonts w:ascii="Times New Roman" w:hAnsi="Times New Roman" w:cs="Times New Roman"/>
            <w:noProof/>
          </w:rPr>
          <w:t>2</w:t>
        </w:r>
        <w:r w:rsidRPr="00CC3755">
          <w:rPr>
            <w:rFonts w:ascii="Times New Roman" w:hAnsi="Times New Roman" w:cs="Times New Roman"/>
            <w:noProof/>
          </w:rPr>
          <w:fldChar w:fldCharType="end"/>
        </w:r>
      </w:p>
    </w:sdtContent>
  </w:sdt>
  <w:p w14:paraId="48F252FC" w14:textId="77777777" w:rsidR="00CC3755" w:rsidRDefault="00CC37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ACDF26" w14:textId="77777777" w:rsidR="00883274" w:rsidRDefault="00883274" w:rsidP="00246FFA">
      <w:pPr>
        <w:spacing w:after="0" w:line="240" w:lineRule="auto"/>
      </w:pPr>
      <w:r>
        <w:separator/>
      </w:r>
    </w:p>
  </w:footnote>
  <w:footnote w:type="continuationSeparator" w:id="0">
    <w:p w14:paraId="31D10DE7" w14:textId="77777777" w:rsidR="00883274" w:rsidRDefault="00883274" w:rsidP="00246FFA">
      <w:pPr>
        <w:spacing w:after="0" w:line="240" w:lineRule="auto"/>
      </w:pPr>
      <w:r>
        <w:continuationSeparator/>
      </w:r>
    </w:p>
  </w:footnote>
  <w:footnote w:id="1">
    <w:p w14:paraId="6D7E637F" w14:textId="196F3B1D" w:rsidR="00246FFA" w:rsidRPr="002B7B8C" w:rsidRDefault="00246FFA"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Pr="002B7B8C">
        <w:rPr>
          <w:rFonts w:ascii="Times New Roman" w:hAnsi="Times New Roman" w:cs="Times New Roman"/>
          <w:i/>
          <w:iCs/>
        </w:rPr>
        <w:t>Anthony L. Fletcher,</w:t>
      </w:r>
      <w:r w:rsidRPr="002B7B8C">
        <w:rPr>
          <w:rFonts w:ascii="Times New Roman" w:hAnsi="Times New Roman" w:cs="Times New Roman"/>
        </w:rPr>
        <w:t xml:space="preserve"> </w:t>
      </w:r>
      <w:r w:rsidRPr="002B7B8C">
        <w:rPr>
          <w:rFonts w:ascii="Times New Roman" w:hAnsi="Times New Roman" w:cs="Times New Roman"/>
          <w:i/>
          <w:iCs/>
        </w:rPr>
        <w:t>The Paradox of Aesthetic Functionality</w:t>
      </w:r>
      <w:r w:rsidRPr="002B7B8C">
        <w:rPr>
          <w:rFonts w:ascii="Times New Roman" w:hAnsi="Times New Roman" w:cs="Times New Roman"/>
        </w:rPr>
        <w:t>, 104 Trademark Rep. 731 (2014).</w:t>
      </w:r>
    </w:p>
  </w:footnote>
  <w:footnote w:id="2">
    <w:p w14:paraId="38607F02" w14:textId="51E4DA18" w:rsidR="00D235DE" w:rsidRPr="002B7B8C" w:rsidRDefault="00D235DE"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i/>
          <w:iCs/>
        </w:rPr>
        <w:t>Lanham</w:t>
      </w:r>
      <w:r w:rsidR="005F48FE" w:rsidRPr="002B7B8C">
        <w:rPr>
          <w:rFonts w:ascii="Times New Roman" w:hAnsi="Times New Roman" w:cs="Times New Roman"/>
          <w:i/>
          <w:iCs/>
        </w:rPr>
        <w:t xml:space="preserve"> </w:t>
      </w:r>
      <w:r w:rsidRPr="002B7B8C">
        <w:rPr>
          <w:rFonts w:ascii="Times New Roman" w:hAnsi="Times New Roman" w:cs="Times New Roman"/>
          <w:i/>
          <w:iCs/>
        </w:rPr>
        <w:t>Act</w:t>
      </w:r>
      <w:r w:rsidRPr="002B7B8C">
        <w:rPr>
          <w:rFonts w:ascii="Times New Roman" w:hAnsi="Times New Roman" w:cs="Times New Roman"/>
        </w:rPr>
        <w:t>, Wex, Legal Information Institute, Cornell Law School,</w:t>
      </w:r>
      <w:r w:rsidR="005F48FE" w:rsidRPr="002B7B8C">
        <w:rPr>
          <w:rFonts w:ascii="Times New Roman" w:hAnsi="Times New Roman" w:cs="Times New Roman"/>
        </w:rPr>
        <w:t xml:space="preserve"> </w:t>
      </w:r>
      <w:hyperlink r:id="rId1" w:history="1">
        <w:r w:rsidR="005F48FE" w:rsidRPr="002B7B8C">
          <w:rPr>
            <w:rStyle w:val="Hyperlink"/>
            <w:rFonts w:ascii="Times New Roman" w:hAnsi="Times New Roman" w:cs="Times New Roman"/>
          </w:rPr>
          <w:t>https://www.law.cornell.edu/wex/lanham_act</w:t>
        </w:r>
      </w:hyperlink>
      <w:r w:rsidRPr="002B7B8C">
        <w:rPr>
          <w:rFonts w:ascii="Times New Roman" w:hAnsi="Times New Roman" w:cs="Times New Roman"/>
        </w:rPr>
        <w:t>.</w:t>
      </w:r>
    </w:p>
  </w:footnote>
  <w:footnote w:id="3">
    <w:p w14:paraId="410F9205" w14:textId="66C87F5C" w:rsidR="00D235DE" w:rsidRPr="002B7B8C" w:rsidRDefault="00D235DE"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Pr="002B7B8C">
        <w:rPr>
          <w:rFonts w:ascii="Times New Roman" w:hAnsi="Times New Roman" w:cs="Times New Roman"/>
          <w:i/>
          <w:iCs/>
        </w:rPr>
        <w:t>Trico Prods. Corp. v. Ace Prods. Corp.</w:t>
      </w:r>
      <w:r w:rsidRPr="002B7B8C">
        <w:rPr>
          <w:rFonts w:ascii="Times New Roman" w:hAnsi="Times New Roman" w:cs="Times New Roman"/>
        </w:rPr>
        <w:t>, 30 F.2d 688 (D. Conn. 1929).</w:t>
      </w:r>
    </w:p>
  </w:footnote>
  <w:footnote w:id="4">
    <w:p w14:paraId="2835978D" w14:textId="6D7187CD" w:rsidR="00082DE6" w:rsidRPr="002B7B8C" w:rsidRDefault="00082DE6"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Pr="002B7B8C">
        <w:rPr>
          <w:rFonts w:ascii="Times New Roman" w:hAnsi="Times New Roman" w:cs="Times New Roman"/>
          <w:i/>
          <w:iCs/>
        </w:rPr>
        <w:t>Truck Equipment Service Co. v. Fruehauf Corp.,</w:t>
      </w:r>
      <w:r w:rsidRPr="002B7B8C">
        <w:rPr>
          <w:rFonts w:ascii="Times New Roman" w:hAnsi="Times New Roman" w:cs="Times New Roman"/>
        </w:rPr>
        <w:t xml:space="preserve"> (1976) 536 F.2d 1210 (8th Cir. 1976).</w:t>
      </w:r>
    </w:p>
  </w:footnote>
  <w:footnote w:id="5">
    <w:p w14:paraId="3533A06E" w14:textId="58043ED6" w:rsidR="00D235DE" w:rsidRPr="002B7B8C" w:rsidRDefault="00D235DE"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Pr="002B7B8C">
        <w:rPr>
          <w:rFonts w:ascii="Times New Roman" w:hAnsi="Times New Roman" w:cs="Times New Roman"/>
          <w:i/>
          <w:iCs/>
        </w:rPr>
        <w:t xml:space="preserve">Pooja </w:t>
      </w:r>
      <w:proofErr w:type="spellStart"/>
      <w:r w:rsidRPr="002B7B8C">
        <w:rPr>
          <w:rFonts w:ascii="Times New Roman" w:hAnsi="Times New Roman" w:cs="Times New Roman"/>
          <w:i/>
          <w:iCs/>
        </w:rPr>
        <w:t>Thripati</w:t>
      </w:r>
      <w:proofErr w:type="spellEnd"/>
      <w:r w:rsidRPr="002B7B8C">
        <w:rPr>
          <w:rFonts w:ascii="Times New Roman" w:hAnsi="Times New Roman" w:cs="Times New Roman"/>
          <w:i/>
          <w:iCs/>
        </w:rPr>
        <w:t>,</w:t>
      </w:r>
      <w:r w:rsidRPr="002B7B8C">
        <w:rPr>
          <w:rFonts w:ascii="Times New Roman" w:hAnsi="Times New Roman" w:cs="Times New Roman"/>
        </w:rPr>
        <w:t xml:space="preserve"> </w:t>
      </w:r>
      <w:r w:rsidRPr="002B7B8C">
        <w:rPr>
          <w:rFonts w:ascii="Times New Roman" w:hAnsi="Times New Roman" w:cs="Times New Roman"/>
          <w:i/>
          <w:iCs/>
        </w:rPr>
        <w:t>Doctrine of Functionality under Intellectual Property Rights</w:t>
      </w:r>
      <w:r w:rsidRPr="002B7B8C">
        <w:rPr>
          <w:rFonts w:ascii="Times New Roman" w:hAnsi="Times New Roman" w:cs="Times New Roman"/>
        </w:rPr>
        <w:t xml:space="preserve"> (Ph.D. dissertation, </w:t>
      </w:r>
      <w:proofErr w:type="spellStart"/>
      <w:r w:rsidRPr="002B7B8C">
        <w:rPr>
          <w:rFonts w:ascii="Times New Roman" w:hAnsi="Times New Roman" w:cs="Times New Roman"/>
        </w:rPr>
        <w:t>Nat’l</w:t>
      </w:r>
      <w:proofErr w:type="spellEnd"/>
      <w:r w:rsidRPr="002B7B8C">
        <w:rPr>
          <w:rFonts w:ascii="Times New Roman" w:hAnsi="Times New Roman" w:cs="Times New Roman"/>
        </w:rPr>
        <w:t xml:space="preserve"> L. Sch. of India Univ. 2010), </w:t>
      </w:r>
      <w:hyperlink r:id="rId2" w:tgtFrame="_new" w:history="1">
        <w:r w:rsidRPr="002B7B8C">
          <w:rPr>
            <w:rStyle w:val="Hyperlink"/>
            <w:rFonts w:ascii="Times New Roman" w:hAnsi="Times New Roman" w:cs="Times New Roman"/>
          </w:rPr>
          <w:t>http://oldopac.nls.ac.in:8081/xmlui/bitstream/handle/123456789/1922/LLM306.pdf</w:t>
        </w:r>
      </w:hyperlink>
      <w:r w:rsidRPr="002B7B8C">
        <w:rPr>
          <w:rFonts w:ascii="Times New Roman" w:hAnsi="Times New Roman" w:cs="Times New Roman"/>
        </w:rPr>
        <w:t>.</w:t>
      </w:r>
    </w:p>
  </w:footnote>
  <w:footnote w:id="6">
    <w:p w14:paraId="358480FC" w14:textId="3DA773BF" w:rsidR="00246FFA" w:rsidRPr="002B7B8C" w:rsidRDefault="00246FFA"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Pr="002B7B8C">
        <w:rPr>
          <w:rFonts w:ascii="Times New Roman" w:hAnsi="Times New Roman" w:cs="Times New Roman"/>
          <w:i/>
          <w:iCs/>
        </w:rPr>
        <w:t>Michael S. Mireles Jr.,</w:t>
      </w:r>
      <w:r w:rsidRPr="002B7B8C">
        <w:rPr>
          <w:rFonts w:ascii="Times New Roman" w:hAnsi="Times New Roman" w:cs="Times New Roman"/>
        </w:rPr>
        <w:t xml:space="preserve"> </w:t>
      </w:r>
      <w:r w:rsidRPr="002B7B8C">
        <w:rPr>
          <w:rFonts w:ascii="Times New Roman" w:hAnsi="Times New Roman" w:cs="Times New Roman"/>
          <w:i/>
          <w:iCs/>
        </w:rPr>
        <w:t>Aesthetic Functionality</w:t>
      </w:r>
      <w:r w:rsidRPr="002B7B8C">
        <w:rPr>
          <w:rFonts w:ascii="Times New Roman" w:hAnsi="Times New Roman" w:cs="Times New Roman"/>
        </w:rPr>
        <w:t xml:space="preserve">, 21 Tex. </w:t>
      </w:r>
      <w:proofErr w:type="spellStart"/>
      <w:r w:rsidRPr="002B7B8C">
        <w:rPr>
          <w:rFonts w:ascii="Times New Roman" w:hAnsi="Times New Roman" w:cs="Times New Roman"/>
        </w:rPr>
        <w:t>Intell</w:t>
      </w:r>
      <w:proofErr w:type="spellEnd"/>
      <w:r w:rsidRPr="002B7B8C">
        <w:rPr>
          <w:rFonts w:ascii="Times New Roman" w:hAnsi="Times New Roman" w:cs="Times New Roman"/>
        </w:rPr>
        <w:t>. Prop. L.J. 155 (2013).</w:t>
      </w:r>
    </w:p>
  </w:footnote>
  <w:footnote w:id="7">
    <w:p w14:paraId="23AEE138" w14:textId="7944B569" w:rsidR="00D235DE" w:rsidRPr="002B7B8C" w:rsidRDefault="00D235DE"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proofErr w:type="spellStart"/>
      <w:r w:rsidRPr="002B7B8C">
        <w:rPr>
          <w:rFonts w:ascii="Times New Roman" w:hAnsi="Times New Roman" w:cs="Times New Roman"/>
          <w:i/>
          <w:iCs/>
        </w:rPr>
        <w:t>Pagliero</w:t>
      </w:r>
      <w:proofErr w:type="spellEnd"/>
      <w:r w:rsidRPr="002B7B8C">
        <w:rPr>
          <w:rFonts w:ascii="Times New Roman" w:hAnsi="Times New Roman" w:cs="Times New Roman"/>
          <w:i/>
          <w:iCs/>
        </w:rPr>
        <w:t xml:space="preserve"> v. Wallace China Co.,</w:t>
      </w:r>
      <w:r w:rsidRPr="002B7B8C">
        <w:rPr>
          <w:rFonts w:ascii="Times New Roman" w:hAnsi="Times New Roman" w:cs="Times New Roman"/>
        </w:rPr>
        <w:t xml:space="preserve"> (1952) 198 F.2d 339 (9th Cir. 1952)</w:t>
      </w:r>
      <w:r w:rsidR="00082DE6" w:rsidRPr="002B7B8C">
        <w:rPr>
          <w:rFonts w:ascii="Times New Roman" w:hAnsi="Times New Roman" w:cs="Times New Roman"/>
        </w:rPr>
        <w:t>.</w:t>
      </w:r>
    </w:p>
  </w:footnote>
  <w:footnote w:id="8">
    <w:p w14:paraId="09952776" w14:textId="50062A2E" w:rsidR="00DB257E" w:rsidRPr="002B7B8C" w:rsidRDefault="00DB257E"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proofErr w:type="spellStart"/>
      <w:r w:rsidRPr="002B7B8C">
        <w:rPr>
          <w:rFonts w:ascii="Times New Roman" w:hAnsi="Times New Roman" w:cs="Times New Roman"/>
          <w:i/>
          <w:iCs/>
        </w:rPr>
        <w:t>Qualitex</w:t>
      </w:r>
      <w:proofErr w:type="spellEnd"/>
      <w:r w:rsidRPr="002B7B8C">
        <w:rPr>
          <w:rFonts w:ascii="Times New Roman" w:hAnsi="Times New Roman" w:cs="Times New Roman"/>
          <w:i/>
          <w:iCs/>
        </w:rPr>
        <w:t xml:space="preserve"> Co. v. Jacobson Prods. Co.,</w:t>
      </w:r>
      <w:r w:rsidRPr="002B7B8C">
        <w:rPr>
          <w:rFonts w:ascii="Times New Roman" w:hAnsi="Times New Roman" w:cs="Times New Roman"/>
        </w:rPr>
        <w:t xml:space="preserve"> 514 U.S. 159 (1995).</w:t>
      </w:r>
    </w:p>
  </w:footnote>
  <w:footnote w:id="9">
    <w:p w14:paraId="15158D12" w14:textId="4334995B" w:rsidR="00DB257E" w:rsidRPr="002B7B8C" w:rsidRDefault="00DB257E"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Pr="002B7B8C">
        <w:rPr>
          <w:rFonts w:ascii="Times New Roman" w:hAnsi="Times New Roman" w:cs="Times New Roman"/>
          <w:i/>
          <w:iCs/>
        </w:rPr>
        <w:t>Inwood Labs., Inc. v. Ives Labs., Inc.</w:t>
      </w:r>
      <w:r w:rsidRPr="002B7B8C">
        <w:rPr>
          <w:rFonts w:ascii="Times New Roman" w:hAnsi="Times New Roman" w:cs="Times New Roman"/>
        </w:rPr>
        <w:t>, 456 U.S. 844, 850 (1982).</w:t>
      </w:r>
    </w:p>
  </w:footnote>
  <w:footnote w:id="10">
    <w:p w14:paraId="41F8EFE1" w14:textId="6DF26CBE" w:rsidR="009A6FED" w:rsidRPr="002B7B8C" w:rsidRDefault="009A6FED"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Reanna L. Kuitse, </w:t>
      </w:r>
      <w:r w:rsidRPr="002B7B8C">
        <w:rPr>
          <w:rFonts w:ascii="Times New Roman" w:hAnsi="Times New Roman" w:cs="Times New Roman"/>
          <w:i/>
          <w:iCs/>
        </w:rPr>
        <w:t>Christian Louboutin’s “Red Sole Mark” Saved to Remain Louboutin’s Footmark in High Fashion, For Now…</w:t>
      </w:r>
      <w:r w:rsidRPr="002B7B8C">
        <w:rPr>
          <w:rFonts w:ascii="Times New Roman" w:hAnsi="Times New Roman" w:cs="Times New Roman"/>
        </w:rPr>
        <w:t>, 46 Ind. L. Rev. 241 (2024)</w:t>
      </w:r>
      <w:r w:rsidR="005F48FE" w:rsidRPr="002B7B8C">
        <w:rPr>
          <w:rFonts w:ascii="Times New Roman" w:hAnsi="Times New Roman" w:cs="Times New Roman"/>
        </w:rPr>
        <w:t>.</w:t>
      </w:r>
    </w:p>
  </w:footnote>
  <w:footnote w:id="11">
    <w:p w14:paraId="6528A41E" w14:textId="1B42908C" w:rsidR="00246FFA" w:rsidRPr="002B7B8C" w:rsidRDefault="00246FFA"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Pr="002B7B8C">
        <w:rPr>
          <w:rFonts w:ascii="Times New Roman" w:hAnsi="Times New Roman" w:cs="Times New Roman"/>
          <w:i/>
          <w:iCs/>
        </w:rPr>
        <w:t>Claire Guehenno,</w:t>
      </w:r>
      <w:r w:rsidRPr="002B7B8C">
        <w:rPr>
          <w:rFonts w:ascii="Times New Roman" w:hAnsi="Times New Roman" w:cs="Times New Roman"/>
        </w:rPr>
        <w:t xml:space="preserve"> </w:t>
      </w:r>
      <w:proofErr w:type="spellStart"/>
      <w:r w:rsidRPr="002B7B8C">
        <w:rPr>
          <w:rFonts w:ascii="Times New Roman" w:hAnsi="Times New Roman" w:cs="Times New Roman"/>
          <w:i/>
          <w:iCs/>
        </w:rPr>
        <w:t>Color</w:t>
      </w:r>
      <w:proofErr w:type="spellEnd"/>
      <w:r w:rsidRPr="002B7B8C">
        <w:rPr>
          <w:rFonts w:ascii="Times New Roman" w:hAnsi="Times New Roman" w:cs="Times New Roman"/>
          <w:i/>
          <w:iCs/>
        </w:rPr>
        <w:t xml:space="preserve"> War: The Louboutin Decision and Single-Color Marks in the Fashion Industry</w:t>
      </w:r>
      <w:r w:rsidRPr="002B7B8C">
        <w:rPr>
          <w:rFonts w:ascii="Times New Roman" w:hAnsi="Times New Roman" w:cs="Times New Roman"/>
        </w:rPr>
        <w:t>, 4 Harv. J. Sports &amp; Ent. L. 225 (2013)</w:t>
      </w:r>
      <w:r w:rsidR="00CF5C5A" w:rsidRPr="002B7B8C">
        <w:rPr>
          <w:rFonts w:ascii="Times New Roman" w:hAnsi="Times New Roman" w:cs="Times New Roman"/>
        </w:rPr>
        <w:t>.</w:t>
      </w:r>
    </w:p>
  </w:footnote>
  <w:footnote w:id="12">
    <w:p w14:paraId="033A2C10" w14:textId="0554D74B" w:rsidR="005C3B45" w:rsidRPr="002B7B8C" w:rsidRDefault="005C3B45"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Pr="002B7B8C">
        <w:rPr>
          <w:rFonts w:ascii="Times New Roman" w:hAnsi="Times New Roman" w:cs="Times New Roman"/>
          <w:i/>
          <w:iCs/>
        </w:rPr>
        <w:t>Christian Louboutin SA v. Yves Saint Laurent Am. Holding, Inc.,</w:t>
      </w:r>
      <w:r w:rsidRPr="002B7B8C">
        <w:rPr>
          <w:rFonts w:ascii="Times New Roman" w:hAnsi="Times New Roman" w:cs="Times New Roman"/>
        </w:rPr>
        <w:t xml:space="preserve"> </w:t>
      </w:r>
      <w:proofErr w:type="spellStart"/>
      <w:r w:rsidRPr="002B7B8C">
        <w:rPr>
          <w:rFonts w:ascii="Times New Roman" w:hAnsi="Times New Roman" w:cs="Times New Roman"/>
        </w:rPr>
        <w:t>Mondaq</w:t>
      </w:r>
      <w:proofErr w:type="spellEnd"/>
      <w:r w:rsidRPr="002B7B8C">
        <w:rPr>
          <w:rFonts w:ascii="Times New Roman" w:hAnsi="Times New Roman" w:cs="Times New Roman"/>
        </w:rPr>
        <w:t xml:space="preserve"> (Sept. 11, 2012), </w:t>
      </w:r>
      <w:hyperlink r:id="rId3" w:tgtFrame="_new" w:history="1">
        <w:r w:rsidRPr="002B7B8C">
          <w:rPr>
            <w:rStyle w:val="Hyperlink"/>
            <w:rFonts w:ascii="Times New Roman" w:hAnsi="Times New Roman" w:cs="Times New Roman"/>
          </w:rPr>
          <w:t>https://www.mondaq.com/unitedstates/trademark/202826/christian-louboutin-sa-v-yves-saint-laurent-am-holding-inc-2012-wl-3832285-2d-cir-sept-5-2012</w:t>
        </w:r>
      </w:hyperlink>
      <w:r w:rsidRPr="002B7B8C">
        <w:rPr>
          <w:rFonts w:ascii="Times New Roman" w:hAnsi="Times New Roman" w:cs="Times New Roman"/>
        </w:rPr>
        <w:t>.</w:t>
      </w:r>
    </w:p>
  </w:footnote>
  <w:footnote w:id="13">
    <w:p w14:paraId="5044E6C4" w14:textId="004A7D05" w:rsidR="00082DE6" w:rsidRPr="002B7B8C" w:rsidRDefault="009A6FED" w:rsidP="002953B0">
      <w:pPr>
        <w:pStyle w:val="FootnoteText"/>
        <w:rPr>
          <w:rFonts w:ascii="Times New Roman" w:hAnsi="Times New Roman" w:cs="Times New Roman"/>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00082DE6" w:rsidRPr="002B7B8C">
        <w:rPr>
          <w:rFonts w:ascii="Times New Roman" w:hAnsi="Times New Roman" w:cs="Times New Roman"/>
          <w:i/>
          <w:iCs/>
        </w:rPr>
        <w:t>Brunswick Corp. v. British Seagull Ltd.</w:t>
      </w:r>
      <w:r w:rsidR="00082DE6" w:rsidRPr="002B7B8C">
        <w:rPr>
          <w:rFonts w:ascii="Times New Roman" w:hAnsi="Times New Roman" w:cs="Times New Roman"/>
        </w:rPr>
        <w:t>, 35 F.3d 1527 (Fed. Cir. 1994)</w:t>
      </w:r>
      <w:r w:rsidR="00B66097" w:rsidRPr="002B7B8C">
        <w:rPr>
          <w:rFonts w:ascii="Times New Roman" w:hAnsi="Times New Roman" w:cs="Times New Roman"/>
        </w:rPr>
        <w:t xml:space="preserve"> </w:t>
      </w:r>
      <w:r w:rsidR="007B39F9" w:rsidRPr="002B7B8C">
        <w:rPr>
          <w:rFonts w:ascii="Times New Roman" w:hAnsi="Times New Roman" w:cs="Times New Roman"/>
        </w:rPr>
        <w:t>(held that the colour black for outboard motors was functional because it had aesthetic appeal and was compatible with a wide variety of boat colo</w:t>
      </w:r>
      <w:r w:rsidR="00B66097" w:rsidRPr="002B7B8C">
        <w:rPr>
          <w:rFonts w:ascii="Times New Roman" w:hAnsi="Times New Roman" w:cs="Times New Roman"/>
        </w:rPr>
        <w:t>u</w:t>
      </w:r>
      <w:r w:rsidR="007B39F9" w:rsidRPr="002B7B8C">
        <w:rPr>
          <w:rFonts w:ascii="Times New Roman" w:hAnsi="Times New Roman" w:cs="Times New Roman"/>
        </w:rPr>
        <w:t xml:space="preserve">rs, therefore </w:t>
      </w:r>
      <w:r w:rsidR="00B66097" w:rsidRPr="002B7B8C">
        <w:rPr>
          <w:rFonts w:ascii="Times New Roman" w:hAnsi="Times New Roman" w:cs="Times New Roman"/>
        </w:rPr>
        <w:t>i</w:t>
      </w:r>
      <w:r w:rsidR="007B39F9" w:rsidRPr="002B7B8C">
        <w:rPr>
          <w:rFonts w:ascii="Times New Roman" w:hAnsi="Times New Roman" w:cs="Times New Roman"/>
        </w:rPr>
        <w:t>neligible for trademark protection).</w:t>
      </w:r>
    </w:p>
  </w:footnote>
  <w:footnote w:id="14">
    <w:p w14:paraId="2579CE0F" w14:textId="4B510397" w:rsidR="009A6FED" w:rsidRPr="002B7B8C" w:rsidRDefault="009A6FED"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00082DE6" w:rsidRPr="002B7B8C">
        <w:rPr>
          <w:rFonts w:ascii="Times New Roman" w:hAnsi="Times New Roman" w:cs="Times New Roman"/>
          <w:i/>
          <w:iCs/>
        </w:rPr>
        <w:t>Deere &amp; Co. v. Farmhand, Inc</w:t>
      </w:r>
      <w:r w:rsidR="00082DE6" w:rsidRPr="002B7B8C">
        <w:rPr>
          <w:rFonts w:ascii="Times New Roman" w:hAnsi="Times New Roman" w:cs="Times New Roman"/>
        </w:rPr>
        <w:t>., (1982) 560 F. Supp. 85 (S.D. Iowa 1982)</w:t>
      </w:r>
      <w:r w:rsidR="00B66097" w:rsidRPr="002B7B8C">
        <w:rPr>
          <w:rFonts w:ascii="Times New Roman" w:hAnsi="Times New Roman" w:cs="Times New Roman"/>
        </w:rPr>
        <w:t xml:space="preserve"> (held that the green and yellow colour scheme used by John Deere for agricultural equipment was functional and therefore not eligible for trademark protection, as the colours served a utilitarian purpose).</w:t>
      </w:r>
    </w:p>
  </w:footnote>
  <w:footnote w:id="15">
    <w:p w14:paraId="0C86F198" w14:textId="0029E0A2" w:rsidR="005C3B45" w:rsidRPr="002B7B8C" w:rsidRDefault="005C3B45"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Pr="002B7B8C">
        <w:rPr>
          <w:rFonts w:ascii="Times New Roman" w:hAnsi="Times New Roman" w:cs="Times New Roman"/>
          <w:i/>
          <w:iCs/>
        </w:rPr>
        <w:t>Christian Louboutin S.A. v. Yves Saint Laurent Am., Inc.</w:t>
      </w:r>
      <w:r w:rsidRPr="002B7B8C">
        <w:rPr>
          <w:rFonts w:ascii="Times New Roman" w:hAnsi="Times New Roman" w:cs="Times New Roman"/>
        </w:rPr>
        <w:t>, 778 F. Supp. 2d 445 (S.D.N.Y. 2011).</w:t>
      </w:r>
    </w:p>
  </w:footnote>
  <w:footnote w:id="16">
    <w:p w14:paraId="24065BBA" w14:textId="6645D477" w:rsidR="005C3B45" w:rsidRPr="002B7B8C" w:rsidRDefault="005C3B45"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00FC52BB" w:rsidRPr="002B7B8C">
        <w:rPr>
          <w:rFonts w:ascii="Times New Roman" w:hAnsi="Times New Roman" w:cs="Times New Roman"/>
          <w:i/>
          <w:iCs/>
        </w:rPr>
        <w:t>Christian Louboutin S.A. v. Yves Saint Laurent Am. Holdings, Inc.</w:t>
      </w:r>
      <w:r w:rsidR="00FC52BB" w:rsidRPr="002B7B8C">
        <w:rPr>
          <w:rFonts w:ascii="Times New Roman" w:hAnsi="Times New Roman" w:cs="Times New Roman"/>
        </w:rPr>
        <w:t>, 696 F.3d 206 (2d Cir. 2012).</w:t>
      </w:r>
    </w:p>
  </w:footnote>
  <w:footnote w:id="17">
    <w:p w14:paraId="6BBD2C6A" w14:textId="3920ECEB" w:rsidR="00246FFA" w:rsidRPr="002B7B8C" w:rsidRDefault="00246FFA"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Pr="002B7B8C">
        <w:rPr>
          <w:rFonts w:ascii="Times New Roman" w:hAnsi="Times New Roman" w:cs="Times New Roman"/>
          <w:i/>
          <w:iCs/>
        </w:rPr>
        <w:t>Raymond Rollan,</w:t>
      </w:r>
      <w:r w:rsidRPr="002B7B8C">
        <w:rPr>
          <w:rFonts w:ascii="Times New Roman" w:hAnsi="Times New Roman" w:cs="Times New Roman"/>
        </w:rPr>
        <w:t xml:space="preserve"> </w:t>
      </w:r>
      <w:r w:rsidRPr="002B7B8C">
        <w:rPr>
          <w:rFonts w:ascii="Times New Roman" w:hAnsi="Times New Roman" w:cs="Times New Roman"/>
          <w:i/>
          <w:iCs/>
        </w:rPr>
        <w:t>Christian Louboutin SA v. Yves Saint Laurent American Holdings, 696 F.3d 206 (2d Cir. 2012)</w:t>
      </w:r>
      <w:r w:rsidRPr="002B7B8C">
        <w:rPr>
          <w:rFonts w:ascii="Times New Roman" w:hAnsi="Times New Roman" w:cs="Times New Roman"/>
        </w:rPr>
        <w:t xml:space="preserve">, 17 </w:t>
      </w:r>
      <w:proofErr w:type="spellStart"/>
      <w:r w:rsidRPr="002B7B8C">
        <w:rPr>
          <w:rFonts w:ascii="Times New Roman" w:hAnsi="Times New Roman" w:cs="Times New Roman"/>
        </w:rPr>
        <w:t>Intell</w:t>
      </w:r>
      <w:proofErr w:type="spellEnd"/>
      <w:r w:rsidRPr="002B7B8C">
        <w:rPr>
          <w:rFonts w:ascii="Times New Roman" w:hAnsi="Times New Roman" w:cs="Times New Roman"/>
        </w:rPr>
        <w:t>. Prop. L. Bull. 223 (2012).</w:t>
      </w:r>
    </w:p>
  </w:footnote>
  <w:footnote w:id="18">
    <w:p w14:paraId="7471BBBE" w14:textId="7E236BAA" w:rsidR="00CF5C5A" w:rsidRPr="002B7B8C" w:rsidRDefault="00DB257E" w:rsidP="002953B0">
      <w:pPr>
        <w:pStyle w:val="FootnoteText"/>
        <w:rPr>
          <w:rFonts w:ascii="Times New Roman" w:hAnsi="Times New Roman" w:cs="Times New Roman"/>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Pr="002B7B8C">
        <w:rPr>
          <w:rFonts w:ascii="Times New Roman" w:hAnsi="Times New Roman" w:cs="Times New Roman"/>
          <w:i/>
          <w:iCs/>
        </w:rPr>
        <w:t>Yili Lin,</w:t>
      </w:r>
      <w:r w:rsidRPr="002B7B8C">
        <w:rPr>
          <w:rFonts w:ascii="Times New Roman" w:hAnsi="Times New Roman" w:cs="Times New Roman"/>
        </w:rPr>
        <w:t xml:space="preserve"> </w:t>
      </w:r>
      <w:proofErr w:type="spellStart"/>
      <w:r w:rsidRPr="002B7B8C">
        <w:rPr>
          <w:rFonts w:ascii="Times New Roman" w:hAnsi="Times New Roman" w:cs="Times New Roman"/>
          <w:i/>
          <w:iCs/>
        </w:rPr>
        <w:t>Color</w:t>
      </w:r>
      <w:proofErr w:type="spellEnd"/>
      <w:r w:rsidRPr="002B7B8C">
        <w:rPr>
          <w:rFonts w:ascii="Times New Roman" w:hAnsi="Times New Roman" w:cs="Times New Roman"/>
          <w:i/>
          <w:iCs/>
        </w:rPr>
        <w:t xml:space="preserve"> as a Brand: The Legal Landscape of Tiffany Blue and Comparative Insights into </w:t>
      </w:r>
      <w:proofErr w:type="spellStart"/>
      <w:r w:rsidRPr="002B7B8C">
        <w:rPr>
          <w:rFonts w:ascii="Times New Roman" w:hAnsi="Times New Roman" w:cs="Times New Roman"/>
          <w:i/>
          <w:iCs/>
        </w:rPr>
        <w:t>Color</w:t>
      </w:r>
      <w:proofErr w:type="spellEnd"/>
      <w:r w:rsidRPr="002B7B8C">
        <w:rPr>
          <w:rFonts w:ascii="Times New Roman" w:hAnsi="Times New Roman" w:cs="Times New Roman"/>
          <w:i/>
          <w:iCs/>
        </w:rPr>
        <w:t xml:space="preserve"> Trademark Protection</w:t>
      </w:r>
      <w:r w:rsidRPr="002B7B8C">
        <w:rPr>
          <w:rFonts w:ascii="Times New Roman" w:hAnsi="Times New Roman" w:cs="Times New Roman"/>
        </w:rPr>
        <w:t xml:space="preserve"> (Lund Univ. Sch. of Econ. &amp; Mgmt. 2024) (master’s thesis), </w:t>
      </w:r>
      <w:hyperlink r:id="rId4" w:history="1">
        <w:r w:rsidR="00CF5C5A" w:rsidRPr="002B7B8C">
          <w:rPr>
            <w:rStyle w:val="Hyperlink"/>
            <w:rFonts w:ascii="Times New Roman" w:hAnsi="Times New Roman" w:cs="Times New Roman"/>
          </w:rPr>
          <w:t>http://lup.lub.lu.se/student-papers/record/9159333</w:t>
        </w:r>
      </w:hyperlink>
      <w:r w:rsidRPr="002B7B8C">
        <w:rPr>
          <w:rFonts w:ascii="Times New Roman" w:hAnsi="Times New Roman" w:cs="Times New Roman"/>
        </w:rPr>
        <w:t>.</w:t>
      </w:r>
    </w:p>
  </w:footnote>
  <w:footnote w:id="19">
    <w:p w14:paraId="30CA9FBE" w14:textId="018E79A9" w:rsidR="00CF5C5A" w:rsidRPr="002B7B8C" w:rsidRDefault="00CF5C5A"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002B7B8C" w:rsidRPr="002B7B8C">
        <w:rPr>
          <w:rFonts w:ascii="Times New Roman" w:hAnsi="Times New Roman" w:cs="Times New Roman"/>
          <w:i/>
          <w:iCs/>
        </w:rPr>
        <w:t xml:space="preserve">Restatement (First) of Torts </w:t>
      </w:r>
      <w:proofErr w:type="spellStart"/>
      <w:r w:rsidR="002B7B8C" w:rsidRPr="002B7B8C">
        <w:rPr>
          <w:rFonts w:ascii="Times New Roman" w:hAnsi="Times New Roman" w:cs="Times New Roman"/>
        </w:rPr>
        <w:t>ch.</w:t>
      </w:r>
      <w:proofErr w:type="spellEnd"/>
      <w:r w:rsidR="00A96BAC">
        <w:rPr>
          <w:rFonts w:ascii="Times New Roman" w:hAnsi="Times New Roman" w:cs="Times New Roman"/>
        </w:rPr>
        <w:t xml:space="preserve"> </w:t>
      </w:r>
      <w:r w:rsidR="002B7B8C" w:rsidRPr="002B7B8C">
        <w:rPr>
          <w:rFonts w:ascii="Times New Roman" w:hAnsi="Times New Roman" w:cs="Times New Roman"/>
        </w:rPr>
        <w:t>35, topic</w:t>
      </w:r>
      <w:r w:rsidR="00A96BAC">
        <w:rPr>
          <w:rFonts w:ascii="Times New Roman" w:hAnsi="Times New Roman" w:cs="Times New Roman"/>
        </w:rPr>
        <w:t xml:space="preserve"> </w:t>
      </w:r>
      <w:r w:rsidR="002B7B8C" w:rsidRPr="002B7B8C">
        <w:rPr>
          <w:rFonts w:ascii="Times New Roman" w:hAnsi="Times New Roman" w:cs="Times New Roman"/>
        </w:rPr>
        <w:t>3, introductory note,</w:t>
      </w:r>
      <w:r w:rsidR="002B7B8C" w:rsidRPr="002B7B8C">
        <w:rPr>
          <w:rFonts w:ascii="Times New Roman" w:hAnsi="Times New Roman" w:cs="Times New Roman"/>
          <w:i/>
          <w:iCs/>
        </w:rPr>
        <w:t xml:space="preserve"> Imitation of Appearance, </w:t>
      </w:r>
      <w:r w:rsidR="002B7B8C" w:rsidRPr="002B7B8C">
        <w:rPr>
          <w:rFonts w:ascii="Times New Roman" w:hAnsi="Times New Roman" w:cs="Times New Roman"/>
        </w:rPr>
        <w:t>at 622 (Am. L. Inst. 1938).</w:t>
      </w:r>
    </w:p>
  </w:footnote>
  <w:footnote w:id="20">
    <w:p w14:paraId="322E264A" w14:textId="6DE2E578" w:rsidR="00082DE6" w:rsidRPr="002B7B8C" w:rsidRDefault="00082DE6" w:rsidP="002953B0">
      <w:pPr>
        <w:pStyle w:val="FootnoteText"/>
        <w:rPr>
          <w:rFonts w:ascii="Times New Roman" w:hAnsi="Times New Roman" w:cs="Times New Roman"/>
          <w:lang w:val="en-US"/>
        </w:rPr>
      </w:pPr>
      <w:r w:rsidRPr="002B7B8C">
        <w:rPr>
          <w:rStyle w:val="FootnoteReference"/>
          <w:rFonts w:ascii="Times New Roman" w:hAnsi="Times New Roman" w:cs="Times New Roman"/>
        </w:rPr>
        <w:footnoteRef/>
      </w:r>
      <w:r w:rsidRPr="002B7B8C">
        <w:rPr>
          <w:rFonts w:ascii="Times New Roman" w:hAnsi="Times New Roman" w:cs="Times New Roman"/>
        </w:rPr>
        <w:t xml:space="preserve"> </w:t>
      </w:r>
      <w:r w:rsidRPr="002B7B8C">
        <w:rPr>
          <w:rFonts w:ascii="Times New Roman" w:hAnsi="Times New Roman" w:cs="Times New Roman"/>
          <w:i/>
          <w:iCs/>
        </w:rPr>
        <w:t>Yale &amp; Towne Mfg. Co. v. Alder</w:t>
      </w:r>
      <w:r w:rsidRPr="002B7B8C">
        <w:rPr>
          <w:rFonts w:ascii="Times New Roman" w:hAnsi="Times New Roman" w:cs="Times New Roman"/>
        </w:rPr>
        <w:t>, (1907) 154 F. 37 (2d Cir. 1907).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B120E9"/>
    <w:multiLevelType w:val="hybridMultilevel"/>
    <w:tmpl w:val="7952B8C2"/>
    <w:lvl w:ilvl="0" w:tplc="AF1412AE">
      <w:start w:val="1"/>
      <w:numFmt w:val="upperRoman"/>
      <w:lvlText w:val="%1."/>
      <w:lvlJc w:val="right"/>
      <w:pPr>
        <w:ind w:left="360" w:hanging="360"/>
      </w:pPr>
      <w:rPr>
        <w:i w:val="0"/>
        <w:i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1367676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2EE"/>
    <w:rsid w:val="000404A7"/>
    <w:rsid w:val="00082DE6"/>
    <w:rsid w:val="0009395F"/>
    <w:rsid w:val="000C0B31"/>
    <w:rsid w:val="000C1B9B"/>
    <w:rsid w:val="000C2CEE"/>
    <w:rsid w:val="000D268A"/>
    <w:rsid w:val="000F55E0"/>
    <w:rsid w:val="00105583"/>
    <w:rsid w:val="001770C1"/>
    <w:rsid w:val="00193A23"/>
    <w:rsid w:val="001A22CA"/>
    <w:rsid w:val="001D2981"/>
    <w:rsid w:val="001D5905"/>
    <w:rsid w:val="001D6C5D"/>
    <w:rsid w:val="001E52F5"/>
    <w:rsid w:val="001F0196"/>
    <w:rsid w:val="001F166D"/>
    <w:rsid w:val="00202317"/>
    <w:rsid w:val="0021526A"/>
    <w:rsid w:val="0022284C"/>
    <w:rsid w:val="00246FFA"/>
    <w:rsid w:val="002953B0"/>
    <w:rsid w:val="002A2320"/>
    <w:rsid w:val="002B7B8C"/>
    <w:rsid w:val="002D3188"/>
    <w:rsid w:val="002D6680"/>
    <w:rsid w:val="002F3E04"/>
    <w:rsid w:val="00311E6E"/>
    <w:rsid w:val="00323F12"/>
    <w:rsid w:val="0032474E"/>
    <w:rsid w:val="003359B1"/>
    <w:rsid w:val="00356F66"/>
    <w:rsid w:val="003777AA"/>
    <w:rsid w:val="00385FB3"/>
    <w:rsid w:val="0041361B"/>
    <w:rsid w:val="00421F47"/>
    <w:rsid w:val="00451E49"/>
    <w:rsid w:val="0045203F"/>
    <w:rsid w:val="00456732"/>
    <w:rsid w:val="00475C5D"/>
    <w:rsid w:val="004D41BD"/>
    <w:rsid w:val="004E5951"/>
    <w:rsid w:val="00520B44"/>
    <w:rsid w:val="005579BC"/>
    <w:rsid w:val="00566340"/>
    <w:rsid w:val="005C3B45"/>
    <w:rsid w:val="005F48FE"/>
    <w:rsid w:val="00614E2C"/>
    <w:rsid w:val="00617629"/>
    <w:rsid w:val="00621A75"/>
    <w:rsid w:val="0062497D"/>
    <w:rsid w:val="00632361"/>
    <w:rsid w:val="00665ABE"/>
    <w:rsid w:val="006D2EA3"/>
    <w:rsid w:val="00726EFC"/>
    <w:rsid w:val="00767685"/>
    <w:rsid w:val="00767E2B"/>
    <w:rsid w:val="00786749"/>
    <w:rsid w:val="007A4C35"/>
    <w:rsid w:val="007B39F9"/>
    <w:rsid w:val="007C160A"/>
    <w:rsid w:val="007D0D0D"/>
    <w:rsid w:val="0081406F"/>
    <w:rsid w:val="00850DCC"/>
    <w:rsid w:val="00872B83"/>
    <w:rsid w:val="00883274"/>
    <w:rsid w:val="00905518"/>
    <w:rsid w:val="00997159"/>
    <w:rsid w:val="009A6FED"/>
    <w:rsid w:val="009B5CA1"/>
    <w:rsid w:val="009C2129"/>
    <w:rsid w:val="009E3C52"/>
    <w:rsid w:val="009F24C4"/>
    <w:rsid w:val="00A03D6F"/>
    <w:rsid w:val="00A20522"/>
    <w:rsid w:val="00A264F0"/>
    <w:rsid w:val="00A310EC"/>
    <w:rsid w:val="00A85E1A"/>
    <w:rsid w:val="00A8702A"/>
    <w:rsid w:val="00A960DB"/>
    <w:rsid w:val="00A96BAC"/>
    <w:rsid w:val="00AB5465"/>
    <w:rsid w:val="00AD205B"/>
    <w:rsid w:val="00AE2719"/>
    <w:rsid w:val="00B132FD"/>
    <w:rsid w:val="00B1546B"/>
    <w:rsid w:val="00B15B7C"/>
    <w:rsid w:val="00B20376"/>
    <w:rsid w:val="00B35A9E"/>
    <w:rsid w:val="00B66097"/>
    <w:rsid w:val="00B70C60"/>
    <w:rsid w:val="00B85366"/>
    <w:rsid w:val="00BA0EFC"/>
    <w:rsid w:val="00BA4BE7"/>
    <w:rsid w:val="00BD13C9"/>
    <w:rsid w:val="00BD7B91"/>
    <w:rsid w:val="00BF63E8"/>
    <w:rsid w:val="00C0074E"/>
    <w:rsid w:val="00C0669D"/>
    <w:rsid w:val="00C404DD"/>
    <w:rsid w:val="00C45BD1"/>
    <w:rsid w:val="00C534C7"/>
    <w:rsid w:val="00C9534A"/>
    <w:rsid w:val="00CC2F85"/>
    <w:rsid w:val="00CC3755"/>
    <w:rsid w:val="00CE3AB6"/>
    <w:rsid w:val="00CE62EE"/>
    <w:rsid w:val="00CE6DE7"/>
    <w:rsid w:val="00CF5624"/>
    <w:rsid w:val="00CF5C5A"/>
    <w:rsid w:val="00D0299D"/>
    <w:rsid w:val="00D235DE"/>
    <w:rsid w:val="00D3084A"/>
    <w:rsid w:val="00D472D5"/>
    <w:rsid w:val="00D56464"/>
    <w:rsid w:val="00D67E19"/>
    <w:rsid w:val="00D76C1C"/>
    <w:rsid w:val="00DA7B42"/>
    <w:rsid w:val="00DB257E"/>
    <w:rsid w:val="00DB3731"/>
    <w:rsid w:val="00DC2FBB"/>
    <w:rsid w:val="00DD57F2"/>
    <w:rsid w:val="00DE378D"/>
    <w:rsid w:val="00E04566"/>
    <w:rsid w:val="00E55145"/>
    <w:rsid w:val="00E60BE4"/>
    <w:rsid w:val="00E63F09"/>
    <w:rsid w:val="00E84748"/>
    <w:rsid w:val="00E8676C"/>
    <w:rsid w:val="00EB2FD7"/>
    <w:rsid w:val="00EE34C3"/>
    <w:rsid w:val="00F14DBC"/>
    <w:rsid w:val="00F34B3F"/>
    <w:rsid w:val="00F43EAF"/>
    <w:rsid w:val="00F473DA"/>
    <w:rsid w:val="00F72019"/>
    <w:rsid w:val="00F72E21"/>
    <w:rsid w:val="00F82F98"/>
    <w:rsid w:val="00F92F6A"/>
    <w:rsid w:val="00FA025B"/>
    <w:rsid w:val="00FA03F9"/>
    <w:rsid w:val="00FA7C18"/>
    <w:rsid w:val="00FC52BB"/>
    <w:rsid w:val="00FE74C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7BCE8A"/>
  <w15:chartTrackingRefBased/>
  <w15:docId w15:val="{77A3C193-C1EE-40F1-B354-6021C26A2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62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E62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E62E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E62E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E62E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E62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62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62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62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62E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E62E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E62E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E62E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E62E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E62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62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62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62EE"/>
    <w:rPr>
      <w:rFonts w:eastAsiaTheme="majorEastAsia" w:cstheme="majorBidi"/>
      <w:color w:val="272727" w:themeColor="text1" w:themeTint="D8"/>
    </w:rPr>
  </w:style>
  <w:style w:type="paragraph" w:styleId="Title">
    <w:name w:val="Title"/>
    <w:basedOn w:val="Normal"/>
    <w:next w:val="Normal"/>
    <w:link w:val="TitleChar"/>
    <w:uiPriority w:val="10"/>
    <w:qFormat/>
    <w:rsid w:val="00CE62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62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62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62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62EE"/>
    <w:pPr>
      <w:spacing w:before="160"/>
      <w:jc w:val="center"/>
    </w:pPr>
    <w:rPr>
      <w:i/>
      <w:iCs/>
      <w:color w:val="404040" w:themeColor="text1" w:themeTint="BF"/>
    </w:rPr>
  </w:style>
  <w:style w:type="character" w:customStyle="1" w:styleId="QuoteChar">
    <w:name w:val="Quote Char"/>
    <w:basedOn w:val="DefaultParagraphFont"/>
    <w:link w:val="Quote"/>
    <w:uiPriority w:val="29"/>
    <w:rsid w:val="00CE62EE"/>
    <w:rPr>
      <w:i/>
      <w:iCs/>
      <w:color w:val="404040" w:themeColor="text1" w:themeTint="BF"/>
    </w:rPr>
  </w:style>
  <w:style w:type="paragraph" w:styleId="ListParagraph">
    <w:name w:val="List Paragraph"/>
    <w:basedOn w:val="Normal"/>
    <w:uiPriority w:val="34"/>
    <w:qFormat/>
    <w:rsid w:val="00CE62EE"/>
    <w:pPr>
      <w:ind w:left="720"/>
      <w:contextualSpacing/>
    </w:pPr>
  </w:style>
  <w:style w:type="character" w:styleId="IntenseEmphasis">
    <w:name w:val="Intense Emphasis"/>
    <w:basedOn w:val="DefaultParagraphFont"/>
    <w:uiPriority w:val="21"/>
    <w:qFormat/>
    <w:rsid w:val="00CE62EE"/>
    <w:rPr>
      <w:i/>
      <w:iCs/>
      <w:color w:val="2F5496" w:themeColor="accent1" w:themeShade="BF"/>
    </w:rPr>
  </w:style>
  <w:style w:type="paragraph" w:styleId="IntenseQuote">
    <w:name w:val="Intense Quote"/>
    <w:basedOn w:val="Normal"/>
    <w:next w:val="Normal"/>
    <w:link w:val="IntenseQuoteChar"/>
    <w:uiPriority w:val="30"/>
    <w:qFormat/>
    <w:rsid w:val="00CE62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E62EE"/>
    <w:rPr>
      <w:i/>
      <w:iCs/>
      <w:color w:val="2F5496" w:themeColor="accent1" w:themeShade="BF"/>
    </w:rPr>
  </w:style>
  <w:style w:type="character" w:styleId="IntenseReference">
    <w:name w:val="Intense Reference"/>
    <w:basedOn w:val="DefaultParagraphFont"/>
    <w:uiPriority w:val="32"/>
    <w:qFormat/>
    <w:rsid w:val="00CE62EE"/>
    <w:rPr>
      <w:b/>
      <w:bCs/>
      <w:smallCaps/>
      <w:color w:val="2F5496" w:themeColor="accent1" w:themeShade="BF"/>
      <w:spacing w:val="5"/>
    </w:rPr>
  </w:style>
  <w:style w:type="character" w:styleId="Hyperlink">
    <w:name w:val="Hyperlink"/>
    <w:basedOn w:val="DefaultParagraphFont"/>
    <w:uiPriority w:val="99"/>
    <w:unhideWhenUsed/>
    <w:rsid w:val="00F473DA"/>
    <w:rPr>
      <w:color w:val="0563C1" w:themeColor="hyperlink"/>
      <w:u w:val="single"/>
    </w:rPr>
  </w:style>
  <w:style w:type="character" w:styleId="UnresolvedMention">
    <w:name w:val="Unresolved Mention"/>
    <w:basedOn w:val="DefaultParagraphFont"/>
    <w:uiPriority w:val="99"/>
    <w:semiHidden/>
    <w:unhideWhenUsed/>
    <w:rsid w:val="00F473DA"/>
    <w:rPr>
      <w:color w:val="605E5C"/>
      <w:shd w:val="clear" w:color="auto" w:fill="E1DFDD"/>
    </w:rPr>
  </w:style>
  <w:style w:type="paragraph" w:styleId="FootnoteText">
    <w:name w:val="footnote text"/>
    <w:basedOn w:val="Normal"/>
    <w:link w:val="FootnoteTextChar"/>
    <w:uiPriority w:val="99"/>
    <w:semiHidden/>
    <w:unhideWhenUsed/>
    <w:rsid w:val="00246FF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46FFA"/>
    <w:rPr>
      <w:sz w:val="20"/>
      <w:szCs w:val="20"/>
    </w:rPr>
  </w:style>
  <w:style w:type="character" w:styleId="FootnoteReference">
    <w:name w:val="footnote reference"/>
    <w:basedOn w:val="DefaultParagraphFont"/>
    <w:uiPriority w:val="99"/>
    <w:semiHidden/>
    <w:unhideWhenUsed/>
    <w:rsid w:val="00246FFA"/>
    <w:rPr>
      <w:vertAlign w:val="superscript"/>
    </w:rPr>
  </w:style>
  <w:style w:type="paragraph" w:styleId="Header">
    <w:name w:val="header"/>
    <w:basedOn w:val="Normal"/>
    <w:link w:val="HeaderChar"/>
    <w:uiPriority w:val="99"/>
    <w:unhideWhenUsed/>
    <w:rsid w:val="00CC37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3755"/>
  </w:style>
  <w:style w:type="paragraph" w:styleId="Footer">
    <w:name w:val="footer"/>
    <w:basedOn w:val="Normal"/>
    <w:link w:val="FooterChar"/>
    <w:uiPriority w:val="99"/>
    <w:unhideWhenUsed/>
    <w:rsid w:val="00CC37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37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4334794">
      <w:bodyDiv w:val="1"/>
      <w:marLeft w:val="0"/>
      <w:marRight w:val="0"/>
      <w:marTop w:val="0"/>
      <w:marBottom w:val="0"/>
      <w:divBdr>
        <w:top w:val="none" w:sz="0" w:space="0" w:color="auto"/>
        <w:left w:val="none" w:sz="0" w:space="0" w:color="auto"/>
        <w:bottom w:val="none" w:sz="0" w:space="0" w:color="auto"/>
        <w:right w:val="none" w:sz="0" w:space="0" w:color="auto"/>
      </w:divBdr>
    </w:div>
    <w:div w:id="409817578">
      <w:bodyDiv w:val="1"/>
      <w:marLeft w:val="0"/>
      <w:marRight w:val="0"/>
      <w:marTop w:val="0"/>
      <w:marBottom w:val="0"/>
      <w:divBdr>
        <w:top w:val="none" w:sz="0" w:space="0" w:color="auto"/>
        <w:left w:val="none" w:sz="0" w:space="0" w:color="auto"/>
        <w:bottom w:val="none" w:sz="0" w:space="0" w:color="auto"/>
        <w:right w:val="none" w:sz="0" w:space="0" w:color="auto"/>
      </w:divBdr>
    </w:div>
    <w:div w:id="866791344">
      <w:bodyDiv w:val="1"/>
      <w:marLeft w:val="0"/>
      <w:marRight w:val="0"/>
      <w:marTop w:val="0"/>
      <w:marBottom w:val="0"/>
      <w:divBdr>
        <w:top w:val="none" w:sz="0" w:space="0" w:color="auto"/>
        <w:left w:val="none" w:sz="0" w:space="0" w:color="auto"/>
        <w:bottom w:val="none" w:sz="0" w:space="0" w:color="auto"/>
        <w:right w:val="none" w:sz="0" w:space="0" w:color="auto"/>
      </w:divBdr>
    </w:div>
    <w:div w:id="1312442487">
      <w:bodyDiv w:val="1"/>
      <w:marLeft w:val="0"/>
      <w:marRight w:val="0"/>
      <w:marTop w:val="0"/>
      <w:marBottom w:val="0"/>
      <w:divBdr>
        <w:top w:val="none" w:sz="0" w:space="0" w:color="auto"/>
        <w:left w:val="none" w:sz="0" w:space="0" w:color="auto"/>
        <w:bottom w:val="none" w:sz="0" w:space="0" w:color="auto"/>
        <w:right w:val="none" w:sz="0" w:space="0" w:color="auto"/>
      </w:divBdr>
    </w:div>
    <w:div w:id="1464470537">
      <w:bodyDiv w:val="1"/>
      <w:marLeft w:val="0"/>
      <w:marRight w:val="0"/>
      <w:marTop w:val="0"/>
      <w:marBottom w:val="0"/>
      <w:divBdr>
        <w:top w:val="none" w:sz="0" w:space="0" w:color="auto"/>
        <w:left w:val="none" w:sz="0" w:space="0" w:color="auto"/>
        <w:bottom w:val="none" w:sz="0" w:space="0" w:color="auto"/>
        <w:right w:val="none" w:sz="0" w:space="0" w:color="auto"/>
      </w:divBdr>
    </w:div>
    <w:div w:id="1615402711">
      <w:bodyDiv w:val="1"/>
      <w:marLeft w:val="0"/>
      <w:marRight w:val="0"/>
      <w:marTop w:val="0"/>
      <w:marBottom w:val="0"/>
      <w:divBdr>
        <w:top w:val="none" w:sz="0" w:space="0" w:color="auto"/>
        <w:left w:val="none" w:sz="0" w:space="0" w:color="auto"/>
        <w:bottom w:val="none" w:sz="0" w:space="0" w:color="auto"/>
        <w:right w:val="none" w:sz="0" w:space="0" w:color="auto"/>
      </w:divBdr>
    </w:div>
    <w:div w:id="1724863672">
      <w:bodyDiv w:val="1"/>
      <w:marLeft w:val="0"/>
      <w:marRight w:val="0"/>
      <w:marTop w:val="0"/>
      <w:marBottom w:val="0"/>
      <w:divBdr>
        <w:top w:val="none" w:sz="0" w:space="0" w:color="auto"/>
        <w:left w:val="none" w:sz="0" w:space="0" w:color="auto"/>
        <w:bottom w:val="none" w:sz="0" w:space="0" w:color="auto"/>
        <w:right w:val="none" w:sz="0" w:space="0" w:color="auto"/>
      </w:divBdr>
    </w:div>
    <w:div w:id="1930038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mondaq.com/unitedstates/trademark/202826/christian-louboutin-sa-v-yves-saint-laurent-am-holding-inc-2012-wl-3832285-2d-cir-sept-5-2012" TargetMode="External"/><Relationship Id="rId2" Type="http://schemas.openxmlformats.org/officeDocument/2006/relationships/hyperlink" Target="http://oldopac.nls.ac.in:8081/xmlui/bitstream/handle/123456789/1922/LLM306.pdf" TargetMode="External"/><Relationship Id="rId1" Type="http://schemas.openxmlformats.org/officeDocument/2006/relationships/hyperlink" Target="https://www.law.cornell.edu/wex/lanham_act" TargetMode="External"/><Relationship Id="rId4" Type="http://schemas.openxmlformats.org/officeDocument/2006/relationships/hyperlink" Target="http://lup.lub.lu.se/student-papers/record/91593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100C5B-5BDF-4644-85C3-1608D5904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3005</Words>
  <Characters>16143</Characters>
  <Application>Microsoft Office Word</Application>
  <DocSecurity>0</DocSecurity>
  <Lines>227</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Avishi</dc:creator>
  <cp:keywords/>
  <dc:description/>
  <cp:lastModifiedBy>CBLT Editor</cp:lastModifiedBy>
  <cp:revision>16</cp:revision>
  <dcterms:created xsi:type="dcterms:W3CDTF">2025-06-25T14:26:00Z</dcterms:created>
  <dcterms:modified xsi:type="dcterms:W3CDTF">2025-06-25T14:33:00Z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202f81c8-3f97-4bea-9709-e715902fc2a1</vt:lpwstr>
  </property>
</Properties>
</file>