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31A89" w14:textId="26BEB1E8" w:rsidR="006E2A73" w:rsidRPr="00EE6341" w:rsidRDefault="00EF443D" w:rsidP="00EE6341">
      <w:pPr>
        <w:pStyle w:val="IntenseQuote"/>
        <w:spacing w:line="360" w:lineRule="auto"/>
        <w:rPr>
          <w:rFonts w:ascii="Times New Roman" w:hAnsi="Times New Roman" w:cs="Times New Roman"/>
          <w:b/>
          <w:bCs/>
          <w:i w:val="0"/>
          <w:iCs w:val="0"/>
          <w:color w:val="auto"/>
        </w:rPr>
      </w:pPr>
      <w:r w:rsidRPr="00EE6341">
        <w:rPr>
          <w:rFonts w:ascii="Times New Roman" w:hAnsi="Times New Roman" w:cs="Times New Roman"/>
          <w:b/>
          <w:bCs/>
          <w:i w:val="0"/>
          <w:iCs w:val="0"/>
          <w:color w:val="auto"/>
        </w:rPr>
        <w:t>RIGHT TO DIGNITY: CONSTITUTIONAL MANDATE AND CONTEMPORARY CHALLENGES</w:t>
      </w:r>
    </w:p>
    <w:p w14:paraId="4EF3048C" w14:textId="17A824EF" w:rsidR="00EF443D" w:rsidRPr="00EE6341" w:rsidRDefault="00EF443D" w:rsidP="00EE6341">
      <w:pPr>
        <w:spacing w:line="360" w:lineRule="auto"/>
        <w:jc w:val="both"/>
        <w:rPr>
          <w:rFonts w:ascii="Times New Roman" w:hAnsi="Times New Roman" w:cs="Times New Roman"/>
          <w:b/>
          <w:bCs/>
        </w:rPr>
      </w:pPr>
      <w:r w:rsidRPr="00EE6341">
        <w:rPr>
          <w:rFonts w:ascii="Times New Roman" w:hAnsi="Times New Roman" w:cs="Times New Roman"/>
          <w:b/>
          <w:bCs/>
        </w:rPr>
        <w:t>ABSTRACT:</w:t>
      </w:r>
    </w:p>
    <w:p w14:paraId="4B1C8E60" w14:textId="47156563" w:rsidR="00EF443D" w:rsidRPr="00EE6341" w:rsidRDefault="00EF443D" w:rsidP="00EE6341">
      <w:pPr>
        <w:spacing w:line="360" w:lineRule="auto"/>
        <w:jc w:val="both"/>
        <w:rPr>
          <w:rFonts w:ascii="Times New Roman" w:hAnsi="Times New Roman" w:cs="Times New Roman"/>
        </w:rPr>
      </w:pPr>
      <w:r w:rsidRPr="00EE6341">
        <w:rPr>
          <w:rFonts w:ascii="Times New Roman" w:hAnsi="Times New Roman" w:cs="Times New Roman"/>
        </w:rPr>
        <w:t>As part of the fundamental right to life and personal liberty under Article 21 of the Indian Constitution, the right to dignity is acknowledged as an inherent and inalienable human right. It ensures that each person has the right to live a life devoid of prejudice, exploitation, and cruel treatment. Through historic rulings, the Supreme Court of India has continuously expanded the scope of this right, reaffirming that dignity is necessary for a meaningful life. But in today's world, this freedom is severely hampered by issues like caste atrocities, gender-based discrimination, custodial abuse, invasions of privacy, and the appalling conditions in mental health and prison facilities. These problems continue in spite of legislative protections and constitutional guarantees, suggesting a disconnect between social realities and constitutional objectives. Strict law enforcement, systemic changes, public awareness, and a shared commitment to preserving the principles of justice, equality, and respect for all people are necessary for the effective safeguarding of human dignity.</w:t>
      </w:r>
    </w:p>
    <w:p w14:paraId="087EB785" w14:textId="36DD834C" w:rsidR="00EF443D" w:rsidRPr="00EE6341" w:rsidRDefault="00EF443D" w:rsidP="00EE6341">
      <w:pPr>
        <w:spacing w:line="360" w:lineRule="auto"/>
        <w:jc w:val="both"/>
        <w:rPr>
          <w:rFonts w:ascii="Times New Roman" w:hAnsi="Times New Roman" w:cs="Times New Roman"/>
        </w:rPr>
      </w:pPr>
      <w:r w:rsidRPr="00EE6341">
        <w:rPr>
          <w:rFonts w:ascii="Times New Roman" w:hAnsi="Times New Roman" w:cs="Times New Roman"/>
        </w:rPr>
        <w:t>KEYWORDS:</w:t>
      </w:r>
    </w:p>
    <w:p w14:paraId="02C18452" w14:textId="77777777" w:rsidR="00EF443D" w:rsidRPr="00EE6341" w:rsidRDefault="00EF443D" w:rsidP="00EE6341">
      <w:pPr>
        <w:spacing w:line="360" w:lineRule="auto"/>
        <w:jc w:val="both"/>
        <w:rPr>
          <w:rFonts w:ascii="Times New Roman" w:hAnsi="Times New Roman" w:cs="Times New Roman"/>
        </w:rPr>
      </w:pPr>
      <w:r w:rsidRPr="00EE6341">
        <w:rPr>
          <w:rFonts w:ascii="Times New Roman" w:hAnsi="Times New Roman" w:cs="Times New Roman"/>
        </w:rPr>
        <w:t>Right to Dignity, Indian Constitution, Article 21, Fundamental Rights, Human Rights, Supreme Court of India, Custodial Violence, Gender-Based Violence, Caste Discrimination, Privacy Rights, Prisoner Rights, Judicial Interpretation, Social Justice, Legal Reforms, Contemporary Challenges.</w:t>
      </w:r>
    </w:p>
    <w:p w14:paraId="486DBF00" w14:textId="5AAD94DD" w:rsidR="00EF443D" w:rsidRPr="00EE6341" w:rsidRDefault="00EF443D" w:rsidP="00EE6341">
      <w:pPr>
        <w:spacing w:line="360" w:lineRule="auto"/>
        <w:jc w:val="both"/>
        <w:rPr>
          <w:rFonts w:ascii="Times New Roman" w:hAnsi="Times New Roman" w:cs="Times New Roman"/>
          <w:b/>
          <w:bCs/>
        </w:rPr>
      </w:pPr>
      <w:r w:rsidRPr="00EE6341">
        <w:rPr>
          <w:rFonts w:ascii="Times New Roman" w:hAnsi="Times New Roman" w:cs="Times New Roman"/>
          <w:b/>
          <w:bCs/>
        </w:rPr>
        <w:t>RIGHT TO DIGNITY:</w:t>
      </w:r>
    </w:p>
    <w:p w14:paraId="32A5DD76" w14:textId="690EECC5" w:rsidR="00D65B34" w:rsidRPr="000F00B1" w:rsidRDefault="00D65B34" w:rsidP="000F00B1">
      <w:pPr>
        <w:spacing w:line="360" w:lineRule="auto"/>
        <w:rPr>
          <w:rFonts w:ascii="Times New Roman" w:hAnsi="Times New Roman" w:cs="Times New Roman"/>
          <w:b/>
          <w:bCs/>
        </w:rPr>
      </w:pPr>
      <w:r w:rsidRPr="00EE6341">
        <w:rPr>
          <w:rFonts w:ascii="Times New Roman" w:hAnsi="Times New Roman" w:cs="Times New Roman"/>
        </w:rPr>
        <w:t xml:space="preserve">The foundation of civil society and the core of human rights is human dignity. The foundation of all constitutional rights is the right to dignity, which embodies the idea that all people are valuable regardless of their ethnicity, caste, gender, religion, or socioeconomic standing. An expansive reading of Article 21, which protects the right to life and personal liberty, provides constitutional protection for the right to dignity in India. </w:t>
      </w:r>
      <w:r w:rsidR="00C77AA9">
        <w:rPr>
          <w:rStyle w:val="FootnoteReference"/>
          <w:rFonts w:ascii="Times New Roman" w:hAnsi="Times New Roman" w:cs="Times New Roman"/>
        </w:rPr>
        <w:footnoteReference w:id="1"/>
      </w:r>
      <w:r w:rsidRPr="00EE6341">
        <w:rPr>
          <w:rFonts w:ascii="Times New Roman" w:hAnsi="Times New Roman" w:cs="Times New Roman"/>
        </w:rPr>
        <w:t xml:space="preserve">This right has been continuously </w:t>
      </w:r>
      <w:r w:rsidRPr="00EE6341">
        <w:rPr>
          <w:rFonts w:ascii="Times New Roman" w:hAnsi="Times New Roman" w:cs="Times New Roman"/>
        </w:rPr>
        <w:lastRenderedPageBreak/>
        <w:t xml:space="preserve">maintained by the Indian judiciary via a number of seminal rulings, making it one of the most essential components of a democratic society. </w:t>
      </w:r>
      <w:r w:rsidR="00C77AA9">
        <w:rPr>
          <w:rStyle w:val="FootnoteReference"/>
          <w:rFonts w:ascii="Times New Roman" w:hAnsi="Times New Roman" w:cs="Times New Roman"/>
        </w:rPr>
        <w:footnoteReference w:id="2"/>
      </w:r>
      <w:r w:rsidRPr="00EE6341">
        <w:rPr>
          <w:rFonts w:ascii="Times New Roman" w:hAnsi="Times New Roman" w:cs="Times New Roman"/>
        </w:rPr>
        <w:t xml:space="preserve">Notwithstanding its fundamental sanctity, the right to dignity faces numerous obstacles in practice, such as institutional discrimination, custodial brutality, and new online threats. The constitutional requirement of the right to dignity is thoroughly examined in this paper, together with its judicial development and the current issues that threaten its effective implementation. </w:t>
      </w:r>
      <w:r w:rsidRPr="00EE6341">
        <w:rPr>
          <w:rFonts w:ascii="Times New Roman" w:hAnsi="Times New Roman" w:cs="Times New Roman"/>
        </w:rPr>
        <w:br/>
      </w:r>
      <w:r w:rsidRPr="00EE6341">
        <w:rPr>
          <w:rFonts w:ascii="Times New Roman" w:hAnsi="Times New Roman" w:cs="Times New Roman"/>
          <w:b/>
          <w:bCs/>
        </w:rPr>
        <w:t>Constitutional Mandate: Indian Law's Right to Dignity</w:t>
      </w:r>
      <w:r w:rsidR="00EE6341" w:rsidRPr="00EE6341">
        <w:rPr>
          <w:rFonts w:ascii="Times New Roman" w:hAnsi="Times New Roman" w:cs="Times New Roman"/>
          <w:b/>
          <w:bCs/>
        </w:rPr>
        <w:t>:</w:t>
      </w:r>
      <w:r w:rsidRPr="00EE6341">
        <w:rPr>
          <w:rFonts w:ascii="Times New Roman" w:hAnsi="Times New Roman" w:cs="Times New Roman"/>
        </w:rPr>
        <w:br/>
        <w:t>India's constitutional framework upholds the right to dignity, principally through Article 21 but also through Articles 14, 15, and the Directive Principles of State Policy (DPSP). Despite not being used specifically in many constitutional sections, the concept of "dignity" permeates the text and is fundamental to individual rights.</w:t>
      </w:r>
      <w:r w:rsidR="0004320C">
        <w:rPr>
          <w:rStyle w:val="FootnoteReference"/>
          <w:rFonts w:ascii="Times New Roman" w:hAnsi="Times New Roman" w:cs="Times New Roman"/>
        </w:rPr>
        <w:footnoteReference w:id="3"/>
      </w:r>
    </w:p>
    <w:p w14:paraId="49A13D57" w14:textId="3D9F6987" w:rsidR="000E08AF" w:rsidRPr="00EE6341" w:rsidRDefault="000E08AF" w:rsidP="00EE6341">
      <w:pPr>
        <w:spacing w:line="360" w:lineRule="auto"/>
        <w:rPr>
          <w:rFonts w:ascii="Times New Roman" w:hAnsi="Times New Roman" w:cs="Times New Roman"/>
        </w:rPr>
      </w:pPr>
      <w:r w:rsidRPr="00EE6341">
        <w:rPr>
          <w:rFonts w:ascii="Times New Roman" w:hAnsi="Times New Roman" w:cs="Times New Roman"/>
        </w:rPr>
        <w:t>1. Article 21: Individual Liberty and the Right to Life the Indian Constitution's Article 21 declares that "no one shall be deprived of his life or personal liberty except according to procedure established by law." The right to live with human dignity has been interpreted broadly by the judiciary in relation to this article</w:t>
      </w:r>
      <w:r w:rsidR="0004320C">
        <w:rPr>
          <w:rStyle w:val="FootnoteReference"/>
          <w:rFonts w:ascii="Times New Roman" w:hAnsi="Times New Roman" w:cs="Times New Roman"/>
        </w:rPr>
        <w:footnoteReference w:id="4"/>
      </w:r>
      <w:r w:rsidRPr="00EE6341">
        <w:rPr>
          <w:rFonts w:ascii="Times New Roman" w:hAnsi="Times New Roman" w:cs="Times New Roman"/>
        </w:rPr>
        <w:t>. The Supreme Court stressed in the seminal ruling of Maneka Gandhi v. Union of India (1978)</w:t>
      </w:r>
      <w:r w:rsidR="0004320C">
        <w:rPr>
          <w:rStyle w:val="FootnoteReference"/>
          <w:rFonts w:ascii="Times New Roman" w:hAnsi="Times New Roman" w:cs="Times New Roman"/>
        </w:rPr>
        <w:footnoteReference w:id="5"/>
      </w:r>
      <w:r w:rsidRPr="00EE6341">
        <w:rPr>
          <w:rFonts w:ascii="Times New Roman" w:hAnsi="Times New Roman" w:cs="Times New Roman"/>
        </w:rPr>
        <w:t xml:space="preserve"> that life encompasses more than just physical existence; it also involves the right to live with dignity. </w:t>
      </w:r>
      <w:r w:rsidRPr="00EE6341">
        <w:rPr>
          <w:rFonts w:ascii="Times New Roman" w:hAnsi="Times New Roman" w:cs="Times New Roman"/>
        </w:rPr>
        <w:br/>
        <w:t>2. The Right to Equality in Article 14 Equal protection under the law and equality before the law is guaranteed by Article 14. By outlawing discriminatory behaviors that devalue or degrade people based on arbitrary classifications, it is essential for maintaining human dignity.</w:t>
      </w:r>
    </w:p>
    <w:p w14:paraId="7FDF6324" w14:textId="77777777" w:rsidR="000E08AF" w:rsidRPr="00EE6341" w:rsidRDefault="000E08AF" w:rsidP="00EE6341">
      <w:pPr>
        <w:spacing w:line="360" w:lineRule="auto"/>
        <w:rPr>
          <w:rFonts w:ascii="Times New Roman" w:hAnsi="Times New Roman" w:cs="Times New Roman"/>
        </w:rPr>
      </w:pPr>
      <w:r w:rsidRPr="00EE6341">
        <w:rPr>
          <w:rFonts w:ascii="Times New Roman" w:hAnsi="Times New Roman" w:cs="Times New Roman"/>
        </w:rPr>
        <w:t xml:space="preserve">3. The Prohibition of Discrimination in Article 15 Discrimination on the basis of religion, ethnicity, caste, sex, or place of birth is forbidden by Article 15. This clause, which encourages equality and inclusivity, directly defends the dignity of vulnerable and underprivileged communities. </w:t>
      </w:r>
      <w:r w:rsidRPr="00EE6341">
        <w:rPr>
          <w:rFonts w:ascii="Times New Roman" w:hAnsi="Times New Roman" w:cs="Times New Roman"/>
        </w:rPr>
        <w:br/>
        <w:t xml:space="preserve">4. State Policy's Directive Principles (DPSP) The State is directed by Part IV of the Constitution to ensure social, economic, and political justice, lessen inequality, and safeguard the well-being </w:t>
      </w:r>
      <w:r w:rsidRPr="00EE6341">
        <w:rPr>
          <w:rFonts w:ascii="Times New Roman" w:hAnsi="Times New Roman" w:cs="Times New Roman"/>
        </w:rPr>
        <w:lastRenderedPageBreak/>
        <w:t xml:space="preserve">and resilience of laborers. Despite not being enforceable, these values serve as the cornerstone of laws that protect human dignity. </w:t>
      </w:r>
      <w:r w:rsidRPr="00EE6341">
        <w:rPr>
          <w:rFonts w:ascii="Times New Roman" w:hAnsi="Times New Roman" w:cs="Times New Roman"/>
        </w:rPr>
        <w:br/>
        <w:t>5. The Constitution's Preamble Justice, liberty, equality, and fraternity are declared to be the tenets of the Indian republic in the Preamble. The guarantee of individual dignity is specifically enshrined in the concept of fraternity.</w:t>
      </w:r>
    </w:p>
    <w:p w14:paraId="5778471E" w14:textId="52A9BA46" w:rsidR="000E08AF" w:rsidRPr="00EE6341" w:rsidRDefault="000E08AF" w:rsidP="00EE6341">
      <w:pPr>
        <w:spacing w:line="360" w:lineRule="auto"/>
        <w:rPr>
          <w:rFonts w:ascii="Times New Roman" w:hAnsi="Times New Roman" w:cs="Times New Roman"/>
        </w:rPr>
      </w:pPr>
      <w:r w:rsidRPr="00EE6341">
        <w:rPr>
          <w:rFonts w:ascii="Times New Roman" w:hAnsi="Times New Roman" w:cs="Times New Roman"/>
          <w:b/>
          <w:bCs/>
        </w:rPr>
        <w:t>The Right to Dignity: Judicial Interpretation and Extension</w:t>
      </w:r>
      <w:r w:rsidR="00EE6341" w:rsidRPr="00EE6341">
        <w:rPr>
          <w:rFonts w:ascii="Times New Roman" w:hAnsi="Times New Roman" w:cs="Times New Roman"/>
          <w:b/>
          <w:bCs/>
        </w:rPr>
        <w:t>:</w:t>
      </w:r>
      <w:r w:rsidRPr="00EE6341">
        <w:rPr>
          <w:rFonts w:ascii="Times New Roman" w:hAnsi="Times New Roman" w:cs="Times New Roman"/>
        </w:rPr>
        <w:br/>
        <w:t>The Indian judiciary has been instrumental in acknowledging and extending the right to dignity. Its importance to human rights has been confirmed by important court rulings.</w:t>
      </w:r>
    </w:p>
    <w:p w14:paraId="191EAB8F" w14:textId="1072E6DD" w:rsidR="000E08AF" w:rsidRPr="00EE6341" w:rsidRDefault="000E08AF" w:rsidP="003B22DD">
      <w:pPr>
        <w:spacing w:line="360" w:lineRule="auto"/>
        <w:rPr>
          <w:rFonts w:ascii="Times New Roman" w:hAnsi="Times New Roman" w:cs="Times New Roman"/>
        </w:rPr>
      </w:pPr>
      <w:r w:rsidRPr="00EE6341">
        <w:rPr>
          <w:rFonts w:ascii="Times New Roman" w:hAnsi="Times New Roman" w:cs="Times New Roman"/>
        </w:rPr>
        <w:t>1. Administrator, Union Territory of Delhi v. Francis Coralie Mullin (1981)</w:t>
      </w:r>
      <w:r w:rsidR="003B22DD">
        <w:rPr>
          <w:rStyle w:val="FootnoteReference"/>
          <w:rFonts w:ascii="Times New Roman" w:hAnsi="Times New Roman" w:cs="Times New Roman"/>
        </w:rPr>
        <w:footnoteReference w:id="6"/>
      </w:r>
      <w:r w:rsidRPr="00EE6341">
        <w:rPr>
          <w:rFonts w:ascii="Times New Roman" w:hAnsi="Times New Roman" w:cs="Times New Roman"/>
        </w:rPr>
        <w:t xml:space="preserve"> The Supreme Court ruled in this case that the right to human dignity, which includes having access to fundamental needs like food, shelter, and the freedom to express oneself, is a part of the right to life under Article 21. </w:t>
      </w:r>
      <w:r w:rsidRPr="00EE6341">
        <w:rPr>
          <w:rFonts w:ascii="Times New Roman" w:hAnsi="Times New Roman" w:cs="Times New Roman"/>
        </w:rPr>
        <w:br/>
        <w:t>2. State of West Bengal v. DK Basu (1997) The Court underlined the inviolability of the right to dignity even while an individual is in detention and released comprehensive instructions to prevent custodial violence. This case made it clear that the State's authority must be used in a way that upholds human dignity within the parameters of the constitution.</w:t>
      </w:r>
    </w:p>
    <w:p w14:paraId="3DC6017B" w14:textId="1F847404" w:rsidR="000E08AF" w:rsidRPr="00EE6341" w:rsidRDefault="000E08AF" w:rsidP="00EE6341">
      <w:pPr>
        <w:spacing w:line="360" w:lineRule="auto"/>
        <w:jc w:val="both"/>
        <w:rPr>
          <w:rFonts w:ascii="Times New Roman" w:hAnsi="Times New Roman" w:cs="Times New Roman"/>
        </w:rPr>
      </w:pPr>
      <w:r w:rsidRPr="00EE6341">
        <w:rPr>
          <w:rFonts w:ascii="Times New Roman" w:hAnsi="Times New Roman" w:cs="Times New Roman"/>
        </w:rPr>
        <w:t xml:space="preserve">3. Union of India v. NALSA (2014) </w:t>
      </w:r>
      <w:r w:rsidR="003B22DD">
        <w:rPr>
          <w:rStyle w:val="FootnoteReference"/>
          <w:rFonts w:ascii="Times New Roman" w:hAnsi="Times New Roman" w:cs="Times New Roman"/>
        </w:rPr>
        <w:footnoteReference w:id="7"/>
      </w:r>
      <w:r w:rsidRPr="00EE6341">
        <w:rPr>
          <w:rFonts w:ascii="Times New Roman" w:hAnsi="Times New Roman" w:cs="Times New Roman"/>
        </w:rPr>
        <w:t xml:space="preserve">The Supreme Court acknowledged transgender people's rights as an issue of equality and constitutional dignity. The ruling upheld everyone's right to live with dignity, regardless of gender, and required the legal recognition of gender identity. </w:t>
      </w:r>
      <w:r w:rsidRPr="00EE6341">
        <w:rPr>
          <w:rFonts w:ascii="Times New Roman" w:hAnsi="Times New Roman" w:cs="Times New Roman"/>
        </w:rPr>
        <w:br/>
        <w:t xml:space="preserve">4. Union of India v. Justice K.S. Puttaswamy (2017) </w:t>
      </w:r>
      <w:r w:rsidR="003B22DD">
        <w:rPr>
          <w:rStyle w:val="FootnoteReference"/>
          <w:rFonts w:ascii="Times New Roman" w:hAnsi="Times New Roman" w:cs="Times New Roman"/>
        </w:rPr>
        <w:footnoteReference w:id="8"/>
      </w:r>
      <w:r w:rsidRPr="00EE6341">
        <w:rPr>
          <w:rFonts w:ascii="Times New Roman" w:hAnsi="Times New Roman" w:cs="Times New Roman"/>
        </w:rPr>
        <w:t xml:space="preserve">According to Article 21, the Supreme Court ruled that the right to privacy is an essential right that is essential to life and dignity. The ruling has important ramifications for surveillance, data protection, and personal information control. </w:t>
      </w:r>
      <w:r w:rsidRPr="00EE6341">
        <w:rPr>
          <w:rFonts w:ascii="Times New Roman" w:hAnsi="Times New Roman" w:cs="Times New Roman"/>
        </w:rPr>
        <w:br/>
        <w:t>5. Union of India v. Navtej Singh Johar (2018) The Supreme Court acknowledged the LGBTQIA+ community's right to live in dignity and without discrimination in this landmark ruling, which also decriminalized homosexuality.</w:t>
      </w:r>
    </w:p>
    <w:p w14:paraId="5ACE496B" w14:textId="26079F5F" w:rsidR="00D43352" w:rsidRPr="00EE6341" w:rsidRDefault="00D43352" w:rsidP="00EE6341">
      <w:pPr>
        <w:spacing w:line="360" w:lineRule="auto"/>
        <w:rPr>
          <w:rFonts w:ascii="Times New Roman" w:hAnsi="Times New Roman" w:cs="Times New Roman"/>
        </w:rPr>
      </w:pPr>
      <w:r w:rsidRPr="00EE6341">
        <w:rPr>
          <w:rFonts w:ascii="Times New Roman" w:hAnsi="Times New Roman" w:cs="Times New Roman"/>
        </w:rPr>
        <w:lastRenderedPageBreak/>
        <w:t>6. Union of India v. Common Cause (2018)</w:t>
      </w:r>
      <w:r w:rsidR="003B22DD">
        <w:rPr>
          <w:rStyle w:val="FootnoteReference"/>
          <w:rFonts w:ascii="Times New Roman" w:hAnsi="Times New Roman" w:cs="Times New Roman"/>
        </w:rPr>
        <w:footnoteReference w:id="9"/>
      </w:r>
      <w:r w:rsidRPr="00EE6341">
        <w:rPr>
          <w:rFonts w:ascii="Times New Roman" w:hAnsi="Times New Roman" w:cs="Times New Roman"/>
        </w:rPr>
        <w:t xml:space="preserve"> By allowing living wills and passive euthanasia, the Court maintained the right to pass away with dignity. This ruling broadened the definition of dignity to encompass the process of making decisions about one's end of life. </w:t>
      </w:r>
      <w:r w:rsidRPr="00EE6341">
        <w:rPr>
          <w:rFonts w:ascii="Times New Roman" w:hAnsi="Times New Roman" w:cs="Times New Roman"/>
        </w:rPr>
        <w:br/>
      </w:r>
      <w:r w:rsidRPr="00EE6341">
        <w:rPr>
          <w:rFonts w:ascii="Times New Roman" w:hAnsi="Times New Roman" w:cs="Times New Roman"/>
          <w:b/>
          <w:bCs/>
        </w:rPr>
        <w:t>Current Obstacles to the Right to Dignity</w:t>
      </w:r>
      <w:r w:rsidR="00EE6341">
        <w:rPr>
          <w:rFonts w:ascii="Times New Roman" w:hAnsi="Times New Roman" w:cs="Times New Roman"/>
        </w:rPr>
        <w:t>:</w:t>
      </w:r>
      <w:r w:rsidRPr="00EE6341">
        <w:rPr>
          <w:rFonts w:ascii="Times New Roman" w:hAnsi="Times New Roman" w:cs="Times New Roman"/>
        </w:rPr>
        <w:br/>
        <w:t xml:space="preserve">Notwithstanding strong constitutional safeguards and judicial developments, a number of modern obstacles still stand in the way of India's implementation of the right to dignity. </w:t>
      </w:r>
      <w:r w:rsidRPr="00EE6341">
        <w:rPr>
          <w:rFonts w:ascii="Times New Roman" w:hAnsi="Times New Roman" w:cs="Times New Roman"/>
        </w:rPr>
        <w:br/>
        <w:t>1. Police brutality and custodial violence Human dignity is still seriously threatened by police violence, torture, and fatalities in custody. Custodial violence continues uncontrolled because to a lack of accountability, systemic inertia, and insufficient enforcement tools, despite the rules established in DK Basu and numerous judicial warnings.</w:t>
      </w:r>
    </w:p>
    <w:p w14:paraId="6144198C" w14:textId="2BD6B6A4" w:rsidR="00D43352" w:rsidRPr="00EE6341" w:rsidRDefault="00D43352" w:rsidP="00EE6341">
      <w:pPr>
        <w:spacing w:line="360" w:lineRule="auto"/>
        <w:rPr>
          <w:rFonts w:ascii="Times New Roman" w:hAnsi="Times New Roman" w:cs="Times New Roman"/>
        </w:rPr>
      </w:pPr>
      <w:r w:rsidRPr="00EE6341">
        <w:rPr>
          <w:rFonts w:ascii="Times New Roman" w:hAnsi="Times New Roman" w:cs="Times New Roman"/>
        </w:rPr>
        <w:t xml:space="preserve">2. Violence Against Women The dignity of women and gender minorities is still being threatened by gender-based violence. Despite extensive legislative frameworks like the Protection of Women from Domestic Violence Act, 2005, and the Sexual Harassment of Women at Workplace (Prevention, Prohibition and Redressal) Act, 2013, crimes like sexual assault, acid attacks, domestic violence, and workplace harassment continue to occur. </w:t>
      </w:r>
      <w:r w:rsidR="00440AB6">
        <w:rPr>
          <w:rStyle w:val="FootnoteReference"/>
          <w:rFonts w:ascii="Times New Roman" w:hAnsi="Times New Roman" w:cs="Times New Roman"/>
        </w:rPr>
        <w:footnoteReference w:id="10"/>
      </w:r>
      <w:r w:rsidRPr="00EE6341">
        <w:rPr>
          <w:rFonts w:ascii="Times New Roman" w:hAnsi="Times New Roman" w:cs="Times New Roman"/>
        </w:rPr>
        <w:br/>
        <w:t>3. Manual scavenging and discrimination based on caste Dalits and other underprivileged people continue to have their dignity violated by the caste system. In many regions of India, manual scavenging persists despite being outlawed by the Prohibition of Employment as Manual Scavengers and their Rehabilitation Act, 2013.</w:t>
      </w:r>
      <w:r w:rsidR="003B22DD">
        <w:rPr>
          <w:rStyle w:val="FootnoteReference"/>
          <w:rFonts w:ascii="Times New Roman" w:hAnsi="Times New Roman" w:cs="Times New Roman"/>
        </w:rPr>
        <w:footnoteReference w:id="11"/>
      </w:r>
      <w:r w:rsidRPr="00EE6341">
        <w:rPr>
          <w:rFonts w:ascii="Times New Roman" w:hAnsi="Times New Roman" w:cs="Times New Roman"/>
        </w:rPr>
        <w:t xml:space="preserve"> Indignity and social injustice are sustained by caste-based atrocities, social isolation, and economic marginalization.</w:t>
      </w:r>
    </w:p>
    <w:p w14:paraId="23F12D3D" w14:textId="77777777" w:rsidR="00D43352" w:rsidRPr="00EE6341" w:rsidRDefault="00D43352" w:rsidP="00EE6341">
      <w:pPr>
        <w:spacing w:line="360" w:lineRule="auto"/>
        <w:jc w:val="both"/>
        <w:rPr>
          <w:rFonts w:ascii="Times New Roman" w:hAnsi="Times New Roman" w:cs="Times New Roman"/>
        </w:rPr>
      </w:pPr>
      <w:r w:rsidRPr="00EE6341">
        <w:rPr>
          <w:rFonts w:ascii="Times New Roman" w:hAnsi="Times New Roman" w:cs="Times New Roman"/>
        </w:rPr>
        <w:t xml:space="preserve">4. Infractions of Privacy in the Digital Era Individual dignity is under threat from the emergence of digital technologies. The right to privacy is violated and individual autonomy is compromised by data breaches, cyberbullying, revenge pornography, and unapproved surveillance. These hazards are increased by the lack of a thorough data protection statute. </w:t>
      </w:r>
      <w:r w:rsidRPr="00EE6341">
        <w:rPr>
          <w:rFonts w:ascii="Times New Roman" w:hAnsi="Times New Roman" w:cs="Times New Roman"/>
        </w:rPr>
        <w:br/>
        <w:t xml:space="preserve">5. Adequate Conditions in Prison Inhumane living conditions and overcrowding frequently deprive prisoners of their dignity. Even though the rights of inmates are recognized by the courts, many </w:t>
      </w:r>
      <w:r w:rsidRPr="00EE6341">
        <w:rPr>
          <w:rFonts w:ascii="Times New Roman" w:hAnsi="Times New Roman" w:cs="Times New Roman"/>
        </w:rPr>
        <w:lastRenderedPageBreak/>
        <w:t xml:space="preserve">jails have egregiously poor basic healthcare, sanitation, and rehabilitation services. </w:t>
      </w:r>
      <w:r w:rsidRPr="00EE6341">
        <w:rPr>
          <w:rFonts w:ascii="Times New Roman" w:hAnsi="Times New Roman" w:cs="Times New Roman"/>
        </w:rPr>
        <w:br/>
        <w:t>6. The LGBTQIA+ Community is marginalized Even though homosexuality was decriminalized, there is still a lack of social acceptance for LGBTQIA+ people. The dignity of these groups is still being undermined by discrimination in public places, healthcare, work, and housing.</w:t>
      </w:r>
    </w:p>
    <w:p w14:paraId="1329B7A8" w14:textId="58DE83AA" w:rsidR="00D43352" w:rsidRPr="00EE6341" w:rsidRDefault="00D43352" w:rsidP="00EE6341">
      <w:pPr>
        <w:spacing w:line="360" w:lineRule="auto"/>
        <w:rPr>
          <w:rFonts w:ascii="Times New Roman" w:hAnsi="Times New Roman" w:cs="Times New Roman"/>
        </w:rPr>
      </w:pPr>
      <w:r w:rsidRPr="00EE6341">
        <w:rPr>
          <w:rFonts w:ascii="Times New Roman" w:hAnsi="Times New Roman" w:cs="Times New Roman"/>
        </w:rPr>
        <w:t xml:space="preserve">7. Insufficient Infrastructure for Mental Health </w:t>
      </w:r>
      <w:r w:rsidR="00EE6341" w:rsidRPr="00EE6341">
        <w:rPr>
          <w:rFonts w:ascii="Times New Roman" w:hAnsi="Times New Roman" w:cs="Times New Roman"/>
        </w:rPr>
        <w:t>in</w:t>
      </w:r>
      <w:r w:rsidRPr="00EE6341">
        <w:rPr>
          <w:rFonts w:ascii="Times New Roman" w:hAnsi="Times New Roman" w:cs="Times New Roman"/>
        </w:rPr>
        <w:t xml:space="preserve"> India, people with mental diseases frequently experience stigma, neglect, and inadequate care. The right to decent treatment is upheld under the Mental Healthcare Act of 2017, however mental health facilities still lack enough funding. </w:t>
      </w:r>
      <w:r w:rsidRPr="00EE6341">
        <w:rPr>
          <w:rFonts w:ascii="Times New Roman" w:hAnsi="Times New Roman" w:cs="Times New Roman"/>
        </w:rPr>
        <w:br/>
        <w:t xml:space="preserve">8. Difficulties Migrant Workers Face Systemic disregard for migrant workers' rights and dignity was made clear by their predicament during the COVID-19 outbreak. Migrant workers, who were compelled to trek hundreds of kilometers without proper assistance, brought attention to the precariousness of workers in the unorganized sector and the lack of social safeguards. </w:t>
      </w:r>
      <w:r w:rsidRPr="00EE6341">
        <w:rPr>
          <w:rFonts w:ascii="Times New Roman" w:hAnsi="Times New Roman" w:cs="Times New Roman"/>
        </w:rPr>
        <w:br/>
      </w:r>
      <w:r w:rsidRPr="000F00B1">
        <w:rPr>
          <w:rFonts w:ascii="Times New Roman" w:hAnsi="Times New Roman" w:cs="Times New Roman"/>
          <w:b/>
          <w:bCs/>
        </w:rPr>
        <w:t>Measures in Law and Policy</w:t>
      </w:r>
      <w:r w:rsidR="000F00B1">
        <w:rPr>
          <w:rFonts w:ascii="Times New Roman" w:hAnsi="Times New Roman" w:cs="Times New Roman"/>
          <w:b/>
          <w:bCs/>
        </w:rPr>
        <w:t>:</w:t>
      </w:r>
      <w:r w:rsidRPr="000F00B1">
        <w:rPr>
          <w:rFonts w:ascii="Times New Roman" w:hAnsi="Times New Roman" w:cs="Times New Roman"/>
          <w:b/>
          <w:bCs/>
        </w:rPr>
        <w:br/>
      </w:r>
      <w:r w:rsidRPr="00EE6341">
        <w:rPr>
          <w:rFonts w:ascii="Times New Roman" w:hAnsi="Times New Roman" w:cs="Times New Roman"/>
        </w:rPr>
        <w:t>The right to dignity has been protected by a number of legal actions. However, strict enforcement, public knowledge, and institutional responsibility are necessary for their effectiveness.</w:t>
      </w:r>
    </w:p>
    <w:p w14:paraId="480E3ABA" w14:textId="0F68D39A" w:rsidR="00D43352" w:rsidRPr="00EE6341" w:rsidRDefault="00D43352" w:rsidP="00EE6341">
      <w:pPr>
        <w:spacing w:line="360" w:lineRule="auto"/>
        <w:rPr>
          <w:rFonts w:ascii="Times New Roman" w:hAnsi="Times New Roman" w:cs="Times New Roman"/>
        </w:rPr>
      </w:pPr>
      <w:r w:rsidRPr="00EE6341">
        <w:rPr>
          <w:rFonts w:ascii="Times New Roman" w:hAnsi="Times New Roman" w:cs="Times New Roman"/>
        </w:rPr>
        <w:t xml:space="preserve">1. The Human Rights Protection Act of 1993 </w:t>
      </w:r>
      <w:r w:rsidR="00EE6341" w:rsidRPr="00EE6341">
        <w:rPr>
          <w:rFonts w:ascii="Times New Roman" w:hAnsi="Times New Roman" w:cs="Times New Roman"/>
        </w:rPr>
        <w:t>the</w:t>
      </w:r>
      <w:r w:rsidRPr="00EE6341">
        <w:rPr>
          <w:rFonts w:ascii="Times New Roman" w:hAnsi="Times New Roman" w:cs="Times New Roman"/>
        </w:rPr>
        <w:t xml:space="preserve"> National Human Rights Commission (NHRC) </w:t>
      </w:r>
      <w:r w:rsidR="003B22DD">
        <w:rPr>
          <w:rStyle w:val="FootnoteReference"/>
          <w:rFonts w:ascii="Times New Roman" w:hAnsi="Times New Roman" w:cs="Times New Roman"/>
        </w:rPr>
        <w:footnoteReference w:id="12"/>
      </w:r>
      <w:r w:rsidRPr="00EE6341">
        <w:rPr>
          <w:rFonts w:ascii="Times New Roman" w:hAnsi="Times New Roman" w:cs="Times New Roman"/>
        </w:rPr>
        <w:t xml:space="preserve">was created under this statute to look into human rights abuses and suggest corrective actions. </w:t>
      </w:r>
      <w:r w:rsidRPr="00EE6341">
        <w:rPr>
          <w:rFonts w:ascii="Times New Roman" w:hAnsi="Times New Roman" w:cs="Times New Roman"/>
        </w:rPr>
        <w:br/>
        <w:t xml:space="preserve">2. The 2005 Protection of Women Against Domestic Abuse Act This law upholds women's rights to live in safety and dignity and gives them legal protection from domestic abuse. </w:t>
      </w:r>
      <w:r w:rsidRPr="00EE6341">
        <w:rPr>
          <w:rFonts w:ascii="Times New Roman" w:hAnsi="Times New Roman" w:cs="Times New Roman"/>
        </w:rPr>
        <w:br/>
        <w:t xml:space="preserve">3. The 1989 Act on the Prevention of Atrocities Against Scheduled Castes and Scheduled Tribes The purpose of this legislation is to safeguard the dignity of SC/ST people and stop discrimination based on caste. </w:t>
      </w:r>
      <w:r w:rsidRPr="00EE6341">
        <w:rPr>
          <w:rFonts w:ascii="Times New Roman" w:hAnsi="Times New Roman" w:cs="Times New Roman"/>
        </w:rPr>
        <w:br/>
        <w:t>4. The 2016 Act on the Rights of Persons with Disabilities By requiring equitable access to public services, work opportunities, and education, this act supports the inclusion, autonomy, and dignity of people with disabilities.</w:t>
      </w:r>
    </w:p>
    <w:p w14:paraId="6E920DAB" w14:textId="74738D0B" w:rsidR="00D43352" w:rsidRPr="00EE6341" w:rsidRDefault="00D43352" w:rsidP="00EE6341">
      <w:pPr>
        <w:spacing w:line="360" w:lineRule="auto"/>
        <w:rPr>
          <w:rFonts w:ascii="Times New Roman" w:hAnsi="Times New Roman" w:cs="Times New Roman"/>
        </w:rPr>
      </w:pPr>
      <w:r w:rsidRPr="00EE6341">
        <w:rPr>
          <w:rFonts w:ascii="Times New Roman" w:hAnsi="Times New Roman" w:cs="Times New Roman"/>
        </w:rPr>
        <w:t xml:space="preserve">5. The 2019 Act for the Protection of Rights for Transgender Persons The goal of this act is to guarantee transgender people's right to live with dignity and to end discrimination against them. </w:t>
      </w:r>
      <w:r w:rsidRPr="00EE6341">
        <w:rPr>
          <w:rFonts w:ascii="Times New Roman" w:hAnsi="Times New Roman" w:cs="Times New Roman"/>
        </w:rPr>
        <w:br/>
        <w:t xml:space="preserve">6. The 2017 Mental Healthcare Act The right to obtain mental health treatments and to live a </w:t>
      </w:r>
      <w:r w:rsidRPr="00EE6341">
        <w:rPr>
          <w:rFonts w:ascii="Times New Roman" w:hAnsi="Times New Roman" w:cs="Times New Roman"/>
        </w:rPr>
        <w:lastRenderedPageBreak/>
        <w:t xml:space="preserve">dignified life free from prejudice and stigma is protected by this innovative law. </w:t>
      </w:r>
      <w:r w:rsidRPr="00EE6341">
        <w:rPr>
          <w:rFonts w:ascii="Times New Roman" w:hAnsi="Times New Roman" w:cs="Times New Roman"/>
        </w:rPr>
        <w:br/>
      </w:r>
      <w:r w:rsidRPr="00EE6341">
        <w:rPr>
          <w:rFonts w:ascii="Times New Roman" w:hAnsi="Times New Roman" w:cs="Times New Roman"/>
          <w:b/>
          <w:bCs/>
        </w:rPr>
        <w:t>Commitments to International Human Rights</w:t>
      </w:r>
      <w:r w:rsidR="00EE6341">
        <w:rPr>
          <w:rFonts w:ascii="Times New Roman" w:hAnsi="Times New Roman" w:cs="Times New Roman"/>
          <w:b/>
          <w:bCs/>
        </w:rPr>
        <w:t>:</w:t>
      </w:r>
      <w:r w:rsidRPr="00EE6341">
        <w:rPr>
          <w:rFonts w:ascii="Times New Roman" w:hAnsi="Times New Roman" w:cs="Times New Roman"/>
          <w:b/>
          <w:bCs/>
        </w:rPr>
        <w:br/>
      </w:r>
      <w:r w:rsidRPr="00EE6341">
        <w:rPr>
          <w:rFonts w:ascii="Times New Roman" w:hAnsi="Times New Roman" w:cs="Times New Roman"/>
        </w:rPr>
        <w:t xml:space="preserve">India's responsibilities under numerous international human rights instruments, such as the following, further demonstrate its dedication to human dignity: </w:t>
      </w:r>
      <w:r w:rsidRPr="00EE6341">
        <w:rPr>
          <w:rFonts w:ascii="Times New Roman" w:hAnsi="Times New Roman" w:cs="Times New Roman"/>
        </w:rPr>
        <w:br/>
      </w:r>
      <w:r w:rsidR="00EE6341">
        <w:rPr>
          <w:rFonts w:ascii="Times New Roman" w:hAnsi="Times New Roman" w:cs="Times New Roman"/>
        </w:rPr>
        <w:t xml:space="preserve">1. </w:t>
      </w:r>
      <w:r w:rsidRPr="00EE6341">
        <w:rPr>
          <w:rFonts w:ascii="Times New Roman" w:hAnsi="Times New Roman" w:cs="Times New Roman"/>
        </w:rPr>
        <w:t>UDHR, 1948, the Universal Declaration of Human Rights According to the UDHR, dignity is the cornerstone of justice, freedom, and peace.</w:t>
      </w:r>
      <w:r w:rsidR="00440AB6">
        <w:rPr>
          <w:rStyle w:val="FootnoteReference"/>
          <w:rFonts w:ascii="Times New Roman" w:hAnsi="Times New Roman" w:cs="Times New Roman"/>
        </w:rPr>
        <w:footnoteReference w:id="13"/>
      </w:r>
      <w:r w:rsidRPr="00EE6341">
        <w:rPr>
          <w:rFonts w:ascii="Times New Roman" w:hAnsi="Times New Roman" w:cs="Times New Roman"/>
        </w:rPr>
        <w:t xml:space="preserve"> </w:t>
      </w:r>
      <w:r w:rsidRPr="00EE6341">
        <w:rPr>
          <w:rFonts w:ascii="Times New Roman" w:hAnsi="Times New Roman" w:cs="Times New Roman"/>
        </w:rPr>
        <w:br/>
      </w:r>
      <w:r w:rsidR="005E272D" w:rsidRPr="00EE6341">
        <w:rPr>
          <w:rFonts w:ascii="Times New Roman" w:hAnsi="Times New Roman" w:cs="Times New Roman"/>
        </w:rPr>
        <w:t>2. T</w:t>
      </w:r>
      <w:r w:rsidRPr="00EE6341">
        <w:rPr>
          <w:rFonts w:ascii="Times New Roman" w:hAnsi="Times New Roman" w:cs="Times New Roman"/>
        </w:rPr>
        <w:t>he 1966 International Covenant on Civil and Political Rights (ICCPR) Every person's inherent dignity is safeguarded under the ICCPR, which also ensures rights to equality, liberty, and freedom from torture.</w:t>
      </w:r>
    </w:p>
    <w:p w14:paraId="67374C16" w14:textId="638FEB1A" w:rsidR="005E272D" w:rsidRPr="00EE6341" w:rsidRDefault="005E272D" w:rsidP="00EE6341">
      <w:pPr>
        <w:spacing w:line="360" w:lineRule="auto"/>
        <w:rPr>
          <w:rFonts w:ascii="Times New Roman" w:hAnsi="Times New Roman" w:cs="Times New Roman"/>
        </w:rPr>
      </w:pPr>
      <w:r w:rsidRPr="00EE6341">
        <w:rPr>
          <w:rFonts w:ascii="Times New Roman" w:hAnsi="Times New Roman" w:cs="Times New Roman"/>
        </w:rPr>
        <w:t xml:space="preserve">3. The 1966 International Covenant on Economic, Social, and Cultural Rights (ICESCR) As fundamental to human dignity, the ICESCR highlights the right to employment, education, and a sufficient quality of life. </w:t>
      </w:r>
      <w:r w:rsidRPr="00EE6341">
        <w:rPr>
          <w:rFonts w:ascii="Times New Roman" w:hAnsi="Times New Roman" w:cs="Times New Roman"/>
        </w:rPr>
        <w:br/>
        <w:t xml:space="preserve">4. CEDAW, the 1979 Convention on the Elimination of All Forms of Discrimination Against Women CEDAW addresses structural discrimination to advance gender equality and women's dignity. </w:t>
      </w:r>
    </w:p>
    <w:p w14:paraId="5C00EF85" w14:textId="5F3A8868" w:rsidR="005E272D" w:rsidRPr="00EE6341" w:rsidRDefault="005E272D" w:rsidP="00EE6341">
      <w:pPr>
        <w:spacing w:line="360" w:lineRule="auto"/>
        <w:rPr>
          <w:rFonts w:ascii="Times New Roman" w:hAnsi="Times New Roman" w:cs="Times New Roman"/>
        </w:rPr>
      </w:pPr>
      <w:r w:rsidRPr="00EE6341">
        <w:rPr>
          <w:rFonts w:ascii="Times New Roman" w:hAnsi="Times New Roman" w:cs="Times New Roman"/>
          <w:b/>
          <w:bCs/>
        </w:rPr>
        <w:t>The Way Ahead</w:t>
      </w:r>
      <w:r w:rsidR="00EE6341">
        <w:rPr>
          <w:rFonts w:ascii="Times New Roman" w:hAnsi="Times New Roman" w:cs="Times New Roman"/>
          <w:b/>
          <w:bCs/>
        </w:rPr>
        <w:t>:</w:t>
      </w:r>
      <w:r w:rsidRPr="00EE6341">
        <w:rPr>
          <w:rFonts w:ascii="Times New Roman" w:hAnsi="Times New Roman" w:cs="Times New Roman"/>
          <w:b/>
          <w:bCs/>
        </w:rPr>
        <w:br/>
      </w:r>
      <w:r w:rsidRPr="00EE6341">
        <w:rPr>
          <w:rFonts w:ascii="Times New Roman" w:hAnsi="Times New Roman" w:cs="Times New Roman"/>
        </w:rPr>
        <w:t xml:space="preserve">1. Making Accountability Mechanisms Stronger To hold offenders accountable and guarantee the prompt resolution of complaints, independent oversight organizations like the NHRC, State Human Rights Commissions, and women's commissions must be given the authority they need. </w:t>
      </w:r>
      <w:r w:rsidRPr="00EE6341">
        <w:rPr>
          <w:rFonts w:ascii="Times New Roman" w:hAnsi="Times New Roman" w:cs="Times New Roman"/>
        </w:rPr>
        <w:br/>
        <w:t>2. All-encompassing Police Reforms To change policing methods, guarantee openness, and foster human rights respect in law enforcement organizations, structural reforms are required.</w:t>
      </w:r>
    </w:p>
    <w:p w14:paraId="20C42D41" w14:textId="4489CA05" w:rsidR="005E272D" w:rsidRPr="00EE6341" w:rsidRDefault="005E272D" w:rsidP="00EE6341">
      <w:pPr>
        <w:spacing w:line="360" w:lineRule="auto"/>
        <w:rPr>
          <w:rFonts w:ascii="Times New Roman" w:hAnsi="Times New Roman" w:cs="Times New Roman"/>
        </w:rPr>
      </w:pPr>
      <w:r w:rsidRPr="00EE6341">
        <w:rPr>
          <w:rFonts w:ascii="Times New Roman" w:hAnsi="Times New Roman" w:cs="Times New Roman"/>
        </w:rPr>
        <w:t xml:space="preserve">3. Encouraging Legal Education and Awareness Expanding legal literacy initiatives and public awareness campaigns would enable people—especially underprivileged groups—to stand up for their rights and demand respect. </w:t>
      </w:r>
      <w:r w:rsidR="00440AB6">
        <w:rPr>
          <w:rStyle w:val="FootnoteReference"/>
          <w:rFonts w:ascii="Times New Roman" w:hAnsi="Times New Roman" w:cs="Times New Roman"/>
        </w:rPr>
        <w:footnoteReference w:id="14"/>
      </w:r>
      <w:r w:rsidRPr="00EE6341">
        <w:rPr>
          <w:rFonts w:ascii="Times New Roman" w:hAnsi="Times New Roman" w:cs="Times New Roman"/>
        </w:rPr>
        <w:br/>
        <w:t xml:space="preserve">4. Dealing with Social Prejudices To combat ingrained biases against women, Dalits, LGBTQIA+ people, and people with disabilities, multi-stakeholder initiatives involving the government, civil society, educational institutions, and media are crucial. </w:t>
      </w:r>
      <w:r w:rsidRPr="00EE6341">
        <w:rPr>
          <w:rFonts w:ascii="Times New Roman" w:hAnsi="Times New Roman" w:cs="Times New Roman"/>
        </w:rPr>
        <w:br/>
        <w:t xml:space="preserve">5. Passing legislation protecting data Strong laws are necessary to safeguard digital privacy, stop </w:t>
      </w:r>
      <w:r w:rsidRPr="00EE6341">
        <w:rPr>
          <w:rFonts w:ascii="Times New Roman" w:hAnsi="Times New Roman" w:cs="Times New Roman"/>
        </w:rPr>
        <w:lastRenderedPageBreak/>
        <w:t xml:space="preserve">data abuse, and provide people authority over their personal data. </w:t>
      </w:r>
      <w:r w:rsidRPr="00EE6341">
        <w:rPr>
          <w:rFonts w:ascii="Times New Roman" w:hAnsi="Times New Roman" w:cs="Times New Roman"/>
        </w:rPr>
        <w:br/>
        <w:t>6. Enhancing the Facilities for Mental Health and Prisons To preserve the dignity of vulnerable groups, targeted investments are required to strengthen mental health facilities, healthcare services, and prison infrastructure.</w:t>
      </w:r>
      <w:r w:rsidR="00440AB6">
        <w:rPr>
          <w:rStyle w:val="FootnoteReference"/>
          <w:rFonts w:ascii="Times New Roman" w:hAnsi="Times New Roman" w:cs="Times New Roman"/>
        </w:rPr>
        <w:footnoteReference w:id="15"/>
      </w:r>
    </w:p>
    <w:p w14:paraId="23FD2359" w14:textId="25D12B9C" w:rsidR="00D65B34" w:rsidRPr="00D65B34" w:rsidRDefault="005E272D" w:rsidP="00EE6341">
      <w:pPr>
        <w:spacing w:line="360" w:lineRule="auto"/>
        <w:rPr>
          <w:rFonts w:ascii="Times New Roman" w:hAnsi="Times New Roman" w:cs="Times New Roman"/>
        </w:rPr>
      </w:pPr>
      <w:r w:rsidRPr="00EE6341">
        <w:rPr>
          <w:rFonts w:ascii="Times New Roman" w:hAnsi="Times New Roman" w:cs="Times New Roman"/>
        </w:rPr>
        <w:t xml:space="preserve">7. Affected communities must be consulted when developing inclusive policy-making policies in order to address their particular difficulties and guarantee meaningful involvement in decision-making procedures. </w:t>
      </w:r>
      <w:r w:rsidRPr="00EE6341">
        <w:rPr>
          <w:rFonts w:ascii="Times New Roman" w:hAnsi="Times New Roman" w:cs="Times New Roman"/>
        </w:rPr>
        <w:br/>
      </w:r>
      <w:r w:rsidRPr="00EE6341">
        <w:rPr>
          <w:rFonts w:ascii="Times New Roman" w:hAnsi="Times New Roman" w:cs="Times New Roman"/>
          <w:b/>
          <w:bCs/>
        </w:rPr>
        <w:t xml:space="preserve">CONCLUSION </w:t>
      </w:r>
      <w:r w:rsidRPr="00EE6341">
        <w:rPr>
          <w:rFonts w:ascii="Times New Roman" w:hAnsi="Times New Roman" w:cs="Times New Roman"/>
          <w:b/>
          <w:bCs/>
        </w:rPr>
        <w:br/>
      </w:r>
      <w:r w:rsidRPr="00EE6341">
        <w:rPr>
          <w:rFonts w:ascii="Times New Roman" w:hAnsi="Times New Roman" w:cs="Times New Roman"/>
        </w:rPr>
        <w:t>A just, inclusive, and democratic society is based on the core constitutional promise of the right to dignity. Although the Indian judiciary and Constitution offer a robust foundation for safeguarding this right, there are still several obstacles in the way of its actualization. Many people's dignity is still being undermined by socioeconomic exclusion, digital privacy issues, gender and caste-based discrimination, and custodial abuse. A multidimensional strategy including institutional responsibility, public participation, legal reforms, and a culture shift toward empathy and respect for all is needed to address these issues.</w:t>
      </w:r>
      <w:r w:rsidRPr="00EE6341">
        <w:rPr>
          <w:rFonts w:ascii="Times New Roman" w:eastAsia="Times New Roman" w:hAnsi="Times New Roman" w:cs="Times New Roman"/>
          <w:kern w:val="0"/>
          <w14:ligatures w14:val="none"/>
        </w:rPr>
        <w:t xml:space="preserve"> </w:t>
      </w:r>
      <w:r w:rsidRPr="00EE6341">
        <w:rPr>
          <w:rFonts w:ascii="Times New Roman" w:hAnsi="Times New Roman" w:cs="Times New Roman"/>
        </w:rPr>
        <w:t>In order to ensure that everyone has the right to dignity and that it is not only a constitutional ideal but a lived reality, society must work together to preserve and defend each person's intrinsic worth.</w:t>
      </w:r>
    </w:p>
    <w:sectPr w:rsidR="00D65B34" w:rsidRPr="00D65B3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07147" w14:textId="77777777" w:rsidR="004121DC" w:rsidRDefault="004121DC" w:rsidP="00876903">
      <w:pPr>
        <w:spacing w:after="0" w:line="240" w:lineRule="auto"/>
      </w:pPr>
      <w:r>
        <w:separator/>
      </w:r>
    </w:p>
  </w:endnote>
  <w:endnote w:type="continuationSeparator" w:id="0">
    <w:p w14:paraId="4BC4716A" w14:textId="77777777" w:rsidR="004121DC" w:rsidRDefault="004121DC" w:rsidP="008769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860304"/>
      <w:docPartObj>
        <w:docPartGallery w:val="Page Numbers (Bottom of Page)"/>
        <w:docPartUnique/>
      </w:docPartObj>
    </w:sdtPr>
    <w:sdtEndPr>
      <w:rPr>
        <w:noProof/>
      </w:rPr>
    </w:sdtEndPr>
    <w:sdtContent>
      <w:p w14:paraId="5FDE0027" w14:textId="668E3A7C" w:rsidR="00876903" w:rsidRDefault="0087690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66BC07C" w14:textId="77777777" w:rsidR="00876903" w:rsidRDefault="008769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73DD4" w14:textId="77777777" w:rsidR="004121DC" w:rsidRDefault="004121DC" w:rsidP="00876903">
      <w:pPr>
        <w:spacing w:after="0" w:line="240" w:lineRule="auto"/>
      </w:pPr>
      <w:r>
        <w:separator/>
      </w:r>
    </w:p>
  </w:footnote>
  <w:footnote w:type="continuationSeparator" w:id="0">
    <w:p w14:paraId="79A1DEA7" w14:textId="77777777" w:rsidR="004121DC" w:rsidRDefault="004121DC" w:rsidP="00876903">
      <w:pPr>
        <w:spacing w:after="0" w:line="240" w:lineRule="auto"/>
      </w:pPr>
      <w:r>
        <w:continuationSeparator/>
      </w:r>
    </w:p>
  </w:footnote>
  <w:footnote w:id="1">
    <w:p w14:paraId="56A6A057" w14:textId="5A54F354" w:rsidR="00C77AA9" w:rsidRDefault="00C77AA9">
      <w:pPr>
        <w:pStyle w:val="FootnoteText"/>
      </w:pPr>
      <w:r>
        <w:rPr>
          <w:rStyle w:val="FootnoteReference"/>
        </w:rPr>
        <w:footnoteRef/>
      </w:r>
      <w:r>
        <w:t xml:space="preserve"> </w:t>
      </w:r>
      <w:r w:rsidRPr="00C77AA9">
        <w:rPr>
          <w:b/>
          <w:bCs/>
        </w:rPr>
        <w:t>Jain, M.P.</w:t>
      </w:r>
      <w:r w:rsidRPr="00C77AA9">
        <w:t xml:space="preserve">, </w:t>
      </w:r>
      <w:r w:rsidRPr="00C77AA9">
        <w:rPr>
          <w:i/>
          <w:iCs/>
        </w:rPr>
        <w:t>Indian Constitutional Law</w:t>
      </w:r>
      <w:r w:rsidRPr="00C77AA9">
        <w:t>, (LexisNexis, 8th edn., 2018).</w:t>
      </w:r>
    </w:p>
  </w:footnote>
  <w:footnote w:id="2">
    <w:p w14:paraId="7C9E2957" w14:textId="2597D73C" w:rsidR="00C77AA9" w:rsidRDefault="00C77AA9">
      <w:pPr>
        <w:pStyle w:val="FootnoteText"/>
      </w:pPr>
      <w:r>
        <w:rPr>
          <w:rStyle w:val="FootnoteReference"/>
        </w:rPr>
        <w:footnoteRef/>
      </w:r>
      <w:r>
        <w:t xml:space="preserve"> </w:t>
      </w:r>
      <w:r w:rsidRPr="00C77AA9">
        <w:rPr>
          <w:b/>
          <w:bCs/>
        </w:rPr>
        <w:t>Seervai, H.M.</w:t>
      </w:r>
      <w:r w:rsidRPr="00C77AA9">
        <w:t xml:space="preserve">, </w:t>
      </w:r>
      <w:r w:rsidRPr="00C77AA9">
        <w:rPr>
          <w:i/>
          <w:iCs/>
        </w:rPr>
        <w:t>Constitutional Law of India</w:t>
      </w:r>
      <w:r w:rsidRPr="00C77AA9">
        <w:t>, (Universal Law Publishing, 4th edn., 2019).</w:t>
      </w:r>
    </w:p>
  </w:footnote>
  <w:footnote w:id="3">
    <w:p w14:paraId="720CC463" w14:textId="77777777" w:rsidR="0004320C" w:rsidRPr="0004320C" w:rsidRDefault="0004320C" w:rsidP="0004320C">
      <w:pPr>
        <w:pStyle w:val="FootnoteText"/>
      </w:pPr>
      <w:r>
        <w:rPr>
          <w:rStyle w:val="FootnoteReference"/>
        </w:rPr>
        <w:footnoteRef/>
      </w:r>
      <w:r>
        <w:t xml:space="preserve"> </w:t>
      </w:r>
      <w:r w:rsidRPr="0004320C">
        <w:t xml:space="preserve">Basu, D.D., </w:t>
      </w:r>
      <w:r w:rsidRPr="0004320C">
        <w:rPr>
          <w:i/>
          <w:iCs/>
        </w:rPr>
        <w:t>Commentary on the Constitution of India</w:t>
      </w:r>
      <w:r w:rsidRPr="0004320C">
        <w:t>, (LexisNexis, 9th edn., 2020).</w:t>
      </w:r>
    </w:p>
    <w:p w14:paraId="6C8CC6E9" w14:textId="6ED6FC4E" w:rsidR="0004320C" w:rsidRDefault="0004320C">
      <w:pPr>
        <w:pStyle w:val="FootnoteText"/>
      </w:pPr>
    </w:p>
  </w:footnote>
  <w:footnote w:id="4">
    <w:p w14:paraId="27A041FA" w14:textId="50B15BFC" w:rsidR="0004320C" w:rsidRDefault="0004320C">
      <w:pPr>
        <w:pStyle w:val="FootnoteText"/>
      </w:pPr>
      <w:r>
        <w:rPr>
          <w:rStyle w:val="FootnoteReference"/>
        </w:rPr>
        <w:footnoteRef/>
      </w:r>
      <w:r>
        <w:t xml:space="preserve"> </w:t>
      </w:r>
      <w:r w:rsidR="003B22DD" w:rsidRPr="003B22DD">
        <w:rPr>
          <w:i/>
          <w:iCs/>
        </w:rPr>
        <w:t>Francis Coralie Mullin v. Administrator, Union Territory of Delhi</w:t>
      </w:r>
      <w:r w:rsidR="003B22DD" w:rsidRPr="003B22DD">
        <w:t>, AIR 1981 SC 746: (1981) 1 SCC 608.</w:t>
      </w:r>
    </w:p>
  </w:footnote>
  <w:footnote w:id="5">
    <w:p w14:paraId="78C9980F" w14:textId="27D19DB3" w:rsidR="0004320C" w:rsidRDefault="0004320C">
      <w:pPr>
        <w:pStyle w:val="FootnoteText"/>
      </w:pPr>
      <w:r>
        <w:rPr>
          <w:rStyle w:val="FootnoteReference"/>
        </w:rPr>
        <w:footnoteRef/>
      </w:r>
      <w:r>
        <w:t xml:space="preserve"> </w:t>
      </w:r>
      <w:r w:rsidRPr="0004320C">
        <w:rPr>
          <w:i/>
          <w:iCs/>
        </w:rPr>
        <w:t>Maneka Gandhi v. Union of India</w:t>
      </w:r>
      <w:r w:rsidRPr="0004320C">
        <w:t>, AIR 1978 SC 597: (1978) 1 SCC 248.</w:t>
      </w:r>
    </w:p>
  </w:footnote>
  <w:footnote w:id="6">
    <w:p w14:paraId="230F69A7" w14:textId="51ABA1AD" w:rsidR="003B22DD" w:rsidRDefault="003B22DD">
      <w:pPr>
        <w:pStyle w:val="FootnoteText"/>
      </w:pPr>
      <w:r>
        <w:rPr>
          <w:rStyle w:val="FootnoteReference"/>
        </w:rPr>
        <w:footnoteRef/>
      </w:r>
      <w:r>
        <w:t xml:space="preserve"> </w:t>
      </w:r>
      <w:r w:rsidRPr="003B22DD">
        <w:rPr>
          <w:i/>
          <w:iCs/>
        </w:rPr>
        <w:t>Francis Coralie Mullin v. Administrator, Union Territory of Delhi</w:t>
      </w:r>
      <w:r w:rsidRPr="003B22DD">
        <w:t>, AIR 1981 SC 746: (1981) 1 SCC 608.</w:t>
      </w:r>
    </w:p>
  </w:footnote>
  <w:footnote w:id="7">
    <w:p w14:paraId="6D2EA896" w14:textId="72F85C92" w:rsidR="003B22DD" w:rsidRDefault="003B22DD">
      <w:pPr>
        <w:pStyle w:val="FootnoteText"/>
      </w:pPr>
      <w:r>
        <w:rPr>
          <w:rStyle w:val="FootnoteReference"/>
        </w:rPr>
        <w:footnoteRef/>
      </w:r>
      <w:r>
        <w:t xml:space="preserve"> </w:t>
      </w:r>
      <w:r w:rsidRPr="003B22DD">
        <w:rPr>
          <w:i/>
          <w:iCs/>
        </w:rPr>
        <w:t>Nalsa v. Union of India</w:t>
      </w:r>
      <w:r w:rsidRPr="003B22DD">
        <w:t>, (2014) 5 SCC 438.</w:t>
      </w:r>
    </w:p>
  </w:footnote>
  <w:footnote w:id="8">
    <w:p w14:paraId="37638FA6" w14:textId="10D3627A" w:rsidR="003B22DD" w:rsidRDefault="003B22DD">
      <w:pPr>
        <w:pStyle w:val="FootnoteText"/>
      </w:pPr>
      <w:r>
        <w:rPr>
          <w:rStyle w:val="FootnoteReference"/>
        </w:rPr>
        <w:footnoteRef/>
      </w:r>
      <w:r>
        <w:t xml:space="preserve"> </w:t>
      </w:r>
      <w:r w:rsidRPr="003B22DD">
        <w:rPr>
          <w:i/>
          <w:iCs/>
        </w:rPr>
        <w:t>Justice K.S. Puttaswamy (Retd.) v. Union of India</w:t>
      </w:r>
      <w:r w:rsidRPr="003B22DD">
        <w:t>, (2017) 10 SCC 1.</w:t>
      </w:r>
    </w:p>
  </w:footnote>
  <w:footnote w:id="9">
    <w:p w14:paraId="0D79C772" w14:textId="27B886B4" w:rsidR="003B22DD" w:rsidRDefault="003B22DD">
      <w:pPr>
        <w:pStyle w:val="FootnoteText"/>
      </w:pPr>
      <w:r>
        <w:rPr>
          <w:rStyle w:val="FootnoteReference"/>
        </w:rPr>
        <w:footnoteRef/>
      </w:r>
      <w:r>
        <w:t xml:space="preserve"> </w:t>
      </w:r>
      <w:r w:rsidRPr="003B22DD">
        <w:rPr>
          <w:i/>
          <w:iCs/>
        </w:rPr>
        <w:t>Common Cause v. Union of India</w:t>
      </w:r>
      <w:r w:rsidRPr="003B22DD">
        <w:t>, (2018) 5 SCC 1 (Right to die with dignity).</w:t>
      </w:r>
    </w:p>
  </w:footnote>
  <w:footnote w:id="10">
    <w:p w14:paraId="67296B59" w14:textId="7F26F18F" w:rsidR="00440AB6" w:rsidRDefault="00440AB6">
      <w:pPr>
        <w:pStyle w:val="FootnoteText"/>
      </w:pPr>
      <w:r>
        <w:rPr>
          <w:rStyle w:val="FootnoteReference"/>
        </w:rPr>
        <w:footnoteRef/>
      </w:r>
      <w:r>
        <w:t xml:space="preserve"> </w:t>
      </w:r>
      <w:r w:rsidRPr="00440AB6">
        <w:t xml:space="preserve">Upendra Baxi, “The Right to be Human”, (1987) </w:t>
      </w:r>
      <w:r w:rsidRPr="00440AB6">
        <w:rPr>
          <w:i/>
          <w:iCs/>
        </w:rPr>
        <w:t>The Indian Journal of Social Work</w:t>
      </w:r>
      <w:r w:rsidRPr="00440AB6">
        <w:t xml:space="preserve"> Vol. 48(3) 353.</w:t>
      </w:r>
    </w:p>
  </w:footnote>
  <w:footnote w:id="11">
    <w:p w14:paraId="230D1003" w14:textId="6F434843" w:rsidR="00C77AA9" w:rsidRPr="00C77AA9" w:rsidRDefault="003B22DD" w:rsidP="00C77AA9">
      <w:pPr>
        <w:pStyle w:val="FootnoteText"/>
      </w:pPr>
      <w:r>
        <w:rPr>
          <w:rStyle w:val="FootnoteReference"/>
        </w:rPr>
        <w:footnoteRef/>
      </w:r>
      <w:r w:rsidR="00C77AA9" w:rsidRPr="00C77AA9">
        <w:t>Tripathi, S.C., "Human Dignity and Article 21: The Expanding Horizons", (2007) 49 Journal of the Indian Law Institute 345.</w:t>
      </w:r>
    </w:p>
    <w:p w14:paraId="16C7CC97" w14:textId="472C0E51" w:rsidR="003B22DD" w:rsidRPr="003B22DD" w:rsidRDefault="003B22DD" w:rsidP="003B22DD">
      <w:pPr>
        <w:pStyle w:val="FootnoteText"/>
      </w:pPr>
    </w:p>
    <w:p w14:paraId="37CC8698" w14:textId="0A007E92" w:rsidR="003B22DD" w:rsidRDefault="003B22DD">
      <w:pPr>
        <w:pStyle w:val="FootnoteText"/>
      </w:pPr>
    </w:p>
  </w:footnote>
  <w:footnote w:id="12">
    <w:p w14:paraId="438A6A3A" w14:textId="44DE0AE5" w:rsidR="003B22DD" w:rsidRDefault="003B22DD">
      <w:pPr>
        <w:pStyle w:val="FootnoteText"/>
      </w:pPr>
      <w:r>
        <w:rPr>
          <w:rStyle w:val="FootnoteReference"/>
        </w:rPr>
        <w:footnoteRef/>
      </w:r>
      <w:r>
        <w:t xml:space="preserve"> </w:t>
      </w:r>
      <w:r w:rsidRPr="003B22DD">
        <w:t xml:space="preserve">National Human Rights Commission, </w:t>
      </w:r>
      <w:r w:rsidRPr="003B22DD">
        <w:rPr>
          <w:i/>
          <w:iCs/>
        </w:rPr>
        <w:t>Annual Report 2021-2022</w:t>
      </w:r>
      <w:r w:rsidRPr="003B22DD">
        <w:t>, available at: https://nhrc.nic.in (last visited Jun. 24, 2025).</w:t>
      </w:r>
    </w:p>
  </w:footnote>
  <w:footnote w:id="13">
    <w:p w14:paraId="0FF6D024" w14:textId="586E2140" w:rsidR="00440AB6" w:rsidRDefault="00440AB6">
      <w:pPr>
        <w:pStyle w:val="FootnoteText"/>
      </w:pPr>
      <w:r>
        <w:rPr>
          <w:rStyle w:val="FootnoteReference"/>
        </w:rPr>
        <w:footnoteRef/>
      </w:r>
      <w:r>
        <w:t xml:space="preserve"> </w:t>
      </w:r>
      <w:r w:rsidRPr="00440AB6">
        <w:t xml:space="preserve">Bajwa, G.S., and D.K. Bajwa, </w:t>
      </w:r>
      <w:r w:rsidRPr="00440AB6">
        <w:rPr>
          <w:i/>
          <w:iCs/>
        </w:rPr>
        <w:t>Human Rights in India: Implementation and Violations</w:t>
      </w:r>
      <w:r w:rsidRPr="00440AB6">
        <w:t>, (Anmol Publications, 2005).</w:t>
      </w:r>
    </w:p>
  </w:footnote>
  <w:footnote w:id="14">
    <w:p w14:paraId="769675AB" w14:textId="3ADE1B9B" w:rsidR="00440AB6" w:rsidRDefault="00440AB6">
      <w:pPr>
        <w:pStyle w:val="FootnoteText"/>
      </w:pPr>
      <w:r>
        <w:rPr>
          <w:rStyle w:val="FootnoteReference"/>
        </w:rPr>
        <w:footnoteRef/>
      </w:r>
      <w:r>
        <w:t xml:space="preserve"> </w:t>
      </w:r>
      <w:r w:rsidRPr="00440AB6">
        <w:t xml:space="preserve">Law Commission of India, </w:t>
      </w:r>
      <w:r w:rsidRPr="00440AB6">
        <w:rPr>
          <w:i/>
          <w:iCs/>
        </w:rPr>
        <w:t>Report No. 262: Death Penalty</w:t>
      </w:r>
      <w:r w:rsidRPr="00440AB6">
        <w:t>, August 2015.</w:t>
      </w:r>
    </w:p>
  </w:footnote>
  <w:footnote w:id="15">
    <w:p w14:paraId="7518078E" w14:textId="10A4B2EC" w:rsidR="00440AB6" w:rsidRDefault="00440AB6">
      <w:pPr>
        <w:pStyle w:val="FootnoteText"/>
      </w:pPr>
      <w:r>
        <w:rPr>
          <w:rStyle w:val="FootnoteReference"/>
        </w:rPr>
        <w:footnoteRef/>
      </w:r>
      <w:r>
        <w:t xml:space="preserve"> </w:t>
      </w:r>
      <w:r w:rsidRPr="00440AB6">
        <w:t xml:space="preserve">National Human Rights Commission, </w:t>
      </w:r>
      <w:r w:rsidRPr="00440AB6">
        <w:rPr>
          <w:i/>
          <w:iCs/>
        </w:rPr>
        <w:t>Annual Report 2021-2022</w:t>
      </w:r>
      <w:r w:rsidRPr="00440AB6">
        <w:t>, available at: https://nhrc.nic.in (last visited Jun. 24, 2025).</w:t>
      </w:r>
    </w:p>
    <w:p w14:paraId="2FAC725A" w14:textId="48B7FD7F" w:rsidR="00440AB6" w:rsidRDefault="00440AB6">
      <w:pPr>
        <w:pStyle w:val="FootnoteText"/>
      </w:pPr>
      <w:r w:rsidRPr="00440AB6">
        <w:t xml:space="preserve">K. Alexander, “Mental Health in Prisons: Challenges and Strategies in India,” (2018) 60 </w:t>
      </w:r>
      <w:r w:rsidRPr="00440AB6">
        <w:rPr>
          <w:i/>
          <w:iCs/>
        </w:rPr>
        <w:t>Journal of the Indian Law Institute</w:t>
      </w:r>
      <w:r w:rsidRPr="00440AB6">
        <w:t xml:space="preserve"> 101.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43D"/>
    <w:rsid w:val="0004320C"/>
    <w:rsid w:val="000E08AF"/>
    <w:rsid w:val="000F00B1"/>
    <w:rsid w:val="000F1883"/>
    <w:rsid w:val="001C2264"/>
    <w:rsid w:val="00267C1C"/>
    <w:rsid w:val="003B22DD"/>
    <w:rsid w:val="004121DC"/>
    <w:rsid w:val="00440AB6"/>
    <w:rsid w:val="005D6FF7"/>
    <w:rsid w:val="005E272D"/>
    <w:rsid w:val="006E2A73"/>
    <w:rsid w:val="00876903"/>
    <w:rsid w:val="008862E4"/>
    <w:rsid w:val="00994750"/>
    <w:rsid w:val="009A54F9"/>
    <w:rsid w:val="00C17747"/>
    <w:rsid w:val="00C77AA9"/>
    <w:rsid w:val="00D43352"/>
    <w:rsid w:val="00D65B34"/>
    <w:rsid w:val="00E57046"/>
    <w:rsid w:val="00EE6341"/>
    <w:rsid w:val="00EF44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88D01"/>
  <w15:chartTrackingRefBased/>
  <w15:docId w15:val="{31B4252F-5D5C-4EFA-B364-40EB4D4AC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4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F44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F44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F44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44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44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4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4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4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4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44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44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44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44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44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4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4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43D"/>
    <w:rPr>
      <w:rFonts w:eastAsiaTheme="majorEastAsia" w:cstheme="majorBidi"/>
      <w:color w:val="272727" w:themeColor="text1" w:themeTint="D8"/>
    </w:rPr>
  </w:style>
  <w:style w:type="paragraph" w:styleId="Title">
    <w:name w:val="Title"/>
    <w:basedOn w:val="Normal"/>
    <w:next w:val="Normal"/>
    <w:link w:val="TitleChar"/>
    <w:uiPriority w:val="10"/>
    <w:qFormat/>
    <w:rsid w:val="00EF44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4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4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4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43D"/>
    <w:pPr>
      <w:spacing w:before="160"/>
      <w:jc w:val="center"/>
    </w:pPr>
    <w:rPr>
      <w:i/>
      <w:iCs/>
      <w:color w:val="404040" w:themeColor="text1" w:themeTint="BF"/>
    </w:rPr>
  </w:style>
  <w:style w:type="character" w:customStyle="1" w:styleId="QuoteChar">
    <w:name w:val="Quote Char"/>
    <w:basedOn w:val="DefaultParagraphFont"/>
    <w:link w:val="Quote"/>
    <w:uiPriority w:val="29"/>
    <w:rsid w:val="00EF443D"/>
    <w:rPr>
      <w:i/>
      <w:iCs/>
      <w:color w:val="404040" w:themeColor="text1" w:themeTint="BF"/>
    </w:rPr>
  </w:style>
  <w:style w:type="paragraph" w:styleId="ListParagraph">
    <w:name w:val="List Paragraph"/>
    <w:basedOn w:val="Normal"/>
    <w:uiPriority w:val="34"/>
    <w:qFormat/>
    <w:rsid w:val="00EF443D"/>
    <w:pPr>
      <w:ind w:left="720"/>
      <w:contextualSpacing/>
    </w:pPr>
  </w:style>
  <w:style w:type="character" w:styleId="IntenseEmphasis">
    <w:name w:val="Intense Emphasis"/>
    <w:basedOn w:val="DefaultParagraphFont"/>
    <w:uiPriority w:val="21"/>
    <w:qFormat/>
    <w:rsid w:val="00EF443D"/>
    <w:rPr>
      <w:i/>
      <w:iCs/>
      <w:color w:val="2F5496" w:themeColor="accent1" w:themeShade="BF"/>
    </w:rPr>
  </w:style>
  <w:style w:type="paragraph" w:styleId="IntenseQuote">
    <w:name w:val="Intense Quote"/>
    <w:basedOn w:val="Normal"/>
    <w:next w:val="Normal"/>
    <w:link w:val="IntenseQuoteChar"/>
    <w:uiPriority w:val="30"/>
    <w:qFormat/>
    <w:rsid w:val="00EF44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443D"/>
    <w:rPr>
      <w:i/>
      <w:iCs/>
      <w:color w:val="2F5496" w:themeColor="accent1" w:themeShade="BF"/>
    </w:rPr>
  </w:style>
  <w:style w:type="character" w:styleId="IntenseReference">
    <w:name w:val="Intense Reference"/>
    <w:basedOn w:val="DefaultParagraphFont"/>
    <w:uiPriority w:val="32"/>
    <w:qFormat/>
    <w:rsid w:val="00EF443D"/>
    <w:rPr>
      <w:b/>
      <w:bCs/>
      <w:smallCaps/>
      <w:color w:val="2F5496" w:themeColor="accent1" w:themeShade="BF"/>
      <w:spacing w:val="5"/>
    </w:rPr>
  </w:style>
  <w:style w:type="paragraph" w:styleId="Header">
    <w:name w:val="header"/>
    <w:basedOn w:val="Normal"/>
    <w:link w:val="HeaderChar"/>
    <w:uiPriority w:val="99"/>
    <w:unhideWhenUsed/>
    <w:rsid w:val="008769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903"/>
  </w:style>
  <w:style w:type="paragraph" w:styleId="Footer">
    <w:name w:val="footer"/>
    <w:basedOn w:val="Normal"/>
    <w:link w:val="FooterChar"/>
    <w:uiPriority w:val="99"/>
    <w:unhideWhenUsed/>
    <w:rsid w:val="008769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903"/>
  </w:style>
  <w:style w:type="paragraph" w:styleId="FootnoteText">
    <w:name w:val="footnote text"/>
    <w:basedOn w:val="Normal"/>
    <w:link w:val="FootnoteTextChar"/>
    <w:uiPriority w:val="99"/>
    <w:semiHidden/>
    <w:unhideWhenUsed/>
    <w:rsid w:val="000432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320C"/>
    <w:rPr>
      <w:sz w:val="20"/>
      <w:szCs w:val="20"/>
    </w:rPr>
  </w:style>
  <w:style w:type="character" w:styleId="FootnoteReference">
    <w:name w:val="footnote reference"/>
    <w:basedOn w:val="DefaultParagraphFont"/>
    <w:uiPriority w:val="99"/>
    <w:semiHidden/>
    <w:unhideWhenUsed/>
    <w:rsid w:val="0004320C"/>
    <w:rPr>
      <w:vertAlign w:val="superscript"/>
    </w:rPr>
  </w:style>
  <w:style w:type="paragraph" w:styleId="NormalWeb">
    <w:name w:val="Normal (Web)"/>
    <w:basedOn w:val="Normal"/>
    <w:uiPriority w:val="99"/>
    <w:semiHidden/>
    <w:unhideWhenUsed/>
    <w:rsid w:val="0004320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187280">
      <w:bodyDiv w:val="1"/>
      <w:marLeft w:val="0"/>
      <w:marRight w:val="0"/>
      <w:marTop w:val="0"/>
      <w:marBottom w:val="0"/>
      <w:divBdr>
        <w:top w:val="none" w:sz="0" w:space="0" w:color="auto"/>
        <w:left w:val="none" w:sz="0" w:space="0" w:color="auto"/>
        <w:bottom w:val="none" w:sz="0" w:space="0" w:color="auto"/>
        <w:right w:val="none" w:sz="0" w:space="0" w:color="auto"/>
      </w:divBdr>
    </w:div>
    <w:div w:id="286817731">
      <w:bodyDiv w:val="1"/>
      <w:marLeft w:val="0"/>
      <w:marRight w:val="0"/>
      <w:marTop w:val="0"/>
      <w:marBottom w:val="0"/>
      <w:divBdr>
        <w:top w:val="none" w:sz="0" w:space="0" w:color="auto"/>
        <w:left w:val="none" w:sz="0" w:space="0" w:color="auto"/>
        <w:bottom w:val="none" w:sz="0" w:space="0" w:color="auto"/>
        <w:right w:val="none" w:sz="0" w:space="0" w:color="auto"/>
      </w:divBdr>
    </w:div>
    <w:div w:id="300580244">
      <w:bodyDiv w:val="1"/>
      <w:marLeft w:val="0"/>
      <w:marRight w:val="0"/>
      <w:marTop w:val="0"/>
      <w:marBottom w:val="0"/>
      <w:divBdr>
        <w:top w:val="none" w:sz="0" w:space="0" w:color="auto"/>
        <w:left w:val="none" w:sz="0" w:space="0" w:color="auto"/>
        <w:bottom w:val="none" w:sz="0" w:space="0" w:color="auto"/>
        <w:right w:val="none" w:sz="0" w:space="0" w:color="auto"/>
      </w:divBdr>
    </w:div>
    <w:div w:id="373701808">
      <w:bodyDiv w:val="1"/>
      <w:marLeft w:val="0"/>
      <w:marRight w:val="0"/>
      <w:marTop w:val="0"/>
      <w:marBottom w:val="0"/>
      <w:divBdr>
        <w:top w:val="none" w:sz="0" w:space="0" w:color="auto"/>
        <w:left w:val="none" w:sz="0" w:space="0" w:color="auto"/>
        <w:bottom w:val="none" w:sz="0" w:space="0" w:color="auto"/>
        <w:right w:val="none" w:sz="0" w:space="0" w:color="auto"/>
      </w:divBdr>
    </w:div>
    <w:div w:id="433867618">
      <w:bodyDiv w:val="1"/>
      <w:marLeft w:val="0"/>
      <w:marRight w:val="0"/>
      <w:marTop w:val="0"/>
      <w:marBottom w:val="0"/>
      <w:divBdr>
        <w:top w:val="none" w:sz="0" w:space="0" w:color="auto"/>
        <w:left w:val="none" w:sz="0" w:space="0" w:color="auto"/>
        <w:bottom w:val="none" w:sz="0" w:space="0" w:color="auto"/>
        <w:right w:val="none" w:sz="0" w:space="0" w:color="auto"/>
      </w:divBdr>
    </w:div>
    <w:div w:id="450251441">
      <w:bodyDiv w:val="1"/>
      <w:marLeft w:val="0"/>
      <w:marRight w:val="0"/>
      <w:marTop w:val="0"/>
      <w:marBottom w:val="0"/>
      <w:divBdr>
        <w:top w:val="none" w:sz="0" w:space="0" w:color="auto"/>
        <w:left w:val="none" w:sz="0" w:space="0" w:color="auto"/>
        <w:bottom w:val="none" w:sz="0" w:space="0" w:color="auto"/>
        <w:right w:val="none" w:sz="0" w:space="0" w:color="auto"/>
      </w:divBdr>
    </w:div>
    <w:div w:id="495268863">
      <w:bodyDiv w:val="1"/>
      <w:marLeft w:val="0"/>
      <w:marRight w:val="0"/>
      <w:marTop w:val="0"/>
      <w:marBottom w:val="0"/>
      <w:divBdr>
        <w:top w:val="none" w:sz="0" w:space="0" w:color="auto"/>
        <w:left w:val="none" w:sz="0" w:space="0" w:color="auto"/>
        <w:bottom w:val="none" w:sz="0" w:space="0" w:color="auto"/>
        <w:right w:val="none" w:sz="0" w:space="0" w:color="auto"/>
      </w:divBdr>
    </w:div>
    <w:div w:id="641497143">
      <w:bodyDiv w:val="1"/>
      <w:marLeft w:val="0"/>
      <w:marRight w:val="0"/>
      <w:marTop w:val="0"/>
      <w:marBottom w:val="0"/>
      <w:divBdr>
        <w:top w:val="none" w:sz="0" w:space="0" w:color="auto"/>
        <w:left w:val="none" w:sz="0" w:space="0" w:color="auto"/>
        <w:bottom w:val="none" w:sz="0" w:space="0" w:color="auto"/>
        <w:right w:val="none" w:sz="0" w:space="0" w:color="auto"/>
      </w:divBdr>
    </w:div>
    <w:div w:id="654528410">
      <w:bodyDiv w:val="1"/>
      <w:marLeft w:val="0"/>
      <w:marRight w:val="0"/>
      <w:marTop w:val="0"/>
      <w:marBottom w:val="0"/>
      <w:divBdr>
        <w:top w:val="none" w:sz="0" w:space="0" w:color="auto"/>
        <w:left w:val="none" w:sz="0" w:space="0" w:color="auto"/>
        <w:bottom w:val="none" w:sz="0" w:space="0" w:color="auto"/>
        <w:right w:val="none" w:sz="0" w:space="0" w:color="auto"/>
      </w:divBdr>
    </w:div>
    <w:div w:id="659191857">
      <w:bodyDiv w:val="1"/>
      <w:marLeft w:val="0"/>
      <w:marRight w:val="0"/>
      <w:marTop w:val="0"/>
      <w:marBottom w:val="0"/>
      <w:divBdr>
        <w:top w:val="none" w:sz="0" w:space="0" w:color="auto"/>
        <w:left w:val="none" w:sz="0" w:space="0" w:color="auto"/>
        <w:bottom w:val="none" w:sz="0" w:space="0" w:color="auto"/>
        <w:right w:val="none" w:sz="0" w:space="0" w:color="auto"/>
      </w:divBdr>
    </w:div>
    <w:div w:id="672076574">
      <w:bodyDiv w:val="1"/>
      <w:marLeft w:val="0"/>
      <w:marRight w:val="0"/>
      <w:marTop w:val="0"/>
      <w:marBottom w:val="0"/>
      <w:divBdr>
        <w:top w:val="none" w:sz="0" w:space="0" w:color="auto"/>
        <w:left w:val="none" w:sz="0" w:space="0" w:color="auto"/>
        <w:bottom w:val="none" w:sz="0" w:space="0" w:color="auto"/>
        <w:right w:val="none" w:sz="0" w:space="0" w:color="auto"/>
      </w:divBdr>
    </w:div>
    <w:div w:id="711421764">
      <w:bodyDiv w:val="1"/>
      <w:marLeft w:val="0"/>
      <w:marRight w:val="0"/>
      <w:marTop w:val="0"/>
      <w:marBottom w:val="0"/>
      <w:divBdr>
        <w:top w:val="none" w:sz="0" w:space="0" w:color="auto"/>
        <w:left w:val="none" w:sz="0" w:space="0" w:color="auto"/>
        <w:bottom w:val="none" w:sz="0" w:space="0" w:color="auto"/>
        <w:right w:val="none" w:sz="0" w:space="0" w:color="auto"/>
      </w:divBdr>
    </w:div>
    <w:div w:id="729962137">
      <w:bodyDiv w:val="1"/>
      <w:marLeft w:val="0"/>
      <w:marRight w:val="0"/>
      <w:marTop w:val="0"/>
      <w:marBottom w:val="0"/>
      <w:divBdr>
        <w:top w:val="none" w:sz="0" w:space="0" w:color="auto"/>
        <w:left w:val="none" w:sz="0" w:space="0" w:color="auto"/>
        <w:bottom w:val="none" w:sz="0" w:space="0" w:color="auto"/>
        <w:right w:val="none" w:sz="0" w:space="0" w:color="auto"/>
      </w:divBdr>
    </w:div>
    <w:div w:id="806974295">
      <w:bodyDiv w:val="1"/>
      <w:marLeft w:val="0"/>
      <w:marRight w:val="0"/>
      <w:marTop w:val="0"/>
      <w:marBottom w:val="0"/>
      <w:divBdr>
        <w:top w:val="none" w:sz="0" w:space="0" w:color="auto"/>
        <w:left w:val="none" w:sz="0" w:space="0" w:color="auto"/>
        <w:bottom w:val="none" w:sz="0" w:space="0" w:color="auto"/>
        <w:right w:val="none" w:sz="0" w:space="0" w:color="auto"/>
      </w:divBdr>
    </w:div>
    <w:div w:id="864290895">
      <w:bodyDiv w:val="1"/>
      <w:marLeft w:val="0"/>
      <w:marRight w:val="0"/>
      <w:marTop w:val="0"/>
      <w:marBottom w:val="0"/>
      <w:divBdr>
        <w:top w:val="none" w:sz="0" w:space="0" w:color="auto"/>
        <w:left w:val="none" w:sz="0" w:space="0" w:color="auto"/>
        <w:bottom w:val="none" w:sz="0" w:space="0" w:color="auto"/>
        <w:right w:val="none" w:sz="0" w:space="0" w:color="auto"/>
      </w:divBdr>
    </w:div>
    <w:div w:id="892236344">
      <w:bodyDiv w:val="1"/>
      <w:marLeft w:val="0"/>
      <w:marRight w:val="0"/>
      <w:marTop w:val="0"/>
      <w:marBottom w:val="0"/>
      <w:divBdr>
        <w:top w:val="none" w:sz="0" w:space="0" w:color="auto"/>
        <w:left w:val="none" w:sz="0" w:space="0" w:color="auto"/>
        <w:bottom w:val="none" w:sz="0" w:space="0" w:color="auto"/>
        <w:right w:val="none" w:sz="0" w:space="0" w:color="auto"/>
      </w:divBdr>
    </w:div>
    <w:div w:id="914165876">
      <w:bodyDiv w:val="1"/>
      <w:marLeft w:val="0"/>
      <w:marRight w:val="0"/>
      <w:marTop w:val="0"/>
      <w:marBottom w:val="0"/>
      <w:divBdr>
        <w:top w:val="none" w:sz="0" w:space="0" w:color="auto"/>
        <w:left w:val="none" w:sz="0" w:space="0" w:color="auto"/>
        <w:bottom w:val="none" w:sz="0" w:space="0" w:color="auto"/>
        <w:right w:val="none" w:sz="0" w:space="0" w:color="auto"/>
      </w:divBdr>
    </w:div>
    <w:div w:id="956184766">
      <w:bodyDiv w:val="1"/>
      <w:marLeft w:val="0"/>
      <w:marRight w:val="0"/>
      <w:marTop w:val="0"/>
      <w:marBottom w:val="0"/>
      <w:divBdr>
        <w:top w:val="none" w:sz="0" w:space="0" w:color="auto"/>
        <w:left w:val="none" w:sz="0" w:space="0" w:color="auto"/>
        <w:bottom w:val="none" w:sz="0" w:space="0" w:color="auto"/>
        <w:right w:val="none" w:sz="0" w:space="0" w:color="auto"/>
      </w:divBdr>
    </w:div>
    <w:div w:id="969019632">
      <w:bodyDiv w:val="1"/>
      <w:marLeft w:val="0"/>
      <w:marRight w:val="0"/>
      <w:marTop w:val="0"/>
      <w:marBottom w:val="0"/>
      <w:divBdr>
        <w:top w:val="none" w:sz="0" w:space="0" w:color="auto"/>
        <w:left w:val="none" w:sz="0" w:space="0" w:color="auto"/>
        <w:bottom w:val="none" w:sz="0" w:space="0" w:color="auto"/>
        <w:right w:val="none" w:sz="0" w:space="0" w:color="auto"/>
      </w:divBdr>
    </w:div>
    <w:div w:id="982001248">
      <w:bodyDiv w:val="1"/>
      <w:marLeft w:val="0"/>
      <w:marRight w:val="0"/>
      <w:marTop w:val="0"/>
      <w:marBottom w:val="0"/>
      <w:divBdr>
        <w:top w:val="none" w:sz="0" w:space="0" w:color="auto"/>
        <w:left w:val="none" w:sz="0" w:space="0" w:color="auto"/>
        <w:bottom w:val="none" w:sz="0" w:space="0" w:color="auto"/>
        <w:right w:val="none" w:sz="0" w:space="0" w:color="auto"/>
      </w:divBdr>
    </w:div>
    <w:div w:id="1024209760">
      <w:bodyDiv w:val="1"/>
      <w:marLeft w:val="0"/>
      <w:marRight w:val="0"/>
      <w:marTop w:val="0"/>
      <w:marBottom w:val="0"/>
      <w:divBdr>
        <w:top w:val="none" w:sz="0" w:space="0" w:color="auto"/>
        <w:left w:val="none" w:sz="0" w:space="0" w:color="auto"/>
        <w:bottom w:val="none" w:sz="0" w:space="0" w:color="auto"/>
        <w:right w:val="none" w:sz="0" w:space="0" w:color="auto"/>
      </w:divBdr>
    </w:div>
    <w:div w:id="1030840104">
      <w:bodyDiv w:val="1"/>
      <w:marLeft w:val="0"/>
      <w:marRight w:val="0"/>
      <w:marTop w:val="0"/>
      <w:marBottom w:val="0"/>
      <w:divBdr>
        <w:top w:val="none" w:sz="0" w:space="0" w:color="auto"/>
        <w:left w:val="none" w:sz="0" w:space="0" w:color="auto"/>
        <w:bottom w:val="none" w:sz="0" w:space="0" w:color="auto"/>
        <w:right w:val="none" w:sz="0" w:space="0" w:color="auto"/>
      </w:divBdr>
    </w:div>
    <w:div w:id="1064329702">
      <w:bodyDiv w:val="1"/>
      <w:marLeft w:val="0"/>
      <w:marRight w:val="0"/>
      <w:marTop w:val="0"/>
      <w:marBottom w:val="0"/>
      <w:divBdr>
        <w:top w:val="none" w:sz="0" w:space="0" w:color="auto"/>
        <w:left w:val="none" w:sz="0" w:space="0" w:color="auto"/>
        <w:bottom w:val="none" w:sz="0" w:space="0" w:color="auto"/>
        <w:right w:val="none" w:sz="0" w:space="0" w:color="auto"/>
      </w:divBdr>
    </w:div>
    <w:div w:id="1099175074">
      <w:bodyDiv w:val="1"/>
      <w:marLeft w:val="0"/>
      <w:marRight w:val="0"/>
      <w:marTop w:val="0"/>
      <w:marBottom w:val="0"/>
      <w:divBdr>
        <w:top w:val="none" w:sz="0" w:space="0" w:color="auto"/>
        <w:left w:val="none" w:sz="0" w:space="0" w:color="auto"/>
        <w:bottom w:val="none" w:sz="0" w:space="0" w:color="auto"/>
        <w:right w:val="none" w:sz="0" w:space="0" w:color="auto"/>
      </w:divBdr>
    </w:div>
    <w:div w:id="1137642878">
      <w:bodyDiv w:val="1"/>
      <w:marLeft w:val="0"/>
      <w:marRight w:val="0"/>
      <w:marTop w:val="0"/>
      <w:marBottom w:val="0"/>
      <w:divBdr>
        <w:top w:val="none" w:sz="0" w:space="0" w:color="auto"/>
        <w:left w:val="none" w:sz="0" w:space="0" w:color="auto"/>
        <w:bottom w:val="none" w:sz="0" w:space="0" w:color="auto"/>
        <w:right w:val="none" w:sz="0" w:space="0" w:color="auto"/>
      </w:divBdr>
    </w:div>
    <w:div w:id="1156071430">
      <w:bodyDiv w:val="1"/>
      <w:marLeft w:val="0"/>
      <w:marRight w:val="0"/>
      <w:marTop w:val="0"/>
      <w:marBottom w:val="0"/>
      <w:divBdr>
        <w:top w:val="none" w:sz="0" w:space="0" w:color="auto"/>
        <w:left w:val="none" w:sz="0" w:space="0" w:color="auto"/>
        <w:bottom w:val="none" w:sz="0" w:space="0" w:color="auto"/>
        <w:right w:val="none" w:sz="0" w:space="0" w:color="auto"/>
      </w:divBdr>
    </w:div>
    <w:div w:id="1229995461">
      <w:bodyDiv w:val="1"/>
      <w:marLeft w:val="0"/>
      <w:marRight w:val="0"/>
      <w:marTop w:val="0"/>
      <w:marBottom w:val="0"/>
      <w:divBdr>
        <w:top w:val="none" w:sz="0" w:space="0" w:color="auto"/>
        <w:left w:val="none" w:sz="0" w:space="0" w:color="auto"/>
        <w:bottom w:val="none" w:sz="0" w:space="0" w:color="auto"/>
        <w:right w:val="none" w:sz="0" w:space="0" w:color="auto"/>
      </w:divBdr>
    </w:div>
    <w:div w:id="1289168330">
      <w:bodyDiv w:val="1"/>
      <w:marLeft w:val="0"/>
      <w:marRight w:val="0"/>
      <w:marTop w:val="0"/>
      <w:marBottom w:val="0"/>
      <w:divBdr>
        <w:top w:val="none" w:sz="0" w:space="0" w:color="auto"/>
        <w:left w:val="none" w:sz="0" w:space="0" w:color="auto"/>
        <w:bottom w:val="none" w:sz="0" w:space="0" w:color="auto"/>
        <w:right w:val="none" w:sz="0" w:space="0" w:color="auto"/>
      </w:divBdr>
    </w:div>
    <w:div w:id="1305816529">
      <w:bodyDiv w:val="1"/>
      <w:marLeft w:val="0"/>
      <w:marRight w:val="0"/>
      <w:marTop w:val="0"/>
      <w:marBottom w:val="0"/>
      <w:divBdr>
        <w:top w:val="none" w:sz="0" w:space="0" w:color="auto"/>
        <w:left w:val="none" w:sz="0" w:space="0" w:color="auto"/>
        <w:bottom w:val="none" w:sz="0" w:space="0" w:color="auto"/>
        <w:right w:val="none" w:sz="0" w:space="0" w:color="auto"/>
      </w:divBdr>
    </w:div>
    <w:div w:id="1310211554">
      <w:bodyDiv w:val="1"/>
      <w:marLeft w:val="0"/>
      <w:marRight w:val="0"/>
      <w:marTop w:val="0"/>
      <w:marBottom w:val="0"/>
      <w:divBdr>
        <w:top w:val="none" w:sz="0" w:space="0" w:color="auto"/>
        <w:left w:val="none" w:sz="0" w:space="0" w:color="auto"/>
        <w:bottom w:val="none" w:sz="0" w:space="0" w:color="auto"/>
        <w:right w:val="none" w:sz="0" w:space="0" w:color="auto"/>
      </w:divBdr>
    </w:div>
    <w:div w:id="1360009097">
      <w:bodyDiv w:val="1"/>
      <w:marLeft w:val="0"/>
      <w:marRight w:val="0"/>
      <w:marTop w:val="0"/>
      <w:marBottom w:val="0"/>
      <w:divBdr>
        <w:top w:val="none" w:sz="0" w:space="0" w:color="auto"/>
        <w:left w:val="none" w:sz="0" w:space="0" w:color="auto"/>
        <w:bottom w:val="none" w:sz="0" w:space="0" w:color="auto"/>
        <w:right w:val="none" w:sz="0" w:space="0" w:color="auto"/>
      </w:divBdr>
    </w:div>
    <w:div w:id="1502235820">
      <w:bodyDiv w:val="1"/>
      <w:marLeft w:val="0"/>
      <w:marRight w:val="0"/>
      <w:marTop w:val="0"/>
      <w:marBottom w:val="0"/>
      <w:divBdr>
        <w:top w:val="none" w:sz="0" w:space="0" w:color="auto"/>
        <w:left w:val="none" w:sz="0" w:space="0" w:color="auto"/>
        <w:bottom w:val="none" w:sz="0" w:space="0" w:color="auto"/>
        <w:right w:val="none" w:sz="0" w:space="0" w:color="auto"/>
      </w:divBdr>
    </w:div>
    <w:div w:id="1531064454">
      <w:bodyDiv w:val="1"/>
      <w:marLeft w:val="0"/>
      <w:marRight w:val="0"/>
      <w:marTop w:val="0"/>
      <w:marBottom w:val="0"/>
      <w:divBdr>
        <w:top w:val="none" w:sz="0" w:space="0" w:color="auto"/>
        <w:left w:val="none" w:sz="0" w:space="0" w:color="auto"/>
        <w:bottom w:val="none" w:sz="0" w:space="0" w:color="auto"/>
        <w:right w:val="none" w:sz="0" w:space="0" w:color="auto"/>
      </w:divBdr>
    </w:div>
    <w:div w:id="1572961184">
      <w:bodyDiv w:val="1"/>
      <w:marLeft w:val="0"/>
      <w:marRight w:val="0"/>
      <w:marTop w:val="0"/>
      <w:marBottom w:val="0"/>
      <w:divBdr>
        <w:top w:val="none" w:sz="0" w:space="0" w:color="auto"/>
        <w:left w:val="none" w:sz="0" w:space="0" w:color="auto"/>
        <w:bottom w:val="none" w:sz="0" w:space="0" w:color="auto"/>
        <w:right w:val="none" w:sz="0" w:space="0" w:color="auto"/>
      </w:divBdr>
    </w:div>
    <w:div w:id="1595212904">
      <w:bodyDiv w:val="1"/>
      <w:marLeft w:val="0"/>
      <w:marRight w:val="0"/>
      <w:marTop w:val="0"/>
      <w:marBottom w:val="0"/>
      <w:divBdr>
        <w:top w:val="none" w:sz="0" w:space="0" w:color="auto"/>
        <w:left w:val="none" w:sz="0" w:space="0" w:color="auto"/>
        <w:bottom w:val="none" w:sz="0" w:space="0" w:color="auto"/>
        <w:right w:val="none" w:sz="0" w:space="0" w:color="auto"/>
      </w:divBdr>
    </w:div>
    <w:div w:id="1607271160">
      <w:bodyDiv w:val="1"/>
      <w:marLeft w:val="0"/>
      <w:marRight w:val="0"/>
      <w:marTop w:val="0"/>
      <w:marBottom w:val="0"/>
      <w:divBdr>
        <w:top w:val="none" w:sz="0" w:space="0" w:color="auto"/>
        <w:left w:val="none" w:sz="0" w:space="0" w:color="auto"/>
        <w:bottom w:val="none" w:sz="0" w:space="0" w:color="auto"/>
        <w:right w:val="none" w:sz="0" w:space="0" w:color="auto"/>
      </w:divBdr>
    </w:div>
    <w:div w:id="1659728719">
      <w:bodyDiv w:val="1"/>
      <w:marLeft w:val="0"/>
      <w:marRight w:val="0"/>
      <w:marTop w:val="0"/>
      <w:marBottom w:val="0"/>
      <w:divBdr>
        <w:top w:val="none" w:sz="0" w:space="0" w:color="auto"/>
        <w:left w:val="none" w:sz="0" w:space="0" w:color="auto"/>
        <w:bottom w:val="none" w:sz="0" w:space="0" w:color="auto"/>
        <w:right w:val="none" w:sz="0" w:space="0" w:color="auto"/>
      </w:divBdr>
    </w:div>
    <w:div w:id="1668090874">
      <w:bodyDiv w:val="1"/>
      <w:marLeft w:val="0"/>
      <w:marRight w:val="0"/>
      <w:marTop w:val="0"/>
      <w:marBottom w:val="0"/>
      <w:divBdr>
        <w:top w:val="none" w:sz="0" w:space="0" w:color="auto"/>
        <w:left w:val="none" w:sz="0" w:space="0" w:color="auto"/>
        <w:bottom w:val="none" w:sz="0" w:space="0" w:color="auto"/>
        <w:right w:val="none" w:sz="0" w:space="0" w:color="auto"/>
      </w:divBdr>
    </w:div>
    <w:div w:id="1671563798">
      <w:bodyDiv w:val="1"/>
      <w:marLeft w:val="0"/>
      <w:marRight w:val="0"/>
      <w:marTop w:val="0"/>
      <w:marBottom w:val="0"/>
      <w:divBdr>
        <w:top w:val="none" w:sz="0" w:space="0" w:color="auto"/>
        <w:left w:val="none" w:sz="0" w:space="0" w:color="auto"/>
        <w:bottom w:val="none" w:sz="0" w:space="0" w:color="auto"/>
        <w:right w:val="none" w:sz="0" w:space="0" w:color="auto"/>
      </w:divBdr>
    </w:div>
    <w:div w:id="1698656295">
      <w:bodyDiv w:val="1"/>
      <w:marLeft w:val="0"/>
      <w:marRight w:val="0"/>
      <w:marTop w:val="0"/>
      <w:marBottom w:val="0"/>
      <w:divBdr>
        <w:top w:val="none" w:sz="0" w:space="0" w:color="auto"/>
        <w:left w:val="none" w:sz="0" w:space="0" w:color="auto"/>
        <w:bottom w:val="none" w:sz="0" w:space="0" w:color="auto"/>
        <w:right w:val="none" w:sz="0" w:space="0" w:color="auto"/>
      </w:divBdr>
    </w:div>
    <w:div w:id="1762145561">
      <w:bodyDiv w:val="1"/>
      <w:marLeft w:val="0"/>
      <w:marRight w:val="0"/>
      <w:marTop w:val="0"/>
      <w:marBottom w:val="0"/>
      <w:divBdr>
        <w:top w:val="none" w:sz="0" w:space="0" w:color="auto"/>
        <w:left w:val="none" w:sz="0" w:space="0" w:color="auto"/>
        <w:bottom w:val="none" w:sz="0" w:space="0" w:color="auto"/>
        <w:right w:val="none" w:sz="0" w:space="0" w:color="auto"/>
      </w:divBdr>
    </w:div>
    <w:div w:id="1782257301">
      <w:bodyDiv w:val="1"/>
      <w:marLeft w:val="0"/>
      <w:marRight w:val="0"/>
      <w:marTop w:val="0"/>
      <w:marBottom w:val="0"/>
      <w:divBdr>
        <w:top w:val="none" w:sz="0" w:space="0" w:color="auto"/>
        <w:left w:val="none" w:sz="0" w:space="0" w:color="auto"/>
        <w:bottom w:val="none" w:sz="0" w:space="0" w:color="auto"/>
        <w:right w:val="none" w:sz="0" w:space="0" w:color="auto"/>
      </w:divBdr>
    </w:div>
    <w:div w:id="1789156801">
      <w:bodyDiv w:val="1"/>
      <w:marLeft w:val="0"/>
      <w:marRight w:val="0"/>
      <w:marTop w:val="0"/>
      <w:marBottom w:val="0"/>
      <w:divBdr>
        <w:top w:val="none" w:sz="0" w:space="0" w:color="auto"/>
        <w:left w:val="none" w:sz="0" w:space="0" w:color="auto"/>
        <w:bottom w:val="none" w:sz="0" w:space="0" w:color="auto"/>
        <w:right w:val="none" w:sz="0" w:space="0" w:color="auto"/>
      </w:divBdr>
    </w:div>
    <w:div w:id="1813330278">
      <w:bodyDiv w:val="1"/>
      <w:marLeft w:val="0"/>
      <w:marRight w:val="0"/>
      <w:marTop w:val="0"/>
      <w:marBottom w:val="0"/>
      <w:divBdr>
        <w:top w:val="none" w:sz="0" w:space="0" w:color="auto"/>
        <w:left w:val="none" w:sz="0" w:space="0" w:color="auto"/>
        <w:bottom w:val="none" w:sz="0" w:space="0" w:color="auto"/>
        <w:right w:val="none" w:sz="0" w:space="0" w:color="auto"/>
      </w:divBdr>
    </w:div>
    <w:div w:id="1885361439">
      <w:bodyDiv w:val="1"/>
      <w:marLeft w:val="0"/>
      <w:marRight w:val="0"/>
      <w:marTop w:val="0"/>
      <w:marBottom w:val="0"/>
      <w:divBdr>
        <w:top w:val="none" w:sz="0" w:space="0" w:color="auto"/>
        <w:left w:val="none" w:sz="0" w:space="0" w:color="auto"/>
        <w:bottom w:val="none" w:sz="0" w:space="0" w:color="auto"/>
        <w:right w:val="none" w:sz="0" w:space="0" w:color="auto"/>
      </w:divBdr>
    </w:div>
    <w:div w:id="1977566749">
      <w:bodyDiv w:val="1"/>
      <w:marLeft w:val="0"/>
      <w:marRight w:val="0"/>
      <w:marTop w:val="0"/>
      <w:marBottom w:val="0"/>
      <w:divBdr>
        <w:top w:val="none" w:sz="0" w:space="0" w:color="auto"/>
        <w:left w:val="none" w:sz="0" w:space="0" w:color="auto"/>
        <w:bottom w:val="none" w:sz="0" w:space="0" w:color="auto"/>
        <w:right w:val="none" w:sz="0" w:space="0" w:color="auto"/>
      </w:divBdr>
    </w:div>
    <w:div w:id="1982274011">
      <w:bodyDiv w:val="1"/>
      <w:marLeft w:val="0"/>
      <w:marRight w:val="0"/>
      <w:marTop w:val="0"/>
      <w:marBottom w:val="0"/>
      <w:divBdr>
        <w:top w:val="none" w:sz="0" w:space="0" w:color="auto"/>
        <w:left w:val="none" w:sz="0" w:space="0" w:color="auto"/>
        <w:bottom w:val="none" w:sz="0" w:space="0" w:color="auto"/>
        <w:right w:val="none" w:sz="0" w:space="0" w:color="auto"/>
      </w:divBdr>
    </w:div>
    <w:div w:id="2032954412">
      <w:bodyDiv w:val="1"/>
      <w:marLeft w:val="0"/>
      <w:marRight w:val="0"/>
      <w:marTop w:val="0"/>
      <w:marBottom w:val="0"/>
      <w:divBdr>
        <w:top w:val="none" w:sz="0" w:space="0" w:color="auto"/>
        <w:left w:val="none" w:sz="0" w:space="0" w:color="auto"/>
        <w:bottom w:val="none" w:sz="0" w:space="0" w:color="auto"/>
        <w:right w:val="none" w:sz="0" w:space="0" w:color="auto"/>
      </w:divBdr>
    </w:div>
    <w:div w:id="2100520187">
      <w:bodyDiv w:val="1"/>
      <w:marLeft w:val="0"/>
      <w:marRight w:val="0"/>
      <w:marTop w:val="0"/>
      <w:marBottom w:val="0"/>
      <w:divBdr>
        <w:top w:val="none" w:sz="0" w:space="0" w:color="auto"/>
        <w:left w:val="none" w:sz="0" w:space="0" w:color="auto"/>
        <w:bottom w:val="none" w:sz="0" w:space="0" w:color="auto"/>
        <w:right w:val="none" w:sz="0" w:space="0" w:color="auto"/>
      </w:divBdr>
    </w:div>
    <w:div w:id="2137140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51992-BD3F-4E7D-AA79-9A2516A66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2129</Words>
  <Characters>12136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2025-06-25T14:30:00Z</dcterms:created>
  <dcterms:modified xsi:type="dcterms:W3CDTF">2025-06-25T14:30:00Z</dcterms:modified>
</cp:coreProperties>
</file>