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72DD" w:rsidRPr="00000032" w:rsidRDefault="006C72DD" w:rsidP="00000032">
      <w:pPr>
        <w:spacing w:line="360" w:lineRule="auto"/>
        <w:jc w:val="center"/>
        <w:rPr>
          <w:rFonts w:ascii="Times New Roman" w:hAnsi="Times New Roman" w:cs="Times New Roman"/>
          <w:b/>
          <w:sz w:val="24"/>
          <w:szCs w:val="24"/>
        </w:rPr>
      </w:pPr>
      <w:r w:rsidRPr="00000032">
        <w:rPr>
          <w:rFonts w:ascii="Times New Roman" w:hAnsi="Times New Roman" w:cs="Times New Roman"/>
          <w:b/>
          <w:sz w:val="24"/>
          <w:szCs w:val="24"/>
        </w:rPr>
        <w:t>Legal Status of Gig Workers in India: Aftermath of Zomato and Swiggy Unionization Efforts</w:t>
      </w:r>
    </w:p>
    <w:p w:rsidR="006C72DD" w:rsidRPr="00000032" w:rsidRDefault="00332547" w:rsidP="00663414">
      <w:pPr>
        <w:spacing w:after="0" w:line="360" w:lineRule="auto"/>
        <w:jc w:val="both"/>
        <w:rPr>
          <w:rFonts w:ascii="Times New Roman" w:hAnsi="Times New Roman" w:cs="Times New Roman"/>
          <w:b/>
          <w:sz w:val="24"/>
          <w:szCs w:val="24"/>
        </w:rPr>
      </w:pPr>
      <w:r w:rsidRPr="00000032">
        <w:rPr>
          <w:rFonts w:ascii="Times New Roman" w:hAnsi="Times New Roman" w:cs="Times New Roman"/>
          <w:b/>
          <w:sz w:val="24"/>
          <w:szCs w:val="24"/>
        </w:rPr>
        <w:t>Introduction</w:t>
      </w:r>
    </w:p>
    <w:p w:rsidR="009B44FE" w:rsidRPr="00000032" w:rsidRDefault="006C72DD"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Partner, Contractor, or Worker? The </w:t>
      </w:r>
      <w:bookmarkStart w:id="0" w:name="_GoBack"/>
      <w:bookmarkEnd w:id="0"/>
      <w:r w:rsidRPr="00000032">
        <w:rPr>
          <w:rFonts w:ascii="Times New Roman" w:hAnsi="Times New Roman" w:cs="Times New Roman"/>
          <w:sz w:val="24"/>
          <w:szCs w:val="24"/>
        </w:rPr>
        <w:t xml:space="preserve">label is more than just semantics for India's gig workers. As Zomato and Swiggy delivery partners unionize and demand better rights, their classification as independent contractors leaves them excluded from crucial protections under labour laws. This article </w:t>
      </w:r>
      <w:r w:rsidR="004E1D1B" w:rsidRPr="00000032">
        <w:rPr>
          <w:rFonts w:ascii="Times New Roman" w:hAnsi="Times New Roman" w:cs="Times New Roman"/>
          <w:sz w:val="24"/>
          <w:szCs w:val="24"/>
        </w:rPr>
        <w:t xml:space="preserve">examines the legal status of gig workers in India, focusing on how unionization efforts have influenced </w:t>
      </w:r>
      <w:r w:rsidR="001F29E7" w:rsidRPr="00000032">
        <w:rPr>
          <w:rFonts w:ascii="Times New Roman" w:hAnsi="Times New Roman" w:cs="Times New Roman"/>
          <w:sz w:val="24"/>
          <w:szCs w:val="24"/>
        </w:rPr>
        <w:t>their demand</w:t>
      </w:r>
      <w:r w:rsidRPr="00000032">
        <w:rPr>
          <w:rFonts w:ascii="Times New Roman" w:hAnsi="Times New Roman" w:cs="Times New Roman"/>
          <w:sz w:val="24"/>
          <w:szCs w:val="24"/>
        </w:rPr>
        <w:t xml:space="preserve"> for benefits, job security, and fair pay. With millions of workers affected, the stakes are high. Can the system adapt to meet the needs of this growing workforce? Will recent initiatives like the Rajasthan Platform-Based Gig Workers Act offer a way forward?</w:t>
      </w:r>
    </w:p>
    <w:p w:rsidR="00463660" w:rsidRPr="00000032" w:rsidRDefault="00463660"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The gig econo</w:t>
      </w:r>
      <w:r w:rsidR="00B13E09" w:rsidRPr="00000032">
        <w:rPr>
          <w:rFonts w:ascii="Times New Roman" w:hAnsi="Times New Roman" w:cs="Times New Roman"/>
          <w:sz w:val="24"/>
          <w:szCs w:val="24"/>
        </w:rPr>
        <w:t>my in I</w:t>
      </w:r>
      <w:r w:rsidR="0085490A" w:rsidRPr="00000032">
        <w:rPr>
          <w:rFonts w:ascii="Times New Roman" w:hAnsi="Times New Roman" w:cs="Times New Roman"/>
          <w:sz w:val="24"/>
          <w:szCs w:val="24"/>
        </w:rPr>
        <w:t>ndia has experienced</w:t>
      </w:r>
      <w:r w:rsidRPr="00000032">
        <w:rPr>
          <w:rFonts w:ascii="Times New Roman" w:hAnsi="Times New Roman" w:cs="Times New Roman"/>
          <w:sz w:val="24"/>
          <w:szCs w:val="24"/>
        </w:rPr>
        <w:t xml:space="preserve"> rapid growth in recent years, with millions of workers engaged in various platforms like Swiggy and Zomato.</w:t>
      </w:r>
      <w:r w:rsidR="004361ED" w:rsidRPr="00000032">
        <w:rPr>
          <w:rStyle w:val="FootnoteReference"/>
          <w:rFonts w:ascii="Times New Roman" w:hAnsi="Times New Roman" w:cs="Times New Roman"/>
          <w:sz w:val="24"/>
          <w:szCs w:val="24"/>
        </w:rPr>
        <w:footnoteReference w:id="1"/>
      </w:r>
      <w:r w:rsidRPr="00000032">
        <w:rPr>
          <w:rFonts w:ascii="Times New Roman" w:hAnsi="Times New Roman" w:cs="Times New Roman"/>
          <w:sz w:val="24"/>
          <w:szCs w:val="24"/>
        </w:rPr>
        <w:t xml:space="preserve"> Despite such growth, </w:t>
      </w:r>
      <w:r w:rsidR="00F85FFE" w:rsidRPr="00000032">
        <w:rPr>
          <w:rFonts w:ascii="Times New Roman" w:hAnsi="Times New Roman" w:cs="Times New Roman"/>
          <w:sz w:val="24"/>
          <w:szCs w:val="24"/>
        </w:rPr>
        <w:t xml:space="preserve">it </w:t>
      </w:r>
      <w:r w:rsidR="00000032" w:rsidRPr="00000032">
        <w:rPr>
          <w:rFonts w:ascii="Times New Roman" w:hAnsi="Times New Roman" w:cs="Times New Roman"/>
          <w:sz w:val="24"/>
          <w:szCs w:val="24"/>
        </w:rPr>
        <w:t xml:space="preserve">continues to suffer from </w:t>
      </w:r>
      <w:r w:rsidR="00F85FFE" w:rsidRPr="00000032">
        <w:rPr>
          <w:rFonts w:ascii="Times New Roman" w:hAnsi="Times New Roman" w:cs="Times New Roman"/>
          <w:sz w:val="24"/>
          <w:szCs w:val="24"/>
        </w:rPr>
        <w:t>persistent ambiguity surrounding the legal classification of its workforce</w:t>
      </w:r>
      <w:r w:rsidRPr="00000032">
        <w:rPr>
          <w:rFonts w:ascii="Times New Roman" w:hAnsi="Times New Roman" w:cs="Times New Roman"/>
          <w:sz w:val="24"/>
          <w:szCs w:val="24"/>
        </w:rPr>
        <w:t>. As a result of the recent unionization efforts by Zomato and Swiggy delivery partners</w:t>
      </w:r>
      <w:r w:rsidR="00F85FFE" w:rsidRPr="00000032">
        <w:rPr>
          <w:rFonts w:ascii="Times New Roman" w:hAnsi="Times New Roman" w:cs="Times New Roman"/>
          <w:sz w:val="24"/>
          <w:szCs w:val="24"/>
        </w:rPr>
        <w:t>,</w:t>
      </w:r>
      <w:r w:rsidRPr="00000032">
        <w:rPr>
          <w:rFonts w:ascii="Times New Roman" w:hAnsi="Times New Roman" w:cs="Times New Roman"/>
          <w:sz w:val="24"/>
          <w:szCs w:val="24"/>
        </w:rPr>
        <w:t xml:space="preserve"> </w:t>
      </w:r>
      <w:r w:rsidR="00F85FFE" w:rsidRPr="00000032">
        <w:rPr>
          <w:rFonts w:ascii="Times New Roman" w:hAnsi="Times New Roman" w:cs="Times New Roman"/>
          <w:sz w:val="24"/>
          <w:szCs w:val="24"/>
        </w:rPr>
        <w:t>critical attention has been drawn to the systematic gaps that expose gig workers to legal and economic vulnerabilities</w:t>
      </w:r>
      <w:r w:rsidRPr="00000032">
        <w:rPr>
          <w:rFonts w:ascii="Times New Roman" w:hAnsi="Times New Roman" w:cs="Times New Roman"/>
          <w:sz w:val="24"/>
          <w:szCs w:val="24"/>
        </w:rPr>
        <w:t xml:space="preserve">. This article aims to explore the legal status of gig workers in </w:t>
      </w:r>
      <w:r w:rsidR="00B13E09" w:rsidRPr="00000032">
        <w:rPr>
          <w:rFonts w:ascii="Times New Roman" w:hAnsi="Times New Roman" w:cs="Times New Roman"/>
          <w:sz w:val="24"/>
          <w:szCs w:val="24"/>
        </w:rPr>
        <w:t>I</w:t>
      </w:r>
      <w:r w:rsidRPr="00000032">
        <w:rPr>
          <w:rFonts w:ascii="Times New Roman" w:hAnsi="Times New Roman" w:cs="Times New Roman"/>
          <w:sz w:val="24"/>
          <w:szCs w:val="24"/>
        </w:rPr>
        <w:t xml:space="preserve">ndia and the impact of unionization efforts on their fight for benefits, job security, and fair pay. </w:t>
      </w:r>
    </w:p>
    <w:p w:rsidR="005D1EBC" w:rsidRPr="00000032" w:rsidRDefault="005D1EBC"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The gig economy has </w:t>
      </w:r>
      <w:r w:rsidR="00332547" w:rsidRPr="00000032">
        <w:rPr>
          <w:rFonts w:ascii="Times New Roman" w:hAnsi="Times New Roman" w:cs="Times New Roman"/>
          <w:sz w:val="24"/>
          <w:szCs w:val="24"/>
        </w:rPr>
        <w:t>become</w:t>
      </w:r>
      <w:r w:rsidRPr="00000032">
        <w:rPr>
          <w:rFonts w:ascii="Times New Roman" w:hAnsi="Times New Roman" w:cs="Times New Roman"/>
          <w:sz w:val="24"/>
          <w:szCs w:val="24"/>
        </w:rPr>
        <w:t xml:space="preserve"> an essential part of India’s economy, providing employment opportunities to millions of workers. However, the lack </w:t>
      </w:r>
      <w:r w:rsidR="00F85FFE" w:rsidRPr="00000032">
        <w:rPr>
          <w:rFonts w:ascii="Times New Roman" w:hAnsi="Times New Roman" w:cs="Times New Roman"/>
          <w:sz w:val="24"/>
          <w:szCs w:val="24"/>
        </w:rPr>
        <w:t>of a consistent and enforceable legal definition for gig workers has enabled opaque contractual practices and heightened exploitation risks</w:t>
      </w:r>
      <w:r w:rsidRPr="00000032">
        <w:rPr>
          <w:rFonts w:ascii="Times New Roman" w:hAnsi="Times New Roman" w:cs="Times New Roman"/>
          <w:sz w:val="24"/>
          <w:szCs w:val="24"/>
        </w:rPr>
        <w:t xml:space="preserve">. The unionization efforts </w:t>
      </w:r>
      <w:r w:rsidR="00F85FFE" w:rsidRPr="00000032">
        <w:rPr>
          <w:rFonts w:ascii="Times New Roman" w:hAnsi="Times New Roman" w:cs="Times New Roman"/>
          <w:sz w:val="24"/>
          <w:szCs w:val="24"/>
        </w:rPr>
        <w:t xml:space="preserve">by </w:t>
      </w:r>
      <w:r w:rsidRPr="00000032">
        <w:rPr>
          <w:rFonts w:ascii="Times New Roman" w:hAnsi="Times New Roman" w:cs="Times New Roman"/>
          <w:sz w:val="24"/>
          <w:szCs w:val="24"/>
        </w:rPr>
        <w:t>delivery partners</w:t>
      </w:r>
      <w:r w:rsidR="004361ED" w:rsidRPr="00000032">
        <w:rPr>
          <w:rFonts w:ascii="Times New Roman" w:hAnsi="Times New Roman" w:cs="Times New Roman"/>
          <w:sz w:val="24"/>
          <w:szCs w:val="24"/>
        </w:rPr>
        <w:t xml:space="preserve"> </w:t>
      </w:r>
      <w:r w:rsidRPr="00000032">
        <w:rPr>
          <w:rFonts w:ascii="Times New Roman" w:hAnsi="Times New Roman" w:cs="Times New Roman"/>
          <w:sz w:val="24"/>
          <w:szCs w:val="24"/>
        </w:rPr>
        <w:t xml:space="preserve">have sparked a </w:t>
      </w:r>
      <w:r w:rsidR="00000032" w:rsidRPr="00000032">
        <w:rPr>
          <w:rFonts w:ascii="Times New Roman" w:hAnsi="Times New Roman" w:cs="Times New Roman"/>
          <w:sz w:val="24"/>
          <w:szCs w:val="24"/>
        </w:rPr>
        <w:t>national</w:t>
      </w:r>
      <w:r w:rsidRPr="00000032">
        <w:rPr>
          <w:rFonts w:ascii="Times New Roman" w:hAnsi="Times New Roman" w:cs="Times New Roman"/>
          <w:sz w:val="24"/>
          <w:szCs w:val="24"/>
        </w:rPr>
        <w:t xml:space="preserve"> debate on the rights of gig workers, highlighting the need for a comprehensive legal framework</w:t>
      </w:r>
      <w:r w:rsidR="00332547" w:rsidRPr="00000032">
        <w:rPr>
          <w:rFonts w:ascii="Times New Roman" w:hAnsi="Times New Roman" w:cs="Times New Roman"/>
          <w:sz w:val="24"/>
          <w:szCs w:val="24"/>
        </w:rPr>
        <w:t xml:space="preserve"> to pro</w:t>
      </w:r>
      <w:r w:rsidRPr="00000032">
        <w:rPr>
          <w:rFonts w:ascii="Times New Roman" w:hAnsi="Times New Roman" w:cs="Times New Roman"/>
          <w:sz w:val="24"/>
          <w:szCs w:val="24"/>
        </w:rPr>
        <w:t>tect their interests.</w:t>
      </w:r>
      <w:r w:rsidR="00F85FFE" w:rsidRPr="00000032">
        <w:rPr>
          <w:rStyle w:val="FootnoteReference"/>
          <w:rFonts w:ascii="Times New Roman" w:hAnsi="Times New Roman" w:cs="Times New Roman"/>
          <w:sz w:val="24"/>
          <w:szCs w:val="24"/>
        </w:rPr>
        <w:footnoteReference w:id="2"/>
      </w:r>
    </w:p>
    <w:p w:rsidR="00B13E09" w:rsidRPr="00000032" w:rsidRDefault="00B13E09" w:rsidP="00663414">
      <w:pPr>
        <w:spacing w:after="0" w:line="360" w:lineRule="auto"/>
        <w:jc w:val="both"/>
        <w:rPr>
          <w:rFonts w:ascii="Times New Roman" w:hAnsi="Times New Roman" w:cs="Times New Roman"/>
          <w:b/>
          <w:sz w:val="24"/>
          <w:szCs w:val="24"/>
        </w:rPr>
      </w:pPr>
      <w:r w:rsidRPr="00000032">
        <w:rPr>
          <w:rFonts w:ascii="Times New Roman" w:hAnsi="Times New Roman" w:cs="Times New Roman"/>
          <w:b/>
          <w:sz w:val="24"/>
          <w:szCs w:val="24"/>
        </w:rPr>
        <w:t>Legal Framework</w:t>
      </w:r>
      <w:r w:rsidR="0085490A" w:rsidRPr="00000032">
        <w:rPr>
          <w:rFonts w:ascii="Times New Roman" w:hAnsi="Times New Roman" w:cs="Times New Roman"/>
          <w:b/>
          <w:sz w:val="24"/>
          <w:szCs w:val="24"/>
        </w:rPr>
        <w:t xml:space="preserve"> Governing Gig Work</w:t>
      </w:r>
    </w:p>
    <w:p w:rsidR="00251522" w:rsidRPr="00000032" w:rsidRDefault="00251522"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India has a comprehensive framework of labour laws, including the </w:t>
      </w:r>
      <w:r w:rsidR="00332547" w:rsidRPr="00000032">
        <w:rPr>
          <w:rFonts w:ascii="Times New Roman" w:hAnsi="Times New Roman" w:cs="Times New Roman"/>
          <w:sz w:val="24"/>
          <w:szCs w:val="24"/>
        </w:rPr>
        <w:t>Code on Wages, 2019, the Code on Social Security, 2020</w:t>
      </w:r>
      <w:r w:rsidR="003D3C20" w:rsidRPr="00000032">
        <w:rPr>
          <w:rFonts w:ascii="Times New Roman" w:hAnsi="Times New Roman" w:cs="Times New Roman"/>
          <w:sz w:val="24"/>
          <w:szCs w:val="24"/>
        </w:rPr>
        <w:t xml:space="preserve">, and the Occupational Safety, Health and Working Conditions Code, 2020. </w:t>
      </w:r>
      <w:r w:rsidRPr="00000032">
        <w:rPr>
          <w:rFonts w:ascii="Times New Roman" w:hAnsi="Times New Roman" w:cs="Times New Roman"/>
          <w:sz w:val="24"/>
          <w:szCs w:val="24"/>
        </w:rPr>
        <w:t xml:space="preserve">However, </w:t>
      </w:r>
      <w:r w:rsidR="004361ED" w:rsidRPr="00000032">
        <w:rPr>
          <w:rFonts w:ascii="Times New Roman" w:hAnsi="Times New Roman" w:cs="Times New Roman"/>
          <w:sz w:val="24"/>
          <w:szCs w:val="24"/>
        </w:rPr>
        <w:t xml:space="preserve">these codes have limited reach when it comes to extending tangible protections </w:t>
      </w:r>
      <w:r w:rsidR="003D3C20" w:rsidRPr="00000032">
        <w:rPr>
          <w:rFonts w:ascii="Times New Roman" w:hAnsi="Times New Roman" w:cs="Times New Roman"/>
          <w:sz w:val="24"/>
          <w:szCs w:val="24"/>
        </w:rPr>
        <w:t xml:space="preserve">to gig workers. </w:t>
      </w:r>
    </w:p>
    <w:p w:rsidR="004361ED" w:rsidRPr="00000032" w:rsidRDefault="003D3C20"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The Code on Wages, 2019, defines an employee as “any person employed for hire or reward to do any skilled, semi-skilled or unskilled, manual, supervisory, technical, promotional or clerical work for hire or reward whether the terms of employment be express or implied” (Section 2(k)).</w:t>
      </w:r>
      <w:r w:rsidR="004361ED" w:rsidRPr="00000032">
        <w:rPr>
          <w:rStyle w:val="FootnoteReference"/>
          <w:rFonts w:ascii="Times New Roman" w:hAnsi="Times New Roman" w:cs="Times New Roman"/>
          <w:sz w:val="24"/>
          <w:szCs w:val="24"/>
        </w:rPr>
        <w:footnoteReference w:id="3"/>
      </w:r>
      <w:r w:rsidR="004361ED" w:rsidRPr="00000032">
        <w:rPr>
          <w:rFonts w:ascii="Times New Roman" w:hAnsi="Times New Roman" w:cs="Times New Roman"/>
          <w:b/>
          <w:sz w:val="24"/>
          <w:szCs w:val="24"/>
        </w:rPr>
        <w:t xml:space="preserve"> </w:t>
      </w:r>
      <w:r w:rsidR="004361ED" w:rsidRPr="00000032">
        <w:rPr>
          <w:rFonts w:ascii="Times New Roman" w:hAnsi="Times New Roman" w:cs="Times New Roman"/>
          <w:sz w:val="24"/>
          <w:szCs w:val="24"/>
        </w:rPr>
        <w:t>Gig workers, h</w:t>
      </w:r>
      <w:r w:rsidRPr="00000032">
        <w:rPr>
          <w:rFonts w:ascii="Times New Roman" w:hAnsi="Times New Roman" w:cs="Times New Roman"/>
          <w:sz w:val="24"/>
          <w:szCs w:val="24"/>
        </w:rPr>
        <w:t xml:space="preserve">owever, </w:t>
      </w:r>
      <w:r w:rsidR="004361ED" w:rsidRPr="00000032">
        <w:rPr>
          <w:rFonts w:ascii="Times New Roman" w:hAnsi="Times New Roman" w:cs="Times New Roman"/>
          <w:sz w:val="24"/>
          <w:szCs w:val="24"/>
        </w:rPr>
        <w:t>operate in a legal grey zone – not explicitly co</w:t>
      </w:r>
      <w:r w:rsidR="001F29E7" w:rsidRPr="00000032">
        <w:rPr>
          <w:rFonts w:ascii="Times New Roman" w:hAnsi="Times New Roman" w:cs="Times New Roman"/>
          <w:sz w:val="24"/>
          <w:szCs w:val="24"/>
        </w:rPr>
        <w:t>vered by thi</w:t>
      </w:r>
      <w:r w:rsidR="004361ED" w:rsidRPr="00000032">
        <w:rPr>
          <w:rFonts w:ascii="Times New Roman" w:hAnsi="Times New Roman" w:cs="Times New Roman"/>
          <w:sz w:val="24"/>
          <w:szCs w:val="24"/>
        </w:rPr>
        <w:t xml:space="preserve">s definition, yet performing integral services. </w:t>
      </w:r>
    </w:p>
    <w:p w:rsidR="00E93D68" w:rsidRPr="00000032" w:rsidRDefault="00E93D68"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lastRenderedPageBreak/>
        <w:t>The limited application of labour laws to gig workers has resulted in the deprivation of benefits such as social security, paid time off, or job security</w:t>
      </w:r>
      <w:r w:rsidR="00D95334" w:rsidRPr="00000032">
        <w:rPr>
          <w:rFonts w:ascii="Times New Roman" w:hAnsi="Times New Roman" w:cs="Times New Roman"/>
          <w:sz w:val="24"/>
          <w:szCs w:val="24"/>
        </w:rPr>
        <w:t>,</w:t>
      </w:r>
      <w:r w:rsidRPr="00000032">
        <w:rPr>
          <w:rFonts w:ascii="Times New Roman" w:hAnsi="Times New Roman" w:cs="Times New Roman"/>
          <w:sz w:val="24"/>
          <w:szCs w:val="24"/>
        </w:rPr>
        <w:t xml:space="preserve"> which usual employees are entitled to, thereby leading to exploitation and uncertainty. </w:t>
      </w:r>
      <w:r w:rsidR="004361ED" w:rsidRPr="00000032">
        <w:rPr>
          <w:rFonts w:ascii="Times New Roman" w:hAnsi="Times New Roman" w:cs="Times New Roman"/>
          <w:sz w:val="24"/>
          <w:szCs w:val="24"/>
        </w:rPr>
        <w:t>This vulnerability manifests in various forms – from arbitrary deactivations and inconsistent pay structures to the absence of insurance or redressal mechanisms in cases of disputes</w:t>
      </w:r>
      <w:r w:rsidR="00456F77" w:rsidRPr="00000032">
        <w:rPr>
          <w:rFonts w:ascii="Times New Roman" w:hAnsi="Times New Roman" w:cs="Times New Roman"/>
          <w:sz w:val="24"/>
          <w:szCs w:val="24"/>
        </w:rPr>
        <w:t>.</w:t>
      </w:r>
      <w:r w:rsidR="004361ED" w:rsidRPr="00000032">
        <w:rPr>
          <w:rStyle w:val="FootnoteReference"/>
          <w:rFonts w:ascii="Times New Roman" w:hAnsi="Times New Roman" w:cs="Times New Roman"/>
          <w:sz w:val="24"/>
          <w:szCs w:val="24"/>
        </w:rPr>
        <w:footnoteReference w:id="4"/>
      </w:r>
      <w:r w:rsidR="00456F77" w:rsidRPr="00000032">
        <w:rPr>
          <w:rFonts w:ascii="Times New Roman" w:hAnsi="Times New Roman" w:cs="Times New Roman"/>
          <w:sz w:val="24"/>
          <w:szCs w:val="24"/>
        </w:rPr>
        <w:t xml:space="preserve"> </w:t>
      </w:r>
      <w:r w:rsidRPr="00000032">
        <w:rPr>
          <w:rFonts w:ascii="Times New Roman" w:hAnsi="Times New Roman" w:cs="Times New Roman"/>
          <w:sz w:val="24"/>
          <w:szCs w:val="24"/>
        </w:rPr>
        <w:t xml:space="preserve">However, it </w:t>
      </w:r>
      <w:r w:rsidR="00000032" w:rsidRPr="00000032">
        <w:rPr>
          <w:rFonts w:ascii="Times New Roman" w:hAnsi="Times New Roman" w:cs="Times New Roman"/>
          <w:sz w:val="24"/>
          <w:szCs w:val="24"/>
        </w:rPr>
        <w:t>should</w:t>
      </w:r>
      <w:r w:rsidRPr="00000032">
        <w:rPr>
          <w:rFonts w:ascii="Times New Roman" w:hAnsi="Times New Roman" w:cs="Times New Roman"/>
          <w:sz w:val="24"/>
          <w:szCs w:val="24"/>
        </w:rPr>
        <w:t xml:space="preserve"> be noted that recent laws have begun recognising this drawback and </w:t>
      </w:r>
      <w:r w:rsidR="00D95334" w:rsidRPr="00000032">
        <w:rPr>
          <w:rFonts w:ascii="Times New Roman" w:hAnsi="Times New Roman" w:cs="Times New Roman"/>
          <w:sz w:val="24"/>
          <w:szCs w:val="24"/>
        </w:rPr>
        <w:t xml:space="preserve">have </w:t>
      </w:r>
      <w:r w:rsidRPr="00000032">
        <w:rPr>
          <w:rFonts w:ascii="Times New Roman" w:hAnsi="Times New Roman" w:cs="Times New Roman"/>
          <w:sz w:val="24"/>
          <w:szCs w:val="24"/>
        </w:rPr>
        <w:t>tried to accommodate</w:t>
      </w:r>
      <w:r w:rsidR="00000032" w:rsidRPr="00000032">
        <w:rPr>
          <w:rFonts w:ascii="Times New Roman" w:hAnsi="Times New Roman" w:cs="Times New Roman"/>
          <w:sz w:val="24"/>
          <w:szCs w:val="24"/>
        </w:rPr>
        <w:t xml:space="preserve"> it</w:t>
      </w:r>
      <w:r w:rsidR="00D95334" w:rsidRPr="00000032">
        <w:rPr>
          <w:rFonts w:ascii="Times New Roman" w:hAnsi="Times New Roman" w:cs="Times New Roman"/>
          <w:sz w:val="24"/>
          <w:szCs w:val="24"/>
        </w:rPr>
        <w:t>,</w:t>
      </w:r>
      <w:r w:rsidRPr="00000032">
        <w:rPr>
          <w:rFonts w:ascii="Times New Roman" w:hAnsi="Times New Roman" w:cs="Times New Roman"/>
          <w:sz w:val="24"/>
          <w:szCs w:val="24"/>
        </w:rPr>
        <w:t xml:space="preserve"> as can be seen in the Code on Social Security, 2020.</w:t>
      </w:r>
    </w:p>
    <w:p w:rsidR="003D3C20" w:rsidRPr="00000032" w:rsidRDefault="003D3C20"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The Code on Social Security, 2020, defines a gig worker as “a person who performs wor</w:t>
      </w:r>
      <w:r w:rsidR="00456F77" w:rsidRPr="00000032">
        <w:rPr>
          <w:rFonts w:ascii="Times New Roman" w:hAnsi="Times New Roman" w:cs="Times New Roman"/>
          <w:sz w:val="24"/>
          <w:szCs w:val="24"/>
        </w:rPr>
        <w:t xml:space="preserve">k or participates in a work </w:t>
      </w:r>
      <w:r w:rsidRPr="00000032">
        <w:rPr>
          <w:rFonts w:ascii="Times New Roman" w:hAnsi="Times New Roman" w:cs="Times New Roman"/>
          <w:sz w:val="24"/>
          <w:szCs w:val="24"/>
        </w:rPr>
        <w:t>arrangement and earns from such activities outside of traditional employer-employee relationship” (Section 2(35)).</w:t>
      </w:r>
      <w:r w:rsidR="004361ED" w:rsidRPr="00000032">
        <w:rPr>
          <w:rStyle w:val="FootnoteReference"/>
          <w:rFonts w:ascii="Times New Roman" w:hAnsi="Times New Roman" w:cs="Times New Roman"/>
          <w:sz w:val="24"/>
          <w:szCs w:val="24"/>
        </w:rPr>
        <w:footnoteReference w:id="5"/>
      </w:r>
      <w:r w:rsidR="004361ED" w:rsidRPr="00000032">
        <w:rPr>
          <w:rFonts w:ascii="Times New Roman" w:hAnsi="Times New Roman" w:cs="Times New Roman"/>
          <w:sz w:val="24"/>
          <w:szCs w:val="24"/>
        </w:rPr>
        <w:t xml:space="preserve"> </w:t>
      </w:r>
      <w:r w:rsidRPr="00000032">
        <w:rPr>
          <w:rFonts w:ascii="Times New Roman" w:hAnsi="Times New Roman" w:cs="Times New Roman"/>
          <w:sz w:val="24"/>
          <w:szCs w:val="24"/>
        </w:rPr>
        <w:t>The Code also defines platform work as “a work arrangement outside of a traditional employer-employee relationship in which organisations or individuals use an online platform to access other organisations or individuals to solve problems or to p</w:t>
      </w:r>
      <w:r w:rsidR="00C450EE" w:rsidRPr="00000032">
        <w:rPr>
          <w:rFonts w:ascii="Times New Roman" w:hAnsi="Times New Roman" w:cs="Times New Roman"/>
          <w:sz w:val="24"/>
          <w:szCs w:val="24"/>
        </w:rPr>
        <w:t>rovide specific services or any such other activities which may be notified by the Central Government</w:t>
      </w:r>
      <w:r w:rsidRPr="00000032">
        <w:rPr>
          <w:rFonts w:ascii="Times New Roman" w:hAnsi="Times New Roman" w:cs="Times New Roman"/>
          <w:sz w:val="24"/>
          <w:szCs w:val="24"/>
        </w:rPr>
        <w:t>”</w:t>
      </w:r>
      <w:r w:rsidR="00C450EE" w:rsidRPr="00000032">
        <w:rPr>
          <w:rFonts w:ascii="Times New Roman" w:hAnsi="Times New Roman" w:cs="Times New Roman"/>
          <w:sz w:val="24"/>
          <w:szCs w:val="24"/>
        </w:rPr>
        <w:t xml:space="preserve"> (Section 2(60)).</w:t>
      </w:r>
      <w:r w:rsidR="004361ED" w:rsidRPr="00000032">
        <w:rPr>
          <w:rStyle w:val="FootnoteReference"/>
          <w:rFonts w:ascii="Times New Roman" w:hAnsi="Times New Roman" w:cs="Times New Roman"/>
          <w:sz w:val="24"/>
          <w:szCs w:val="24"/>
        </w:rPr>
        <w:footnoteReference w:id="6"/>
      </w:r>
    </w:p>
    <w:p w:rsidR="00EF1344" w:rsidRPr="00000032" w:rsidRDefault="00C450EE"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The Code on Social Security, 2020, also provides for the registration of gig workers and platform workers (Section 113)</w:t>
      </w:r>
      <w:r w:rsidR="00D45B90" w:rsidRPr="00000032">
        <w:rPr>
          <w:rStyle w:val="FootnoteReference"/>
          <w:rFonts w:ascii="Times New Roman" w:hAnsi="Times New Roman" w:cs="Times New Roman"/>
          <w:sz w:val="24"/>
          <w:szCs w:val="24"/>
        </w:rPr>
        <w:footnoteReference w:id="7"/>
      </w:r>
      <w:r w:rsidRPr="00000032">
        <w:rPr>
          <w:rFonts w:ascii="Times New Roman" w:hAnsi="Times New Roman" w:cs="Times New Roman"/>
          <w:sz w:val="24"/>
          <w:szCs w:val="24"/>
        </w:rPr>
        <w:t xml:space="preserve"> and the formulation of schemes for their benefit (Section 114).</w:t>
      </w:r>
      <w:r w:rsidR="00D45B90" w:rsidRPr="00000032">
        <w:rPr>
          <w:rStyle w:val="FootnoteReference"/>
          <w:rFonts w:ascii="Times New Roman" w:hAnsi="Times New Roman" w:cs="Times New Roman"/>
          <w:sz w:val="24"/>
          <w:szCs w:val="24"/>
        </w:rPr>
        <w:footnoteReference w:id="8"/>
      </w:r>
      <w:r w:rsidRPr="00000032">
        <w:rPr>
          <w:rFonts w:ascii="Times New Roman" w:hAnsi="Times New Roman" w:cs="Times New Roman"/>
          <w:sz w:val="24"/>
          <w:szCs w:val="24"/>
        </w:rPr>
        <w:t xml:space="preserve"> </w:t>
      </w:r>
      <w:r w:rsidR="00D45B90" w:rsidRPr="00000032">
        <w:rPr>
          <w:rFonts w:ascii="Times New Roman" w:hAnsi="Times New Roman" w:cs="Times New Roman"/>
          <w:sz w:val="24"/>
          <w:szCs w:val="24"/>
        </w:rPr>
        <w:t xml:space="preserve">Despite this legislative progress, the absence of uniform implementation and delayed rollout of welfare schemes continues to hinder real change for gig workers. </w:t>
      </w:r>
    </w:p>
    <w:p w:rsidR="00E93D68" w:rsidRPr="00000032" w:rsidRDefault="00D45B90" w:rsidP="00663414">
      <w:pPr>
        <w:spacing w:after="0" w:line="360" w:lineRule="auto"/>
        <w:jc w:val="both"/>
        <w:rPr>
          <w:rFonts w:ascii="Times New Roman" w:hAnsi="Times New Roman" w:cs="Times New Roman"/>
          <w:b/>
          <w:sz w:val="24"/>
          <w:szCs w:val="24"/>
        </w:rPr>
      </w:pPr>
      <w:r w:rsidRPr="00000032">
        <w:rPr>
          <w:rFonts w:ascii="Times New Roman" w:hAnsi="Times New Roman" w:cs="Times New Roman"/>
          <w:b/>
          <w:sz w:val="24"/>
          <w:szCs w:val="24"/>
        </w:rPr>
        <w:t xml:space="preserve">Classification of Gig Workers: </w:t>
      </w:r>
      <w:r w:rsidR="00456F77" w:rsidRPr="00000032">
        <w:rPr>
          <w:rFonts w:ascii="Times New Roman" w:hAnsi="Times New Roman" w:cs="Times New Roman"/>
          <w:b/>
          <w:sz w:val="24"/>
          <w:szCs w:val="24"/>
        </w:rPr>
        <w:t>Contractor or</w:t>
      </w:r>
      <w:r w:rsidR="000A2CE5" w:rsidRPr="00000032">
        <w:rPr>
          <w:rFonts w:ascii="Times New Roman" w:hAnsi="Times New Roman" w:cs="Times New Roman"/>
          <w:b/>
          <w:sz w:val="24"/>
          <w:szCs w:val="24"/>
        </w:rPr>
        <w:t xml:space="preserve"> Employee? </w:t>
      </w:r>
    </w:p>
    <w:p w:rsidR="00456F77" w:rsidRPr="00000032" w:rsidRDefault="00456F77"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Several tests are used to determine the existence of an employer-employee relationship, with the primary focus being on control and the economic reality of the relationship</w:t>
      </w:r>
      <w:r w:rsidR="00000032" w:rsidRPr="00000032">
        <w:rPr>
          <w:rFonts w:ascii="Times New Roman" w:hAnsi="Times New Roman" w:cs="Times New Roman"/>
          <w:sz w:val="24"/>
          <w:szCs w:val="24"/>
        </w:rPr>
        <w:t>,</w:t>
      </w:r>
      <w:r w:rsidRPr="00000032">
        <w:rPr>
          <w:rFonts w:ascii="Times New Roman" w:hAnsi="Times New Roman" w:cs="Times New Roman"/>
          <w:sz w:val="24"/>
          <w:szCs w:val="24"/>
        </w:rPr>
        <w:t xml:space="preserve"> these tests help distinguish between employees and independent contractors. Common tests include the con</w:t>
      </w:r>
      <w:r w:rsidR="00D95334" w:rsidRPr="00000032">
        <w:rPr>
          <w:rFonts w:ascii="Times New Roman" w:hAnsi="Times New Roman" w:cs="Times New Roman"/>
          <w:sz w:val="24"/>
          <w:szCs w:val="24"/>
        </w:rPr>
        <w:t xml:space="preserve">trol test, </w:t>
      </w:r>
      <w:r w:rsidRPr="00000032">
        <w:rPr>
          <w:rFonts w:ascii="Times New Roman" w:hAnsi="Times New Roman" w:cs="Times New Roman"/>
          <w:sz w:val="24"/>
          <w:szCs w:val="24"/>
        </w:rPr>
        <w:t>the integration test, and the multi-factor test, which may also incorporate economic reality considerations.</w:t>
      </w:r>
      <w:r w:rsidR="001F386C" w:rsidRPr="00000032">
        <w:rPr>
          <w:rStyle w:val="FootnoteReference"/>
          <w:rFonts w:ascii="Times New Roman" w:hAnsi="Times New Roman" w:cs="Times New Roman"/>
          <w:sz w:val="24"/>
          <w:szCs w:val="24"/>
        </w:rPr>
        <w:footnoteReference w:id="9"/>
      </w:r>
      <w:r w:rsidR="007745B6" w:rsidRPr="00000032">
        <w:rPr>
          <w:rFonts w:ascii="Times New Roman" w:hAnsi="Times New Roman" w:cs="Times New Roman"/>
          <w:sz w:val="24"/>
          <w:szCs w:val="24"/>
        </w:rPr>
        <w:t xml:space="preserve"> However, the application of these tests has led to conflicting judgements</w:t>
      </w:r>
      <w:r w:rsidR="00D95334" w:rsidRPr="00000032">
        <w:rPr>
          <w:rFonts w:ascii="Times New Roman" w:hAnsi="Times New Roman" w:cs="Times New Roman"/>
          <w:sz w:val="24"/>
          <w:szCs w:val="24"/>
        </w:rPr>
        <w:t>, some holding that gig workers are employees, while others have held that they are independent contractors</w:t>
      </w:r>
      <w:r w:rsidR="007745B6" w:rsidRPr="00000032">
        <w:rPr>
          <w:rFonts w:ascii="Times New Roman" w:hAnsi="Times New Roman" w:cs="Times New Roman"/>
          <w:sz w:val="24"/>
          <w:szCs w:val="24"/>
        </w:rPr>
        <w:t>.</w:t>
      </w:r>
      <w:r w:rsidR="00D95334" w:rsidRPr="00000032">
        <w:rPr>
          <w:rFonts w:ascii="Times New Roman" w:hAnsi="Times New Roman" w:cs="Times New Roman"/>
          <w:sz w:val="24"/>
          <w:szCs w:val="24"/>
        </w:rPr>
        <w:t xml:space="preserve"> </w:t>
      </w:r>
    </w:p>
    <w:p w:rsidR="00D95334" w:rsidRPr="00000032" w:rsidRDefault="007745B6"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The Control Test focuses on the employer’s right to control the manner and method in which the work is performed. It examines whether the employer has the authority to dictate not just the results of the work, but also the means and the methods used to achieve those results. In </w:t>
      </w:r>
      <w:r w:rsidR="00D95334" w:rsidRPr="00000032">
        <w:rPr>
          <w:rFonts w:ascii="Times New Roman" w:hAnsi="Times New Roman" w:cs="Times New Roman"/>
          <w:sz w:val="24"/>
          <w:szCs w:val="24"/>
        </w:rPr>
        <w:t xml:space="preserve">case of gig workers, </w:t>
      </w:r>
      <w:r w:rsidR="00D45B90" w:rsidRPr="00000032">
        <w:rPr>
          <w:rFonts w:ascii="Times New Roman" w:hAnsi="Times New Roman" w:cs="Times New Roman"/>
          <w:sz w:val="24"/>
          <w:szCs w:val="24"/>
        </w:rPr>
        <w:t xml:space="preserve">companies </w:t>
      </w:r>
      <w:r w:rsidR="00D45B90" w:rsidRPr="00000032">
        <w:rPr>
          <w:rFonts w:ascii="Times New Roman" w:hAnsi="Times New Roman" w:cs="Times New Roman"/>
          <w:sz w:val="24"/>
          <w:szCs w:val="24"/>
        </w:rPr>
        <w:lastRenderedPageBreak/>
        <w:t>typically do not impose direct operational control; workers select their hour</w:t>
      </w:r>
      <w:r w:rsidR="00000032" w:rsidRPr="00000032">
        <w:rPr>
          <w:rFonts w:ascii="Times New Roman" w:hAnsi="Times New Roman" w:cs="Times New Roman"/>
          <w:sz w:val="24"/>
          <w:szCs w:val="24"/>
        </w:rPr>
        <w:t>s</w:t>
      </w:r>
      <w:r w:rsidR="00D45B90" w:rsidRPr="00000032">
        <w:rPr>
          <w:rFonts w:ascii="Times New Roman" w:hAnsi="Times New Roman" w:cs="Times New Roman"/>
          <w:sz w:val="24"/>
          <w:szCs w:val="24"/>
        </w:rPr>
        <w:t xml:space="preserve"> and often use their own equipment, supporting the classification of </w:t>
      </w:r>
      <w:r w:rsidR="00D95334" w:rsidRPr="00000032">
        <w:rPr>
          <w:rFonts w:ascii="Times New Roman" w:hAnsi="Times New Roman" w:cs="Times New Roman"/>
          <w:sz w:val="24"/>
          <w:szCs w:val="24"/>
        </w:rPr>
        <w:t>independent contractors.</w:t>
      </w:r>
      <w:r w:rsidR="001F386C" w:rsidRPr="00000032">
        <w:rPr>
          <w:rStyle w:val="FootnoteReference"/>
          <w:rFonts w:ascii="Times New Roman" w:hAnsi="Times New Roman" w:cs="Times New Roman"/>
          <w:sz w:val="24"/>
          <w:szCs w:val="24"/>
        </w:rPr>
        <w:footnoteReference w:id="10"/>
      </w:r>
    </w:p>
    <w:p w:rsidR="00377BA5" w:rsidRPr="00000032" w:rsidRDefault="00D95334"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Conversely, the Integration Test, also known as the organization test, focuses on whether the worker’s services are integrated into the business’s operations or merely incidental to it. If the work is integral to the business, it suggests an employer-employee relationship; if it is a separate, accessory service, it points to an inde</w:t>
      </w:r>
      <w:r w:rsidR="00377BA5" w:rsidRPr="00000032">
        <w:rPr>
          <w:rFonts w:ascii="Times New Roman" w:hAnsi="Times New Roman" w:cs="Times New Roman"/>
          <w:sz w:val="24"/>
          <w:szCs w:val="24"/>
        </w:rPr>
        <w:t xml:space="preserve">pendent contractor relationship. </w:t>
      </w:r>
      <w:r w:rsidR="005E7C8D" w:rsidRPr="00000032">
        <w:rPr>
          <w:rFonts w:ascii="Times New Roman" w:hAnsi="Times New Roman" w:cs="Times New Roman"/>
          <w:sz w:val="24"/>
          <w:szCs w:val="24"/>
        </w:rPr>
        <w:t>Given that delivery services are at the core of platform companies’ operations, gig workers form the operational backbone – strengthening arguments for their recognition as employees</w:t>
      </w:r>
      <w:r w:rsidR="00377BA5" w:rsidRPr="00000032">
        <w:rPr>
          <w:rFonts w:ascii="Times New Roman" w:hAnsi="Times New Roman" w:cs="Times New Roman"/>
          <w:sz w:val="24"/>
          <w:szCs w:val="24"/>
        </w:rPr>
        <w:t>.</w:t>
      </w:r>
      <w:r w:rsidR="001F386C" w:rsidRPr="00000032">
        <w:rPr>
          <w:rFonts w:ascii="Times New Roman" w:hAnsi="Times New Roman" w:cs="Times New Roman"/>
          <w:sz w:val="24"/>
          <w:szCs w:val="24"/>
          <w:vertAlign w:val="superscript"/>
        </w:rPr>
        <w:footnoteReference w:id="11"/>
      </w:r>
      <w:r w:rsidR="00377BA5" w:rsidRPr="00000032">
        <w:rPr>
          <w:rFonts w:ascii="Times New Roman" w:hAnsi="Times New Roman" w:cs="Times New Roman"/>
          <w:sz w:val="24"/>
          <w:szCs w:val="24"/>
          <w:vertAlign w:val="superscript"/>
        </w:rPr>
        <w:t xml:space="preserve"> </w:t>
      </w:r>
    </w:p>
    <w:p w:rsidR="007745B6" w:rsidRPr="00000032" w:rsidRDefault="00957E5E"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The classification of </w:t>
      </w:r>
      <w:r w:rsidR="00377BA5" w:rsidRPr="00000032">
        <w:rPr>
          <w:rFonts w:ascii="Times New Roman" w:hAnsi="Times New Roman" w:cs="Times New Roman"/>
          <w:sz w:val="24"/>
          <w:szCs w:val="24"/>
        </w:rPr>
        <w:t>d</w:t>
      </w:r>
      <w:r w:rsidR="007745B6" w:rsidRPr="00000032">
        <w:rPr>
          <w:rFonts w:ascii="Times New Roman" w:hAnsi="Times New Roman" w:cs="Times New Roman"/>
          <w:sz w:val="24"/>
          <w:szCs w:val="24"/>
        </w:rPr>
        <w:t xml:space="preserve">elivery partners as independent business contractors or </w:t>
      </w:r>
      <w:r w:rsidRPr="00000032">
        <w:rPr>
          <w:rFonts w:ascii="Times New Roman" w:hAnsi="Times New Roman" w:cs="Times New Roman"/>
          <w:sz w:val="24"/>
          <w:szCs w:val="24"/>
        </w:rPr>
        <w:t xml:space="preserve">employees has significant implications for their rights and benefits. </w:t>
      </w:r>
      <w:r w:rsidR="005E7C8D" w:rsidRPr="00000032">
        <w:rPr>
          <w:rFonts w:ascii="Times New Roman" w:hAnsi="Times New Roman" w:cs="Times New Roman"/>
          <w:sz w:val="24"/>
          <w:szCs w:val="24"/>
        </w:rPr>
        <w:t>Legal recognition as employees would make them eligible for statutory benefits such as provident fund, health insurance, and grievance redressal mechanisms</w:t>
      </w:r>
      <w:r w:rsidRPr="00000032">
        <w:rPr>
          <w:rFonts w:ascii="Times New Roman" w:hAnsi="Times New Roman" w:cs="Times New Roman"/>
          <w:sz w:val="24"/>
          <w:szCs w:val="24"/>
        </w:rPr>
        <w:t>. However, with the general classification of gig workers as</w:t>
      </w:r>
      <w:r w:rsidR="007745B6" w:rsidRPr="00000032">
        <w:rPr>
          <w:rFonts w:ascii="Times New Roman" w:hAnsi="Times New Roman" w:cs="Times New Roman"/>
          <w:sz w:val="24"/>
          <w:szCs w:val="24"/>
        </w:rPr>
        <w:t xml:space="preserve"> independent contractor</w:t>
      </w:r>
      <w:r w:rsidRPr="00000032">
        <w:rPr>
          <w:rFonts w:ascii="Times New Roman" w:hAnsi="Times New Roman" w:cs="Times New Roman"/>
          <w:sz w:val="24"/>
          <w:szCs w:val="24"/>
        </w:rPr>
        <w:t>s, they are usually deprived of being entitled to benefits such as paid time off, health insurance, or job security.</w:t>
      </w:r>
      <w:r w:rsidRPr="00000032">
        <w:rPr>
          <w:rFonts w:ascii="Times New Roman" w:hAnsi="Times New Roman" w:cs="Times New Roman"/>
          <w:sz w:val="24"/>
          <w:szCs w:val="24"/>
        </w:rPr>
        <w:footnoteReference w:id="12"/>
      </w:r>
      <w:r w:rsidRPr="00000032">
        <w:rPr>
          <w:rFonts w:ascii="Times New Roman" w:hAnsi="Times New Roman" w:cs="Times New Roman"/>
          <w:sz w:val="24"/>
          <w:szCs w:val="24"/>
        </w:rPr>
        <w:t xml:space="preserve"> </w:t>
      </w:r>
      <w:r w:rsidR="007745B6" w:rsidRPr="00000032">
        <w:rPr>
          <w:rFonts w:ascii="Times New Roman" w:hAnsi="Times New Roman" w:cs="Times New Roman"/>
          <w:sz w:val="24"/>
          <w:szCs w:val="24"/>
        </w:rPr>
        <w:t>As a consequence of such precarious employment, the delivery partners end up facing income instability, exploitation, health and safety risks and difficulty in organising themselves for collective bargaining rights.</w:t>
      </w:r>
      <w:r w:rsidR="007745B6" w:rsidRPr="00000032">
        <w:rPr>
          <w:rFonts w:ascii="Times New Roman" w:hAnsi="Times New Roman" w:cs="Times New Roman"/>
          <w:sz w:val="24"/>
          <w:szCs w:val="24"/>
          <w:vertAlign w:val="superscript"/>
        </w:rPr>
        <w:footnoteReference w:id="13"/>
      </w:r>
    </w:p>
    <w:p w:rsidR="00DD650E" w:rsidRPr="00000032" w:rsidRDefault="00DD650E" w:rsidP="00663414">
      <w:pPr>
        <w:spacing w:after="0" w:line="360" w:lineRule="auto"/>
        <w:jc w:val="both"/>
        <w:rPr>
          <w:rFonts w:ascii="Times New Roman" w:hAnsi="Times New Roman" w:cs="Times New Roman"/>
          <w:b/>
          <w:sz w:val="24"/>
          <w:szCs w:val="24"/>
        </w:rPr>
      </w:pPr>
      <w:r w:rsidRPr="00000032">
        <w:rPr>
          <w:rFonts w:ascii="Times New Roman" w:hAnsi="Times New Roman" w:cs="Times New Roman"/>
          <w:b/>
          <w:sz w:val="24"/>
          <w:szCs w:val="24"/>
        </w:rPr>
        <w:t>Judicial Interpretation and the Employer-Employee Debate</w:t>
      </w:r>
    </w:p>
    <w:p w:rsidR="00DD650E" w:rsidRPr="00000032" w:rsidRDefault="00DD650E"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Indian courts have increasingly engaged with the ambiguity surrounding gig worker classification, especially in light of their exclusion from traditional labour protections. In Indian Federation of App-Based Transport Workers v. Union of India, a landmark petition was filed under Article 32 of the Constitution seeking recognition of gig workers as ‘unorganised workers’ under the Unorganised Workers’ Social Security Act, 2008. The petition argues that the absence of social protections violates fundamental rights </w:t>
      </w:r>
      <w:r w:rsidR="00DF7397" w:rsidRPr="00000032">
        <w:rPr>
          <w:rFonts w:ascii="Times New Roman" w:hAnsi="Times New Roman" w:cs="Times New Roman"/>
          <w:sz w:val="24"/>
          <w:szCs w:val="24"/>
        </w:rPr>
        <w:t>under Articles 14, 21, and 23. This ongoing case is expected to shape the constitutional dimensions of gig work recognition.</w:t>
      </w:r>
    </w:p>
    <w:p w:rsidR="00DF7397" w:rsidRPr="00000032" w:rsidRDefault="00DF7397"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In Ms. X v. ANI Technologies (2019), the Karnataka High Court addressed whether an Ola driver, accused of workplace harassment, could be subject to the Posh Act. The court ruled that gig workers fall within its broad definition of “employee”, especially where platform companies exercise significant operational control. This ruling marked a pivotal shift in recognising functional control over formal classifications in establishing workplace obligations. </w:t>
      </w:r>
    </w:p>
    <w:p w:rsidR="00DF7397" w:rsidRPr="00000032" w:rsidRDefault="00DF7397"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lastRenderedPageBreak/>
        <w:t>The judiciary has long employed tests such as the control test, integration test, and economic reality test to distinguish between employees and independent contractors. Earlier cases like Dharangadhara Chemical Works v. State of Saurashtra and Silver Jubilee Tailoring House laid down these principles, focusing on the degree of control and the worker’s integration into the business. Recent rulings, including Godavari Garments and Sushilben Gandhi, reflect the courts’ evolving approach in balancing formal contracts with the realities of control and</w:t>
      </w:r>
      <w:r w:rsidR="00663414">
        <w:rPr>
          <w:rFonts w:ascii="Times New Roman" w:hAnsi="Times New Roman" w:cs="Times New Roman"/>
          <w:sz w:val="24"/>
          <w:szCs w:val="24"/>
        </w:rPr>
        <w:t xml:space="preserve"> dependency in the gig economy.</w:t>
      </w:r>
      <w:r w:rsidR="00663414">
        <w:rPr>
          <w:rStyle w:val="FootnoteReference"/>
          <w:rFonts w:ascii="Times New Roman" w:hAnsi="Times New Roman" w:cs="Times New Roman"/>
          <w:sz w:val="24"/>
          <w:szCs w:val="24"/>
        </w:rPr>
        <w:footnoteReference w:id="14"/>
      </w:r>
    </w:p>
    <w:p w:rsidR="00DF7397" w:rsidRDefault="00DF7397"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Despite some rulings extending limited protections, there remains no consistent judicial consensus. Courts have emphasised purposive interpretations to address specific vulnera</w:t>
      </w:r>
      <w:r w:rsidR="004E1D1B" w:rsidRPr="00000032">
        <w:rPr>
          <w:rFonts w:ascii="Times New Roman" w:hAnsi="Times New Roman" w:cs="Times New Roman"/>
          <w:sz w:val="24"/>
          <w:szCs w:val="24"/>
        </w:rPr>
        <w:t xml:space="preserve">bilities, but these decisions are often confined to particular statutory contexts. The judicial landscape, though gradually expanding protections, underscores the need for legislative clarity. A uniform legal standard, tailored to the digital and decentralised nature of gig work, is essential to resolve the persistent ambiguity in worker classification. </w:t>
      </w:r>
    </w:p>
    <w:p w:rsidR="00B8392F" w:rsidRPr="00000032" w:rsidRDefault="00957E5E" w:rsidP="00663414">
      <w:pPr>
        <w:spacing w:after="0" w:line="360" w:lineRule="auto"/>
        <w:jc w:val="both"/>
        <w:rPr>
          <w:rFonts w:ascii="Times New Roman" w:hAnsi="Times New Roman" w:cs="Times New Roman"/>
          <w:b/>
          <w:sz w:val="24"/>
          <w:szCs w:val="24"/>
        </w:rPr>
      </w:pPr>
      <w:r w:rsidRPr="00000032">
        <w:rPr>
          <w:rFonts w:ascii="Times New Roman" w:hAnsi="Times New Roman" w:cs="Times New Roman"/>
          <w:b/>
          <w:sz w:val="24"/>
          <w:szCs w:val="24"/>
        </w:rPr>
        <w:t xml:space="preserve">Unionization </w:t>
      </w:r>
      <w:r w:rsidR="00B8392F" w:rsidRPr="00000032">
        <w:rPr>
          <w:rFonts w:ascii="Times New Roman" w:hAnsi="Times New Roman" w:cs="Times New Roman"/>
          <w:b/>
          <w:sz w:val="24"/>
          <w:szCs w:val="24"/>
        </w:rPr>
        <w:t>Efforts</w:t>
      </w:r>
      <w:r w:rsidR="000A2CE5" w:rsidRPr="00000032">
        <w:rPr>
          <w:rFonts w:ascii="Times New Roman" w:hAnsi="Times New Roman" w:cs="Times New Roman"/>
          <w:b/>
          <w:sz w:val="24"/>
          <w:szCs w:val="24"/>
        </w:rPr>
        <w:t xml:space="preserve"> and their </w:t>
      </w:r>
      <w:r w:rsidR="008C3EF6" w:rsidRPr="00000032">
        <w:rPr>
          <w:rFonts w:ascii="Times New Roman" w:hAnsi="Times New Roman" w:cs="Times New Roman"/>
          <w:b/>
          <w:sz w:val="24"/>
          <w:szCs w:val="24"/>
        </w:rPr>
        <w:t>Legal S</w:t>
      </w:r>
      <w:r w:rsidR="000A2CE5" w:rsidRPr="00000032">
        <w:rPr>
          <w:rFonts w:ascii="Times New Roman" w:hAnsi="Times New Roman" w:cs="Times New Roman"/>
          <w:b/>
          <w:sz w:val="24"/>
          <w:szCs w:val="24"/>
        </w:rPr>
        <w:t>ignificance</w:t>
      </w:r>
    </w:p>
    <w:p w:rsidR="00663414" w:rsidRDefault="00B8392F"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The unionization efforts by Zomato and Swiggy delivery partners have </w:t>
      </w:r>
      <w:r w:rsidR="000A2CE5" w:rsidRPr="00000032">
        <w:rPr>
          <w:rFonts w:ascii="Times New Roman" w:hAnsi="Times New Roman" w:cs="Times New Roman"/>
          <w:sz w:val="24"/>
          <w:szCs w:val="24"/>
        </w:rPr>
        <w:t>illuminated the structural disadvantage that</w:t>
      </w:r>
      <w:r w:rsidRPr="00000032">
        <w:rPr>
          <w:rFonts w:ascii="Times New Roman" w:hAnsi="Times New Roman" w:cs="Times New Roman"/>
          <w:sz w:val="24"/>
          <w:szCs w:val="24"/>
        </w:rPr>
        <w:t xml:space="preserve"> gig workers</w:t>
      </w:r>
      <w:r w:rsidR="000A2CE5" w:rsidRPr="00000032">
        <w:rPr>
          <w:rFonts w:ascii="Times New Roman" w:hAnsi="Times New Roman" w:cs="Times New Roman"/>
          <w:sz w:val="24"/>
          <w:szCs w:val="24"/>
        </w:rPr>
        <w:t xml:space="preserve"> face in India’s digital economy</w:t>
      </w:r>
      <w:r w:rsidRPr="00000032">
        <w:rPr>
          <w:rFonts w:ascii="Times New Roman" w:hAnsi="Times New Roman" w:cs="Times New Roman"/>
          <w:sz w:val="24"/>
          <w:szCs w:val="24"/>
        </w:rPr>
        <w:t>.</w:t>
      </w:r>
      <w:r w:rsidR="000A2CE5" w:rsidRPr="00000032">
        <w:rPr>
          <w:rFonts w:ascii="Times New Roman" w:hAnsi="Times New Roman" w:cs="Times New Roman"/>
          <w:sz w:val="24"/>
          <w:szCs w:val="24"/>
        </w:rPr>
        <w:t xml:space="preserve"> </w:t>
      </w:r>
      <w:r w:rsidR="00C728D4" w:rsidRPr="00000032">
        <w:rPr>
          <w:rFonts w:ascii="Times New Roman" w:hAnsi="Times New Roman" w:cs="Times New Roman"/>
          <w:sz w:val="24"/>
          <w:szCs w:val="24"/>
        </w:rPr>
        <w:t>Through organised protests and the formation of collectives, delivery workers have begun asserting their right to fair treatment</w:t>
      </w:r>
      <w:r w:rsidRPr="00000032">
        <w:rPr>
          <w:rFonts w:ascii="Times New Roman" w:hAnsi="Times New Roman" w:cs="Times New Roman"/>
          <w:sz w:val="24"/>
          <w:szCs w:val="24"/>
        </w:rPr>
        <w:t>.</w:t>
      </w:r>
      <w:r w:rsidR="00663414" w:rsidRPr="00000032">
        <w:rPr>
          <w:rStyle w:val="FootnoteReference"/>
          <w:rFonts w:ascii="Times New Roman" w:hAnsi="Times New Roman" w:cs="Times New Roman"/>
          <w:sz w:val="24"/>
          <w:szCs w:val="24"/>
        </w:rPr>
        <w:footnoteReference w:id="15"/>
      </w:r>
      <w:r w:rsidR="00663414">
        <w:rPr>
          <w:rFonts w:ascii="Times New Roman" w:hAnsi="Times New Roman" w:cs="Times New Roman"/>
          <w:sz w:val="24"/>
          <w:szCs w:val="24"/>
        </w:rPr>
        <w:t xml:space="preserve"> </w:t>
      </w:r>
    </w:p>
    <w:p w:rsidR="00C728D4" w:rsidRPr="00000032" w:rsidRDefault="00C728D4"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These collectives have advanced a comprehensive charter of demands – not only calling for better pay and job security but also for legal recognition, safety provisions, and formal grievance redress mechanisms. Their mobilization reflects growing discontent and a shift towards rights-based </w:t>
      </w:r>
      <w:r w:rsidR="00983853" w:rsidRPr="00000032">
        <w:rPr>
          <w:rFonts w:ascii="Times New Roman" w:hAnsi="Times New Roman" w:cs="Times New Roman"/>
          <w:sz w:val="24"/>
          <w:szCs w:val="24"/>
        </w:rPr>
        <w:t>advocacy in the gig economy.</w:t>
      </w:r>
      <w:r w:rsidR="00663414" w:rsidRPr="00000032">
        <w:rPr>
          <w:rFonts w:ascii="Times New Roman" w:hAnsi="Times New Roman" w:cs="Times New Roman"/>
          <w:b/>
          <w:sz w:val="24"/>
          <w:szCs w:val="24"/>
        </w:rPr>
        <w:t xml:space="preserve"> </w:t>
      </w:r>
    </w:p>
    <w:p w:rsidR="000A2CE5" w:rsidRPr="00000032" w:rsidRDefault="000A2CE5"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The response of the companies</w:t>
      </w:r>
      <w:r w:rsidR="00C728D4" w:rsidRPr="00000032">
        <w:rPr>
          <w:rFonts w:ascii="Times New Roman" w:hAnsi="Times New Roman" w:cs="Times New Roman"/>
          <w:sz w:val="24"/>
          <w:szCs w:val="24"/>
        </w:rPr>
        <w:t xml:space="preserve"> and the government </w:t>
      </w:r>
      <w:r w:rsidRPr="00000032">
        <w:rPr>
          <w:rFonts w:ascii="Times New Roman" w:hAnsi="Times New Roman" w:cs="Times New Roman"/>
          <w:sz w:val="24"/>
          <w:szCs w:val="24"/>
        </w:rPr>
        <w:t xml:space="preserve">to </w:t>
      </w:r>
      <w:r w:rsidR="00C728D4" w:rsidRPr="00000032">
        <w:rPr>
          <w:rFonts w:ascii="Times New Roman" w:hAnsi="Times New Roman" w:cs="Times New Roman"/>
          <w:sz w:val="24"/>
          <w:szCs w:val="24"/>
        </w:rPr>
        <w:t xml:space="preserve">these </w:t>
      </w:r>
      <w:r w:rsidRPr="00000032">
        <w:rPr>
          <w:rFonts w:ascii="Times New Roman" w:hAnsi="Times New Roman" w:cs="Times New Roman"/>
          <w:sz w:val="24"/>
          <w:szCs w:val="24"/>
        </w:rPr>
        <w:t>unionization efforts ha</w:t>
      </w:r>
      <w:r w:rsidR="00000032" w:rsidRPr="00000032">
        <w:rPr>
          <w:rFonts w:ascii="Times New Roman" w:hAnsi="Times New Roman" w:cs="Times New Roman"/>
          <w:sz w:val="24"/>
          <w:szCs w:val="24"/>
        </w:rPr>
        <w:t>s</w:t>
      </w:r>
      <w:r w:rsidRPr="00000032">
        <w:rPr>
          <w:rFonts w:ascii="Times New Roman" w:hAnsi="Times New Roman" w:cs="Times New Roman"/>
          <w:sz w:val="24"/>
          <w:szCs w:val="24"/>
        </w:rPr>
        <w:t xml:space="preserve"> been mixed.</w:t>
      </w:r>
      <w:r w:rsidR="00000032" w:rsidRPr="00000032">
        <w:rPr>
          <w:rFonts w:ascii="Times New Roman" w:hAnsi="Times New Roman" w:cs="Times New Roman"/>
          <w:sz w:val="24"/>
          <w:szCs w:val="24"/>
        </w:rPr>
        <w:t xml:space="preserve"> S</w:t>
      </w:r>
      <w:r w:rsidRPr="00000032">
        <w:rPr>
          <w:rFonts w:ascii="Times New Roman" w:hAnsi="Times New Roman" w:cs="Times New Roman"/>
          <w:sz w:val="24"/>
          <w:szCs w:val="24"/>
        </w:rPr>
        <w:t>ome</w:t>
      </w:r>
      <w:r w:rsidR="00000032" w:rsidRPr="00000032">
        <w:rPr>
          <w:rFonts w:ascii="Times New Roman" w:hAnsi="Times New Roman" w:cs="Times New Roman"/>
          <w:sz w:val="24"/>
          <w:szCs w:val="24"/>
        </w:rPr>
        <w:t xml:space="preserve"> </w:t>
      </w:r>
      <w:r w:rsidRPr="00000032">
        <w:rPr>
          <w:rFonts w:ascii="Times New Roman" w:hAnsi="Times New Roman" w:cs="Times New Roman"/>
          <w:sz w:val="24"/>
          <w:szCs w:val="24"/>
        </w:rPr>
        <w:t>companies have agreed to negotiate with the unions, while others have resisted the demands.</w:t>
      </w:r>
      <w:r w:rsidR="00983853" w:rsidRPr="00000032">
        <w:rPr>
          <w:rFonts w:ascii="Times New Roman" w:hAnsi="Times New Roman" w:cs="Times New Roman"/>
          <w:sz w:val="24"/>
          <w:szCs w:val="24"/>
        </w:rPr>
        <w:t xml:space="preserve"> </w:t>
      </w:r>
      <w:r w:rsidR="00C728D4" w:rsidRPr="00000032">
        <w:rPr>
          <w:rFonts w:ascii="Times New Roman" w:hAnsi="Times New Roman" w:cs="Times New Roman"/>
          <w:sz w:val="24"/>
          <w:szCs w:val="24"/>
        </w:rPr>
        <w:t xml:space="preserve">Platform companies often argue that granting employee status would undermine the flexibility that attracts </w:t>
      </w:r>
      <w:r w:rsidR="00983853" w:rsidRPr="00000032">
        <w:rPr>
          <w:rFonts w:ascii="Times New Roman" w:hAnsi="Times New Roman" w:cs="Times New Roman"/>
          <w:sz w:val="24"/>
          <w:szCs w:val="24"/>
        </w:rPr>
        <w:t>many to gig work – a contention that reveals the ongoing conflict between commercial interests and workers’ rights</w:t>
      </w:r>
      <w:r w:rsidRPr="00000032">
        <w:rPr>
          <w:rFonts w:ascii="Times New Roman" w:hAnsi="Times New Roman" w:cs="Times New Roman"/>
          <w:sz w:val="24"/>
          <w:szCs w:val="24"/>
        </w:rPr>
        <w:t>.</w:t>
      </w:r>
      <w:r w:rsidR="00B86AB0" w:rsidRPr="00000032">
        <w:rPr>
          <w:rStyle w:val="FootnoteReference"/>
          <w:rFonts w:ascii="Times New Roman" w:hAnsi="Times New Roman" w:cs="Times New Roman"/>
          <w:sz w:val="24"/>
          <w:szCs w:val="24"/>
        </w:rPr>
        <w:footnoteReference w:id="16"/>
      </w:r>
    </w:p>
    <w:p w:rsidR="000A2CE5" w:rsidRPr="00000032" w:rsidRDefault="000A2CE5"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The unionization efforts have also highlighted the need for better working conditions for gig workers. </w:t>
      </w:r>
      <w:r w:rsidR="00983853" w:rsidRPr="00000032">
        <w:rPr>
          <w:rFonts w:ascii="Times New Roman" w:hAnsi="Times New Roman" w:cs="Times New Roman"/>
          <w:sz w:val="24"/>
          <w:szCs w:val="24"/>
        </w:rPr>
        <w:t xml:space="preserve">Issues such as algorithmic </w:t>
      </w:r>
      <w:r w:rsidR="00000032" w:rsidRPr="00000032">
        <w:rPr>
          <w:rFonts w:ascii="Times New Roman" w:hAnsi="Times New Roman" w:cs="Times New Roman"/>
          <w:sz w:val="24"/>
          <w:szCs w:val="24"/>
        </w:rPr>
        <w:t>penalisation</w:t>
      </w:r>
      <w:r w:rsidR="00983853" w:rsidRPr="00000032">
        <w:rPr>
          <w:rFonts w:ascii="Times New Roman" w:hAnsi="Times New Roman" w:cs="Times New Roman"/>
          <w:sz w:val="24"/>
          <w:szCs w:val="24"/>
        </w:rPr>
        <w:t>, lack of restroom access, and long working hours without rest are now part of mainstream labour discourse, thanks to these movements</w:t>
      </w:r>
      <w:r w:rsidRPr="00000032">
        <w:rPr>
          <w:rFonts w:ascii="Times New Roman" w:hAnsi="Times New Roman" w:cs="Times New Roman"/>
          <w:sz w:val="24"/>
          <w:szCs w:val="24"/>
        </w:rPr>
        <w:t>.</w:t>
      </w:r>
    </w:p>
    <w:p w:rsidR="00957E5E" w:rsidRPr="00000032" w:rsidRDefault="008C3EF6" w:rsidP="00663414">
      <w:pPr>
        <w:spacing w:after="0" w:line="360" w:lineRule="auto"/>
        <w:jc w:val="both"/>
        <w:rPr>
          <w:rFonts w:ascii="Times New Roman" w:hAnsi="Times New Roman" w:cs="Times New Roman"/>
          <w:b/>
          <w:sz w:val="24"/>
          <w:szCs w:val="24"/>
        </w:rPr>
      </w:pPr>
      <w:r w:rsidRPr="00000032">
        <w:rPr>
          <w:rFonts w:ascii="Times New Roman" w:hAnsi="Times New Roman" w:cs="Times New Roman"/>
          <w:b/>
          <w:sz w:val="24"/>
          <w:szCs w:val="24"/>
        </w:rPr>
        <w:t>Impact of Collective Action on Gig Workers’ Rights</w:t>
      </w:r>
    </w:p>
    <w:p w:rsidR="000A2CE5" w:rsidRPr="00000032" w:rsidRDefault="001F29E7"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Despite facing challenges, unionization efforts have significantly contributed to improving pay structures, job security, and working conditions</w:t>
      </w:r>
      <w:r w:rsidR="000A2CE5" w:rsidRPr="00000032">
        <w:rPr>
          <w:rFonts w:ascii="Times New Roman" w:hAnsi="Times New Roman" w:cs="Times New Roman"/>
          <w:sz w:val="24"/>
          <w:szCs w:val="24"/>
        </w:rPr>
        <w:t xml:space="preserve"> for</w:t>
      </w:r>
      <w:r w:rsidRPr="00000032">
        <w:rPr>
          <w:rFonts w:ascii="Times New Roman" w:hAnsi="Times New Roman" w:cs="Times New Roman"/>
          <w:sz w:val="24"/>
          <w:szCs w:val="24"/>
        </w:rPr>
        <w:t xml:space="preserve"> many</w:t>
      </w:r>
      <w:r w:rsidR="000A2CE5" w:rsidRPr="00000032">
        <w:rPr>
          <w:rFonts w:ascii="Times New Roman" w:hAnsi="Times New Roman" w:cs="Times New Roman"/>
          <w:sz w:val="24"/>
          <w:szCs w:val="24"/>
        </w:rPr>
        <w:t xml:space="preserve"> gig workers. </w:t>
      </w:r>
      <w:r w:rsidR="00B86AB0" w:rsidRPr="00000032">
        <w:rPr>
          <w:rFonts w:ascii="Times New Roman" w:hAnsi="Times New Roman" w:cs="Times New Roman"/>
          <w:sz w:val="24"/>
          <w:szCs w:val="24"/>
        </w:rPr>
        <w:t xml:space="preserve">In several cities, protests and collective action </w:t>
      </w:r>
      <w:r w:rsidR="00B86AB0" w:rsidRPr="00000032">
        <w:rPr>
          <w:rFonts w:ascii="Times New Roman" w:hAnsi="Times New Roman" w:cs="Times New Roman"/>
          <w:sz w:val="24"/>
          <w:szCs w:val="24"/>
        </w:rPr>
        <w:lastRenderedPageBreak/>
        <w:t>have forced companies to revise incentive structures, address safety concerns, and introduce limited insurance schemes</w:t>
      </w:r>
      <w:r w:rsidR="004B02A5" w:rsidRPr="00000032">
        <w:rPr>
          <w:rFonts w:ascii="Times New Roman" w:hAnsi="Times New Roman" w:cs="Times New Roman"/>
          <w:sz w:val="24"/>
          <w:szCs w:val="24"/>
        </w:rPr>
        <w:t>.</w:t>
      </w:r>
    </w:p>
    <w:p w:rsidR="004B02A5" w:rsidRPr="00000032" w:rsidRDefault="00B86AB0"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While the unions have faced significant challenges, they have been able to negotiate better pay and working conditions for some gig workers</w:t>
      </w:r>
      <w:r w:rsidR="004B02A5" w:rsidRPr="00000032">
        <w:rPr>
          <w:rFonts w:ascii="Times New Roman" w:hAnsi="Times New Roman" w:cs="Times New Roman"/>
          <w:sz w:val="24"/>
          <w:szCs w:val="24"/>
        </w:rPr>
        <w:t>.</w:t>
      </w:r>
      <w:r w:rsidRPr="00000032">
        <w:rPr>
          <w:rFonts w:ascii="Times New Roman" w:hAnsi="Times New Roman" w:cs="Times New Roman"/>
          <w:sz w:val="24"/>
          <w:szCs w:val="24"/>
        </w:rPr>
        <w:t xml:space="preserve"> Although fragmented, these victories signal a slow but growing recognition of gig workers’ collective bargaining power. </w:t>
      </w:r>
    </w:p>
    <w:p w:rsidR="004B02A5" w:rsidRPr="00000032" w:rsidRDefault="00B86AB0"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The potential long-term effects of unionization on the gig economy are significant. If sustained, these efforts may pressure lawmakers to revisit statutory definitions and expand labour protections. If ignored, it risks entrenching a </w:t>
      </w:r>
      <w:r w:rsidR="004E1D1B" w:rsidRPr="00000032">
        <w:rPr>
          <w:rFonts w:ascii="Times New Roman" w:hAnsi="Times New Roman" w:cs="Times New Roman"/>
          <w:sz w:val="24"/>
          <w:szCs w:val="24"/>
        </w:rPr>
        <w:t>system</w:t>
      </w:r>
      <w:r w:rsidRPr="00000032">
        <w:rPr>
          <w:rFonts w:ascii="Times New Roman" w:hAnsi="Times New Roman" w:cs="Times New Roman"/>
          <w:sz w:val="24"/>
          <w:szCs w:val="24"/>
        </w:rPr>
        <w:t xml:space="preserve"> of platform feudalism – flexible but fragile, profitable but precarious. </w:t>
      </w:r>
    </w:p>
    <w:p w:rsidR="008C3EF6" w:rsidRPr="00000032" w:rsidRDefault="008C3EF6" w:rsidP="00663414">
      <w:pPr>
        <w:spacing w:after="0" w:line="360" w:lineRule="auto"/>
        <w:jc w:val="both"/>
        <w:rPr>
          <w:rFonts w:ascii="Times New Roman" w:hAnsi="Times New Roman" w:cs="Times New Roman"/>
          <w:b/>
          <w:sz w:val="24"/>
          <w:szCs w:val="24"/>
        </w:rPr>
      </w:pPr>
      <w:r w:rsidRPr="00000032">
        <w:rPr>
          <w:rFonts w:ascii="Times New Roman" w:hAnsi="Times New Roman" w:cs="Times New Roman"/>
          <w:b/>
          <w:sz w:val="24"/>
          <w:szCs w:val="24"/>
        </w:rPr>
        <w:t>Case Study: Rajasthan’s Gig Workers Act</w:t>
      </w:r>
    </w:p>
    <w:p w:rsidR="008C3EF6" w:rsidRPr="00000032" w:rsidRDefault="008C3EF6"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The Rajasthan Platform-Based Gig Workers (Registration and Welfare) Act,</w:t>
      </w:r>
      <w:r w:rsidR="00596216" w:rsidRPr="00000032">
        <w:rPr>
          <w:rFonts w:ascii="Times New Roman" w:hAnsi="Times New Roman" w:cs="Times New Roman"/>
          <w:sz w:val="24"/>
          <w:szCs w:val="24"/>
        </w:rPr>
        <w:t xml:space="preserve"> 2023,</w:t>
      </w:r>
      <w:r w:rsidR="004E1D1B" w:rsidRPr="00000032">
        <w:rPr>
          <w:rStyle w:val="FootnoteReference"/>
          <w:rFonts w:ascii="Times New Roman" w:hAnsi="Times New Roman" w:cs="Times New Roman"/>
          <w:sz w:val="24"/>
          <w:szCs w:val="24"/>
        </w:rPr>
        <w:footnoteReference w:id="17"/>
      </w:r>
      <w:r w:rsidR="00596216" w:rsidRPr="00000032">
        <w:rPr>
          <w:rFonts w:ascii="Times New Roman" w:hAnsi="Times New Roman" w:cs="Times New Roman"/>
          <w:sz w:val="24"/>
          <w:szCs w:val="24"/>
        </w:rPr>
        <w:t xml:space="preserve"> is a recent initiative to protect the rights of gig workers. The Act </w:t>
      </w:r>
      <w:r w:rsidR="001F29E7" w:rsidRPr="00000032">
        <w:rPr>
          <w:rFonts w:ascii="Times New Roman" w:hAnsi="Times New Roman" w:cs="Times New Roman"/>
          <w:sz w:val="24"/>
          <w:szCs w:val="24"/>
        </w:rPr>
        <w:t xml:space="preserve">mandates the </w:t>
      </w:r>
      <w:r w:rsidR="00596216" w:rsidRPr="00000032">
        <w:rPr>
          <w:rFonts w:ascii="Times New Roman" w:hAnsi="Times New Roman" w:cs="Times New Roman"/>
          <w:sz w:val="24"/>
          <w:szCs w:val="24"/>
        </w:rPr>
        <w:t>registration of</w:t>
      </w:r>
      <w:r w:rsidR="001F29E7" w:rsidRPr="00000032">
        <w:rPr>
          <w:rFonts w:ascii="Times New Roman" w:hAnsi="Times New Roman" w:cs="Times New Roman"/>
          <w:sz w:val="24"/>
          <w:szCs w:val="24"/>
        </w:rPr>
        <w:t xml:space="preserve"> both</w:t>
      </w:r>
      <w:r w:rsidR="00596216" w:rsidRPr="00000032">
        <w:rPr>
          <w:rFonts w:ascii="Times New Roman" w:hAnsi="Times New Roman" w:cs="Times New Roman"/>
          <w:sz w:val="24"/>
          <w:szCs w:val="24"/>
        </w:rPr>
        <w:t xml:space="preserve"> gig workers and aggregators, </w:t>
      </w:r>
      <w:r w:rsidR="001F29E7" w:rsidRPr="00000032">
        <w:rPr>
          <w:rFonts w:ascii="Times New Roman" w:hAnsi="Times New Roman" w:cs="Times New Roman"/>
          <w:sz w:val="24"/>
          <w:szCs w:val="24"/>
        </w:rPr>
        <w:t>creating a centralized database to ensure legal protection and improve implementation</w:t>
      </w:r>
      <w:r w:rsidR="00D65EE0" w:rsidRPr="00000032">
        <w:rPr>
          <w:rFonts w:ascii="Times New Roman" w:hAnsi="Times New Roman" w:cs="Times New Roman"/>
          <w:sz w:val="24"/>
          <w:szCs w:val="24"/>
        </w:rPr>
        <w:t>.</w:t>
      </w:r>
      <w:r w:rsidR="001F29E7" w:rsidRPr="00000032">
        <w:rPr>
          <w:rFonts w:ascii="Times New Roman" w:hAnsi="Times New Roman" w:cs="Times New Roman"/>
          <w:sz w:val="24"/>
          <w:szCs w:val="24"/>
        </w:rPr>
        <w:t xml:space="preserve"> </w:t>
      </w:r>
      <w:r w:rsidR="00B86AB0" w:rsidRPr="00000032">
        <w:rPr>
          <w:rFonts w:ascii="Times New Roman" w:hAnsi="Times New Roman" w:cs="Times New Roman"/>
          <w:sz w:val="24"/>
          <w:szCs w:val="24"/>
        </w:rPr>
        <w:t>A unique aspect of the Act is the creation of a welfare cess on platform transactions, creating a direct financial linkage between company revenue and worker welfare – a concept relatively novel in India’s labour law history.</w:t>
      </w:r>
      <w:r w:rsidR="001F386C" w:rsidRPr="00000032">
        <w:rPr>
          <w:rFonts w:ascii="Times New Roman" w:hAnsi="Times New Roman" w:cs="Times New Roman"/>
          <w:sz w:val="24"/>
          <w:szCs w:val="24"/>
        </w:rPr>
        <w:t xml:space="preserve"> </w:t>
      </w:r>
      <w:r w:rsidR="00B86AB0" w:rsidRPr="00000032">
        <w:rPr>
          <w:rFonts w:ascii="Times New Roman" w:hAnsi="Times New Roman" w:cs="Times New Roman"/>
          <w:sz w:val="24"/>
          <w:szCs w:val="24"/>
        </w:rPr>
        <w:t>By</w:t>
      </w:r>
      <w:r w:rsidR="00FC58EC" w:rsidRPr="00000032">
        <w:rPr>
          <w:rFonts w:ascii="Times New Roman" w:hAnsi="Times New Roman" w:cs="Times New Roman"/>
          <w:sz w:val="24"/>
          <w:szCs w:val="24"/>
        </w:rPr>
        <w:t xml:space="preserve"> </w:t>
      </w:r>
      <w:r w:rsidR="00B86AB0" w:rsidRPr="00000032">
        <w:rPr>
          <w:rFonts w:ascii="Times New Roman" w:hAnsi="Times New Roman" w:cs="Times New Roman"/>
          <w:sz w:val="24"/>
          <w:szCs w:val="24"/>
        </w:rPr>
        <w:t>inst</w:t>
      </w:r>
      <w:r w:rsidR="00FC58EC" w:rsidRPr="00000032">
        <w:rPr>
          <w:rFonts w:ascii="Times New Roman" w:hAnsi="Times New Roman" w:cs="Times New Roman"/>
          <w:sz w:val="24"/>
          <w:szCs w:val="24"/>
        </w:rPr>
        <w:t>it</w:t>
      </w:r>
      <w:r w:rsidR="00B86AB0" w:rsidRPr="00000032">
        <w:rPr>
          <w:rFonts w:ascii="Times New Roman" w:hAnsi="Times New Roman" w:cs="Times New Roman"/>
          <w:sz w:val="24"/>
          <w:szCs w:val="24"/>
        </w:rPr>
        <w:t>utionalizing</w:t>
      </w:r>
      <w:r w:rsidR="00FC58EC" w:rsidRPr="00000032">
        <w:rPr>
          <w:rFonts w:ascii="Times New Roman" w:hAnsi="Times New Roman" w:cs="Times New Roman"/>
          <w:sz w:val="24"/>
          <w:szCs w:val="24"/>
        </w:rPr>
        <w:t xml:space="preserve"> a dedicated regulatory body, the law aims to bridge the administrative gap that has historically hindered enforcement of gig worker protections</w:t>
      </w:r>
      <w:r w:rsidR="00D65EE0" w:rsidRPr="00000032">
        <w:rPr>
          <w:rFonts w:ascii="Times New Roman" w:hAnsi="Times New Roman" w:cs="Times New Roman"/>
          <w:sz w:val="24"/>
          <w:szCs w:val="24"/>
        </w:rPr>
        <w:t>.</w:t>
      </w:r>
      <w:r w:rsidR="00FC58EC" w:rsidRPr="00000032">
        <w:rPr>
          <w:rStyle w:val="FootnoteReference"/>
          <w:rFonts w:ascii="Times New Roman" w:hAnsi="Times New Roman" w:cs="Times New Roman"/>
          <w:sz w:val="24"/>
          <w:szCs w:val="24"/>
        </w:rPr>
        <w:footnoteReference w:id="18"/>
      </w:r>
    </w:p>
    <w:p w:rsidR="00D65EE0" w:rsidRPr="00000032" w:rsidRDefault="00D65EE0"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The Rajasthan Platform-Based Gig Workers Act is a significant initiative that could provide a model for other states to follow. The Act also establishes a welfare board, which will oversee the implementation of the Act and provide benefits to gig workers. </w:t>
      </w:r>
    </w:p>
    <w:p w:rsidR="008C3EF6" w:rsidRPr="00000032" w:rsidRDefault="008C3EF6" w:rsidP="00663414">
      <w:pPr>
        <w:spacing w:after="0" w:line="360" w:lineRule="auto"/>
        <w:jc w:val="both"/>
        <w:rPr>
          <w:rFonts w:ascii="Times New Roman" w:hAnsi="Times New Roman" w:cs="Times New Roman"/>
          <w:b/>
          <w:sz w:val="24"/>
          <w:szCs w:val="24"/>
        </w:rPr>
      </w:pPr>
      <w:r w:rsidRPr="00000032">
        <w:rPr>
          <w:rFonts w:ascii="Times New Roman" w:hAnsi="Times New Roman" w:cs="Times New Roman"/>
          <w:b/>
          <w:sz w:val="24"/>
          <w:szCs w:val="24"/>
        </w:rPr>
        <w:t xml:space="preserve">The Way Forward: Legal Reforms for The Gig Economy </w:t>
      </w:r>
    </w:p>
    <w:p w:rsidR="00D65EE0" w:rsidRPr="00000032" w:rsidRDefault="00D65EE0"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A comprehensive legal framework is necessary to protect the rights of gig workers. </w:t>
      </w:r>
      <w:r w:rsidR="009533F5" w:rsidRPr="00000032">
        <w:rPr>
          <w:rFonts w:ascii="Times New Roman" w:hAnsi="Times New Roman" w:cs="Times New Roman"/>
          <w:sz w:val="24"/>
          <w:szCs w:val="24"/>
        </w:rPr>
        <w:t>Potential solutions include establishing a minimum wage, providing social security benefits,</w:t>
      </w:r>
      <w:r w:rsidR="00FC58EC" w:rsidRPr="00000032">
        <w:rPr>
          <w:rFonts w:ascii="Times New Roman" w:hAnsi="Times New Roman" w:cs="Times New Roman"/>
          <w:sz w:val="24"/>
          <w:szCs w:val="24"/>
        </w:rPr>
        <w:t xml:space="preserve"> and ensuring job security. Lawmakers must also address ambiguities in existing codes to clarify whether gig workers can be considered part of the formal workforce or require an entirely new classification</w:t>
      </w:r>
      <w:r w:rsidR="006E0DDA" w:rsidRPr="00000032">
        <w:rPr>
          <w:rFonts w:ascii="Times New Roman" w:hAnsi="Times New Roman" w:cs="Times New Roman"/>
          <w:sz w:val="24"/>
          <w:szCs w:val="24"/>
        </w:rPr>
        <w:t>.</w:t>
      </w:r>
    </w:p>
    <w:p w:rsidR="006E0DDA" w:rsidRPr="00000032" w:rsidRDefault="006E0DDA"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The Occupational Safety, Health and Working Conditions Code, 2020, provides for the responsibility of employers to maintain health, safety, and working conditions (Section 23)</w:t>
      </w:r>
      <w:r w:rsidR="00FC58EC" w:rsidRPr="00000032">
        <w:rPr>
          <w:rStyle w:val="FootnoteReference"/>
          <w:rFonts w:ascii="Times New Roman" w:hAnsi="Times New Roman" w:cs="Times New Roman"/>
          <w:sz w:val="24"/>
          <w:szCs w:val="24"/>
        </w:rPr>
        <w:footnoteReference w:id="19"/>
      </w:r>
      <w:r w:rsidRPr="00000032">
        <w:rPr>
          <w:rFonts w:ascii="Times New Roman" w:hAnsi="Times New Roman" w:cs="Times New Roman"/>
          <w:sz w:val="24"/>
          <w:szCs w:val="24"/>
        </w:rPr>
        <w:t xml:space="preserve"> and provide welfare facilities (Section 24)</w:t>
      </w:r>
      <w:r w:rsidR="00FC58EC" w:rsidRPr="00000032">
        <w:rPr>
          <w:rStyle w:val="FootnoteReference"/>
          <w:rFonts w:ascii="Times New Roman" w:hAnsi="Times New Roman" w:cs="Times New Roman"/>
          <w:sz w:val="24"/>
          <w:szCs w:val="24"/>
        </w:rPr>
        <w:footnoteReference w:id="20"/>
      </w:r>
      <w:r w:rsidRPr="00000032">
        <w:rPr>
          <w:rFonts w:ascii="Times New Roman" w:hAnsi="Times New Roman" w:cs="Times New Roman"/>
          <w:sz w:val="24"/>
          <w:szCs w:val="24"/>
        </w:rPr>
        <w:t xml:space="preserve">. The Code defines industry as “any systematic activity carried on by cooperation between an employer and an employee for the production, supply or distribution of goods or services with a view to </w:t>
      </w:r>
      <w:r w:rsidRPr="00000032">
        <w:rPr>
          <w:rFonts w:ascii="Times New Roman" w:hAnsi="Times New Roman" w:cs="Times New Roman"/>
          <w:sz w:val="24"/>
          <w:szCs w:val="24"/>
        </w:rPr>
        <w:lastRenderedPageBreak/>
        <w:t>obtain profit or for economic reward” (Section 2 (zd)).</w:t>
      </w:r>
      <w:r w:rsidR="00FC58EC" w:rsidRPr="00000032">
        <w:rPr>
          <w:rStyle w:val="FootnoteReference"/>
          <w:rFonts w:ascii="Times New Roman" w:hAnsi="Times New Roman" w:cs="Times New Roman"/>
          <w:sz w:val="24"/>
          <w:szCs w:val="24"/>
        </w:rPr>
        <w:footnoteReference w:id="21"/>
      </w:r>
      <w:r w:rsidR="00FC58EC" w:rsidRPr="00000032">
        <w:rPr>
          <w:rFonts w:ascii="Times New Roman" w:hAnsi="Times New Roman" w:cs="Times New Roman"/>
          <w:sz w:val="24"/>
          <w:szCs w:val="24"/>
        </w:rPr>
        <w:t xml:space="preserve"> This definition may be interpreted expansively to include digital platforms, providing </w:t>
      </w:r>
      <w:r w:rsidR="001F386C" w:rsidRPr="00000032">
        <w:rPr>
          <w:rFonts w:ascii="Times New Roman" w:hAnsi="Times New Roman" w:cs="Times New Roman"/>
          <w:sz w:val="24"/>
          <w:szCs w:val="24"/>
        </w:rPr>
        <w:t xml:space="preserve">a potential legal foothold for extending protections. </w:t>
      </w:r>
    </w:p>
    <w:p w:rsidR="006E0DDA" w:rsidRPr="00000032" w:rsidRDefault="006E0DDA"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By working together, we can create a more equitable and sustainable gig economy that provides employment opportunities to millions of workers. The government, companies and unions must collaborate to ensure improved working conditions for gig workers.</w:t>
      </w:r>
    </w:p>
    <w:p w:rsidR="008C3EF6" w:rsidRPr="00000032" w:rsidRDefault="008C3EF6" w:rsidP="00663414">
      <w:pPr>
        <w:spacing w:after="0" w:line="360" w:lineRule="auto"/>
        <w:jc w:val="both"/>
        <w:rPr>
          <w:rFonts w:ascii="Times New Roman" w:hAnsi="Times New Roman" w:cs="Times New Roman"/>
          <w:sz w:val="24"/>
          <w:szCs w:val="24"/>
        </w:rPr>
      </w:pPr>
      <w:r w:rsidRPr="00000032">
        <w:rPr>
          <w:rFonts w:ascii="Times New Roman" w:hAnsi="Times New Roman" w:cs="Times New Roman"/>
          <w:b/>
          <w:sz w:val="24"/>
          <w:szCs w:val="24"/>
        </w:rPr>
        <w:t>Conclusion</w:t>
      </w:r>
    </w:p>
    <w:p w:rsidR="008C3EF6" w:rsidRPr="00000032" w:rsidRDefault="006E0DDA"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The classification of gig workers is complex </w:t>
      </w:r>
      <w:r w:rsidR="001F29E7" w:rsidRPr="00000032">
        <w:rPr>
          <w:rFonts w:ascii="Times New Roman" w:hAnsi="Times New Roman" w:cs="Times New Roman"/>
          <w:sz w:val="24"/>
          <w:szCs w:val="24"/>
        </w:rPr>
        <w:t xml:space="preserve">and underscores the urgent need for a </w:t>
      </w:r>
      <w:r w:rsidRPr="00000032">
        <w:rPr>
          <w:rFonts w:ascii="Times New Roman" w:hAnsi="Times New Roman" w:cs="Times New Roman"/>
          <w:sz w:val="24"/>
          <w:szCs w:val="24"/>
        </w:rPr>
        <w:t>comprehensive legal framework</w:t>
      </w:r>
      <w:r w:rsidR="001F29E7" w:rsidRPr="00000032">
        <w:rPr>
          <w:rFonts w:ascii="Times New Roman" w:hAnsi="Times New Roman" w:cs="Times New Roman"/>
          <w:sz w:val="24"/>
          <w:szCs w:val="24"/>
        </w:rPr>
        <w:t xml:space="preserve"> to protect their rights</w:t>
      </w:r>
      <w:r w:rsidRPr="00000032">
        <w:rPr>
          <w:rFonts w:ascii="Times New Roman" w:hAnsi="Times New Roman" w:cs="Times New Roman"/>
          <w:sz w:val="24"/>
          <w:szCs w:val="24"/>
        </w:rPr>
        <w:t xml:space="preserve">. The unionization efforts by Zomato and Swiggy delivery partners have highlighted the need for better working conditions and benefits for gig workers. </w:t>
      </w:r>
      <w:r w:rsidR="001F386C" w:rsidRPr="00000032">
        <w:rPr>
          <w:rFonts w:ascii="Times New Roman" w:hAnsi="Times New Roman" w:cs="Times New Roman"/>
          <w:sz w:val="24"/>
          <w:szCs w:val="24"/>
        </w:rPr>
        <w:t>Their mobilization has brought visibility to the deep structural challenges facing platform workers, transforming isolated grievances into a collective movement</w:t>
      </w:r>
      <w:r w:rsidR="002F017C" w:rsidRPr="00000032">
        <w:rPr>
          <w:rFonts w:ascii="Times New Roman" w:hAnsi="Times New Roman" w:cs="Times New Roman"/>
          <w:sz w:val="24"/>
          <w:szCs w:val="24"/>
        </w:rPr>
        <w:t>.</w:t>
      </w:r>
    </w:p>
    <w:p w:rsidR="002F017C" w:rsidRPr="00000032" w:rsidRDefault="00000032"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This</w:t>
      </w:r>
      <w:r w:rsidR="002F017C" w:rsidRPr="00000032">
        <w:rPr>
          <w:rFonts w:ascii="Times New Roman" w:hAnsi="Times New Roman" w:cs="Times New Roman"/>
          <w:sz w:val="24"/>
          <w:szCs w:val="24"/>
        </w:rPr>
        <w:t xml:space="preserve"> article has highlighted the need for a clear legal framework to protect the rights of gig workers. The classification of gig workers as independent contractors has significant implications for their rights and benefits. The unionization efforts have sparked a national debate on the rights of gig workers, highlighting the need for better working conditions and benefits.</w:t>
      </w:r>
    </w:p>
    <w:p w:rsidR="00663414" w:rsidRDefault="002F017C" w:rsidP="00000032">
      <w:pPr>
        <w:spacing w:line="360" w:lineRule="auto"/>
        <w:jc w:val="both"/>
        <w:rPr>
          <w:rFonts w:ascii="Times New Roman" w:hAnsi="Times New Roman" w:cs="Times New Roman"/>
          <w:sz w:val="24"/>
          <w:szCs w:val="24"/>
        </w:rPr>
      </w:pPr>
      <w:r w:rsidRPr="00000032">
        <w:rPr>
          <w:rFonts w:ascii="Times New Roman" w:hAnsi="Times New Roman" w:cs="Times New Roman"/>
          <w:sz w:val="24"/>
          <w:szCs w:val="24"/>
        </w:rPr>
        <w:t xml:space="preserve">In conclusion, the legal status of gig workers in India is a complex issue that </w:t>
      </w:r>
      <w:r w:rsidR="004E1D1B" w:rsidRPr="00000032">
        <w:rPr>
          <w:rFonts w:ascii="Times New Roman" w:hAnsi="Times New Roman" w:cs="Times New Roman"/>
          <w:sz w:val="24"/>
          <w:szCs w:val="24"/>
        </w:rPr>
        <w:t>requires</w:t>
      </w:r>
      <w:r w:rsidRPr="00000032">
        <w:rPr>
          <w:rFonts w:ascii="Times New Roman" w:hAnsi="Times New Roman" w:cs="Times New Roman"/>
          <w:sz w:val="24"/>
          <w:szCs w:val="24"/>
        </w:rPr>
        <w:t xml:space="preserve"> a comprehensive legal framework. The government, companies and unions must collaborate to ensure improved working conditions and benefits for gig workers.</w:t>
      </w:r>
      <w:r w:rsidR="001F386C" w:rsidRPr="00000032">
        <w:rPr>
          <w:rFonts w:ascii="Times New Roman" w:hAnsi="Times New Roman" w:cs="Times New Roman"/>
          <w:sz w:val="24"/>
          <w:szCs w:val="24"/>
        </w:rPr>
        <w:t xml:space="preserve"> </w:t>
      </w:r>
      <w:r w:rsidR="001F29E7" w:rsidRPr="00000032">
        <w:rPr>
          <w:rFonts w:ascii="Times New Roman" w:hAnsi="Times New Roman" w:cs="Times New Roman"/>
          <w:sz w:val="24"/>
          <w:szCs w:val="24"/>
        </w:rPr>
        <w:t>Ultimately, the gig economy’s sustainability depends on cooperative reform – where law, business, and worker advocacy intersect to redefine modern employment</w:t>
      </w:r>
      <w:r w:rsidR="00663414">
        <w:rPr>
          <w:rFonts w:ascii="Times New Roman" w:hAnsi="Times New Roman" w:cs="Times New Roman"/>
          <w:sz w:val="24"/>
          <w:szCs w:val="24"/>
        </w:rPr>
        <w:t>.</w:t>
      </w:r>
    </w:p>
    <w:p w:rsidR="00663414" w:rsidRPr="00663414" w:rsidRDefault="00663414" w:rsidP="00663414">
      <w:pPr>
        <w:spacing w:after="0" w:line="360" w:lineRule="auto"/>
        <w:jc w:val="both"/>
        <w:rPr>
          <w:rFonts w:ascii="Times New Roman" w:hAnsi="Times New Roman" w:cs="Times New Roman"/>
          <w:b/>
          <w:sz w:val="24"/>
          <w:szCs w:val="24"/>
        </w:rPr>
      </w:pPr>
      <w:r w:rsidRPr="00663414">
        <w:rPr>
          <w:rFonts w:ascii="Times New Roman" w:hAnsi="Times New Roman" w:cs="Times New Roman"/>
          <w:b/>
          <w:sz w:val="24"/>
          <w:szCs w:val="24"/>
        </w:rPr>
        <w:t>References:</w:t>
      </w:r>
    </w:p>
    <w:p w:rsidR="00663414" w:rsidRPr="00663414" w:rsidRDefault="00663414" w:rsidP="00663414">
      <w:pPr>
        <w:numPr>
          <w:ilvl w:val="0"/>
          <w:numId w:val="2"/>
        </w:numPr>
        <w:spacing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sz w:val="24"/>
          <w:szCs w:val="24"/>
          <w:lang w:eastAsia="en-IN"/>
        </w:rPr>
        <w:t xml:space="preserve">Iqubbal Asheef, </w:t>
      </w:r>
      <w:r w:rsidRPr="00663414">
        <w:rPr>
          <w:rFonts w:ascii="Times New Roman" w:eastAsia="Times New Roman" w:hAnsi="Times New Roman" w:cs="Times New Roman"/>
          <w:i/>
          <w:iCs/>
          <w:sz w:val="24"/>
          <w:szCs w:val="24"/>
          <w:lang w:eastAsia="en-IN"/>
        </w:rPr>
        <w:t>FOOD DELIVERY WORKERS IN INDIA: EMERGING ENTREPRENEURS OR INFORMAL LABOUR?</w:t>
      </w:r>
      <w:r w:rsidRPr="00663414">
        <w:rPr>
          <w:rFonts w:ascii="Times New Roman" w:eastAsia="Times New Roman" w:hAnsi="Times New Roman" w:cs="Times New Roman"/>
          <w:sz w:val="24"/>
          <w:szCs w:val="24"/>
          <w:lang w:eastAsia="en-IN"/>
        </w:rPr>
        <w:t xml:space="preserve">, </w:t>
      </w:r>
      <w:r w:rsidRPr="00663414">
        <w:rPr>
          <w:rFonts w:ascii="Times New Roman" w:eastAsia="Times New Roman" w:hAnsi="Times New Roman" w:cs="Times New Roman"/>
          <w:smallCaps/>
          <w:sz w:val="24"/>
          <w:szCs w:val="24"/>
          <w:lang w:eastAsia="en-IN"/>
        </w:rPr>
        <w:t>www.defindia.org</w:t>
      </w:r>
      <w:r w:rsidRPr="00663414">
        <w:rPr>
          <w:rFonts w:ascii="Times New Roman" w:eastAsia="Times New Roman" w:hAnsi="Times New Roman" w:cs="Times New Roman"/>
          <w:sz w:val="24"/>
          <w:szCs w:val="24"/>
          <w:lang w:eastAsia="en-IN"/>
        </w:rPr>
        <w:t xml:space="preserve">, </w:t>
      </w:r>
      <w:hyperlink r:id="rId8" w:history="1">
        <w:r w:rsidRPr="00663414">
          <w:rPr>
            <w:rFonts w:ascii="Times New Roman" w:eastAsia="Times New Roman" w:hAnsi="Times New Roman" w:cs="Times New Roman"/>
            <w:color w:val="0000FF"/>
            <w:sz w:val="24"/>
            <w:szCs w:val="24"/>
            <w:u w:val="single"/>
            <w:lang w:eastAsia="en-IN"/>
          </w:rPr>
          <w:t>https://defindia.org/wp-content/uploads/2021/04/swiggy-zomato-delivery-workers-india-entrepreneurs-labour.pdf</w:t>
        </w:r>
      </w:hyperlink>
      <w:r w:rsidRPr="00663414">
        <w:rPr>
          <w:rFonts w:ascii="Times New Roman" w:eastAsia="Times New Roman" w:hAnsi="Times New Roman" w:cs="Times New Roman"/>
          <w:sz w:val="24"/>
          <w:szCs w:val="24"/>
          <w:lang w:eastAsia="en-IN"/>
        </w:rPr>
        <w:t xml:space="preserve"> (last visited Jun. 16, 2025).</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sz w:val="24"/>
          <w:szCs w:val="24"/>
          <w:lang w:eastAsia="en-IN"/>
        </w:rPr>
        <w:t xml:space="preserve">Anuj Kumar &amp; Shivam Shani, </w:t>
      </w:r>
      <w:r w:rsidRPr="00663414">
        <w:rPr>
          <w:rFonts w:ascii="Times New Roman" w:eastAsia="Times New Roman" w:hAnsi="Times New Roman" w:cs="Times New Roman"/>
          <w:i/>
          <w:iCs/>
          <w:sz w:val="24"/>
          <w:szCs w:val="24"/>
          <w:lang w:eastAsia="en-IN"/>
        </w:rPr>
        <w:t>GIG WORKERS IN INDIA: BRIDGING LEGAL GAPS AND ENSURING SUSTAINABILITY</w:t>
      </w:r>
      <w:r w:rsidRPr="00663414">
        <w:rPr>
          <w:rFonts w:ascii="Times New Roman" w:eastAsia="Times New Roman" w:hAnsi="Times New Roman" w:cs="Times New Roman"/>
          <w:sz w:val="24"/>
          <w:szCs w:val="24"/>
          <w:lang w:eastAsia="en-IN"/>
        </w:rPr>
        <w:t>.</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sz w:val="24"/>
          <w:szCs w:val="24"/>
          <w:lang w:eastAsia="en-IN"/>
        </w:rPr>
        <w:t xml:space="preserve">Ministry of Law and Justice, </w:t>
      </w:r>
      <w:r w:rsidRPr="00663414">
        <w:rPr>
          <w:rFonts w:ascii="Times New Roman" w:eastAsia="Times New Roman" w:hAnsi="Times New Roman" w:cs="Times New Roman"/>
          <w:i/>
          <w:iCs/>
          <w:sz w:val="24"/>
          <w:szCs w:val="24"/>
          <w:lang w:eastAsia="en-IN"/>
        </w:rPr>
        <w:t>The Occupational Safety, Health and Working Conditions Code, 2020</w:t>
      </w:r>
      <w:r w:rsidRPr="00663414">
        <w:rPr>
          <w:rFonts w:ascii="Times New Roman" w:eastAsia="Times New Roman" w:hAnsi="Times New Roman" w:cs="Times New Roman"/>
          <w:sz w:val="24"/>
          <w:szCs w:val="24"/>
          <w:lang w:eastAsia="en-IN"/>
        </w:rPr>
        <w:t xml:space="preserve">, </w:t>
      </w:r>
      <w:hyperlink r:id="rId9" w:history="1">
        <w:r w:rsidRPr="00663414">
          <w:rPr>
            <w:rFonts w:ascii="Times New Roman" w:eastAsia="Times New Roman" w:hAnsi="Times New Roman" w:cs="Times New Roman"/>
            <w:color w:val="0000FF"/>
            <w:sz w:val="24"/>
            <w:szCs w:val="24"/>
            <w:u w:val="single"/>
            <w:lang w:eastAsia="en-IN"/>
          </w:rPr>
          <w:t>https://labour.gov.in/sites/default/files/osh_gazette.pdf</w:t>
        </w:r>
      </w:hyperlink>
      <w:r w:rsidRPr="00663414">
        <w:rPr>
          <w:rFonts w:ascii="Times New Roman" w:eastAsia="Times New Roman" w:hAnsi="Times New Roman" w:cs="Times New Roman"/>
          <w:sz w:val="24"/>
          <w:szCs w:val="24"/>
          <w:lang w:eastAsia="en-IN"/>
        </w:rPr>
        <w:t xml:space="preserve"> (last visited Jun. 25, 2025).</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sz w:val="24"/>
          <w:szCs w:val="24"/>
          <w:lang w:eastAsia="en-IN"/>
        </w:rPr>
        <w:t xml:space="preserve">M P Ram Mohan, </w:t>
      </w:r>
      <w:r w:rsidRPr="00663414">
        <w:rPr>
          <w:rFonts w:ascii="Times New Roman" w:eastAsia="Times New Roman" w:hAnsi="Times New Roman" w:cs="Times New Roman"/>
          <w:i/>
          <w:iCs/>
          <w:sz w:val="24"/>
          <w:szCs w:val="24"/>
          <w:lang w:eastAsia="en-IN"/>
        </w:rPr>
        <w:t>Tests to Determine Employer-Employee Relationships in India: Looking towards the Future?</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sz w:val="24"/>
          <w:szCs w:val="24"/>
          <w:lang w:eastAsia="en-IN"/>
        </w:rPr>
        <w:t xml:space="preserve">NITI Aayog. (2022)., </w:t>
      </w:r>
      <w:r w:rsidRPr="00663414">
        <w:rPr>
          <w:rFonts w:ascii="Times New Roman" w:eastAsia="Times New Roman" w:hAnsi="Times New Roman" w:cs="Times New Roman"/>
          <w:i/>
          <w:iCs/>
          <w:sz w:val="24"/>
          <w:szCs w:val="24"/>
          <w:lang w:eastAsia="en-IN"/>
        </w:rPr>
        <w:t>India’s Booming Gig and Platform Economy: Perspectives and Recommendations on the Future of Work.</w:t>
      </w:r>
      <w:r w:rsidRPr="00663414">
        <w:rPr>
          <w:rFonts w:ascii="Times New Roman" w:eastAsia="Times New Roman" w:hAnsi="Times New Roman" w:cs="Times New Roman"/>
          <w:sz w:val="24"/>
          <w:szCs w:val="24"/>
          <w:lang w:eastAsia="en-IN"/>
        </w:rPr>
        <w:t xml:space="preserve">, (Jun. 2022), </w:t>
      </w:r>
      <w:hyperlink r:id="rId10" w:history="1">
        <w:r w:rsidRPr="00663414">
          <w:rPr>
            <w:rFonts w:ascii="Times New Roman" w:eastAsia="Times New Roman" w:hAnsi="Times New Roman" w:cs="Times New Roman"/>
            <w:color w:val="0000FF"/>
            <w:sz w:val="24"/>
            <w:szCs w:val="24"/>
            <w:u w:val="single"/>
            <w:lang w:eastAsia="en-IN"/>
          </w:rPr>
          <w:t>https://www.niti.gov.in/sites/default/files/2023-06/Policy_Brief_India%27s_Booming_Gig_and_Platform_Economy_27062022.pdf</w:t>
        </w:r>
      </w:hyperlink>
      <w:r w:rsidRPr="00663414">
        <w:rPr>
          <w:rFonts w:ascii="Times New Roman" w:eastAsia="Times New Roman" w:hAnsi="Times New Roman" w:cs="Times New Roman"/>
          <w:sz w:val="24"/>
          <w:szCs w:val="24"/>
          <w:lang w:eastAsia="en-IN"/>
        </w:rPr>
        <w:t>.</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sz w:val="24"/>
          <w:szCs w:val="24"/>
          <w:lang w:eastAsia="en-IN"/>
        </w:rPr>
        <w:t xml:space="preserve">Rajasthan Legislative Assembly, </w:t>
      </w:r>
      <w:r w:rsidRPr="00663414">
        <w:rPr>
          <w:rFonts w:ascii="Times New Roman" w:eastAsia="Times New Roman" w:hAnsi="Times New Roman" w:cs="Times New Roman"/>
          <w:i/>
          <w:iCs/>
          <w:sz w:val="24"/>
          <w:szCs w:val="24"/>
          <w:lang w:eastAsia="en-IN"/>
        </w:rPr>
        <w:t>THE RAJASTHAN PLATFORM BASED GIG WORKERS (REGISTRATION AND WELFARE) BILL, 2023</w:t>
      </w:r>
      <w:r w:rsidRPr="00663414">
        <w:rPr>
          <w:rFonts w:ascii="Times New Roman" w:eastAsia="Times New Roman" w:hAnsi="Times New Roman" w:cs="Times New Roman"/>
          <w:sz w:val="24"/>
          <w:szCs w:val="24"/>
          <w:lang w:eastAsia="en-IN"/>
        </w:rPr>
        <w:t xml:space="preserve">, </w:t>
      </w:r>
      <w:hyperlink r:id="rId11" w:history="1">
        <w:r w:rsidRPr="00663414">
          <w:rPr>
            <w:rFonts w:ascii="Times New Roman" w:eastAsia="Times New Roman" w:hAnsi="Times New Roman" w:cs="Times New Roman"/>
            <w:color w:val="0000FF"/>
            <w:sz w:val="24"/>
            <w:szCs w:val="24"/>
            <w:u w:val="single"/>
            <w:lang w:eastAsia="en-IN"/>
          </w:rPr>
          <w:t>https://aioe.in/wp-content/uploads/2023/09/Gig_Workers_Bill_2023_1690274461.pdf</w:t>
        </w:r>
      </w:hyperlink>
      <w:r w:rsidRPr="00663414">
        <w:rPr>
          <w:rFonts w:ascii="Times New Roman" w:eastAsia="Times New Roman" w:hAnsi="Times New Roman" w:cs="Times New Roman"/>
          <w:sz w:val="24"/>
          <w:szCs w:val="24"/>
          <w:lang w:eastAsia="en-IN"/>
        </w:rPr>
        <w:t xml:space="preserve"> (last visited Jun. 25, 2025).</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i/>
          <w:iCs/>
          <w:sz w:val="24"/>
          <w:szCs w:val="24"/>
          <w:lang w:eastAsia="en-IN"/>
        </w:rPr>
        <w:t>Code on Wages, 2019</w:t>
      </w:r>
      <w:r w:rsidRPr="00663414">
        <w:rPr>
          <w:rFonts w:ascii="Times New Roman" w:eastAsia="Times New Roman" w:hAnsi="Times New Roman" w:cs="Times New Roman"/>
          <w:sz w:val="24"/>
          <w:szCs w:val="24"/>
          <w:lang w:eastAsia="en-IN"/>
        </w:rPr>
        <w:t xml:space="preserve">, </w:t>
      </w:r>
      <w:r w:rsidRPr="00663414">
        <w:rPr>
          <w:rFonts w:ascii="Times New Roman" w:eastAsia="Times New Roman" w:hAnsi="Times New Roman" w:cs="Times New Roman"/>
          <w:smallCaps/>
          <w:sz w:val="24"/>
          <w:szCs w:val="24"/>
          <w:lang w:eastAsia="en-IN"/>
        </w:rPr>
        <w:t>An Act to amend and consolidate the laws relating to wages and bonus and matters connected therewith or incidental thereto.</w:t>
      </w:r>
      <w:r w:rsidRPr="00663414">
        <w:rPr>
          <w:rFonts w:ascii="Times New Roman" w:eastAsia="Times New Roman" w:hAnsi="Times New Roman" w:cs="Times New Roman"/>
          <w:sz w:val="24"/>
          <w:szCs w:val="24"/>
          <w:lang w:eastAsia="en-IN"/>
        </w:rPr>
        <w:t xml:space="preserve"> (2019), </w:t>
      </w:r>
      <w:hyperlink r:id="rId12" w:history="1">
        <w:r w:rsidRPr="00663414">
          <w:rPr>
            <w:rFonts w:ascii="Times New Roman" w:eastAsia="Times New Roman" w:hAnsi="Times New Roman" w:cs="Times New Roman"/>
            <w:color w:val="0000FF"/>
            <w:sz w:val="24"/>
            <w:szCs w:val="24"/>
            <w:u w:val="single"/>
            <w:lang w:eastAsia="en-IN"/>
          </w:rPr>
          <w:t>http://indiacode.nic.in/handle/123456789/15793</w:t>
        </w:r>
      </w:hyperlink>
      <w:r w:rsidRPr="00663414">
        <w:rPr>
          <w:rFonts w:ascii="Times New Roman" w:eastAsia="Times New Roman" w:hAnsi="Times New Roman" w:cs="Times New Roman"/>
          <w:sz w:val="24"/>
          <w:szCs w:val="24"/>
          <w:lang w:eastAsia="en-IN"/>
        </w:rPr>
        <w:t>.</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sz w:val="24"/>
          <w:szCs w:val="24"/>
          <w:lang w:eastAsia="en-IN"/>
        </w:rPr>
        <w:lastRenderedPageBreak/>
        <w:t xml:space="preserve">Asia Pacific Foundation of Canada, </w:t>
      </w:r>
      <w:r w:rsidRPr="00663414">
        <w:rPr>
          <w:rFonts w:ascii="Times New Roman" w:eastAsia="Times New Roman" w:hAnsi="Times New Roman" w:cs="Times New Roman"/>
          <w:i/>
          <w:iCs/>
          <w:sz w:val="24"/>
          <w:szCs w:val="24"/>
          <w:lang w:eastAsia="en-IN"/>
        </w:rPr>
        <w:t>India’s Gig Workers Strike, Push for Better Wages</w:t>
      </w:r>
      <w:r w:rsidRPr="00663414">
        <w:rPr>
          <w:rFonts w:ascii="Times New Roman" w:eastAsia="Times New Roman" w:hAnsi="Times New Roman" w:cs="Times New Roman"/>
          <w:sz w:val="24"/>
          <w:szCs w:val="24"/>
          <w:lang w:eastAsia="en-IN"/>
        </w:rPr>
        <w:t xml:space="preserve">, </w:t>
      </w:r>
      <w:r w:rsidRPr="00663414">
        <w:rPr>
          <w:rFonts w:ascii="Times New Roman" w:eastAsia="Times New Roman" w:hAnsi="Times New Roman" w:cs="Times New Roman"/>
          <w:smallCaps/>
          <w:sz w:val="24"/>
          <w:szCs w:val="24"/>
          <w:lang w:eastAsia="en-IN"/>
        </w:rPr>
        <w:t>Asia Pacific Foundation of Canada</w:t>
      </w:r>
      <w:r w:rsidRPr="00663414">
        <w:rPr>
          <w:rFonts w:ascii="Times New Roman" w:eastAsia="Times New Roman" w:hAnsi="Times New Roman" w:cs="Times New Roman"/>
          <w:sz w:val="24"/>
          <w:szCs w:val="24"/>
          <w:lang w:eastAsia="en-IN"/>
        </w:rPr>
        <w:t xml:space="preserve">, </w:t>
      </w:r>
      <w:hyperlink r:id="rId13" w:history="1">
        <w:r w:rsidRPr="00663414">
          <w:rPr>
            <w:rFonts w:ascii="Times New Roman" w:eastAsia="Times New Roman" w:hAnsi="Times New Roman" w:cs="Times New Roman"/>
            <w:color w:val="0000FF"/>
            <w:sz w:val="24"/>
            <w:szCs w:val="24"/>
            <w:u w:val="single"/>
            <w:lang w:eastAsia="en-IN"/>
          </w:rPr>
          <w:t>https://www.asiapacific.ca/publication/indias-gig-workers-strike-push-better-wages</w:t>
        </w:r>
      </w:hyperlink>
      <w:r w:rsidRPr="00663414">
        <w:rPr>
          <w:rFonts w:ascii="Times New Roman" w:eastAsia="Times New Roman" w:hAnsi="Times New Roman" w:cs="Times New Roman"/>
          <w:sz w:val="24"/>
          <w:szCs w:val="24"/>
          <w:lang w:eastAsia="en-IN"/>
        </w:rPr>
        <w:t xml:space="preserve"> (last visited Jun. 25, 2025).</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sz w:val="24"/>
          <w:szCs w:val="24"/>
          <w:lang w:eastAsia="en-IN"/>
        </w:rPr>
        <w:t xml:space="preserve">Sabah Gurmat, </w:t>
      </w:r>
      <w:r w:rsidRPr="00663414">
        <w:rPr>
          <w:rFonts w:ascii="Times New Roman" w:eastAsia="Times New Roman" w:hAnsi="Times New Roman" w:cs="Times New Roman"/>
          <w:i/>
          <w:iCs/>
          <w:sz w:val="24"/>
          <w:szCs w:val="24"/>
          <w:lang w:eastAsia="en-IN"/>
        </w:rPr>
        <w:t>How India’s Gig Worker Unions Are Fighting for Change</w:t>
      </w:r>
      <w:r w:rsidRPr="00663414">
        <w:rPr>
          <w:rFonts w:ascii="Times New Roman" w:eastAsia="Times New Roman" w:hAnsi="Times New Roman" w:cs="Times New Roman"/>
          <w:sz w:val="24"/>
          <w:szCs w:val="24"/>
          <w:lang w:eastAsia="en-IN"/>
        </w:rPr>
        <w:t xml:space="preserve">, </w:t>
      </w:r>
      <w:r w:rsidRPr="00663414">
        <w:rPr>
          <w:rFonts w:ascii="Times New Roman" w:eastAsia="Times New Roman" w:hAnsi="Times New Roman" w:cs="Times New Roman"/>
          <w:smallCaps/>
          <w:sz w:val="24"/>
          <w:szCs w:val="24"/>
          <w:lang w:eastAsia="en-IN"/>
        </w:rPr>
        <w:t>Non Profit News | Nonprofit Quarterly</w:t>
      </w:r>
      <w:r w:rsidRPr="00663414">
        <w:rPr>
          <w:rFonts w:ascii="Times New Roman" w:eastAsia="Times New Roman" w:hAnsi="Times New Roman" w:cs="Times New Roman"/>
          <w:sz w:val="24"/>
          <w:szCs w:val="24"/>
          <w:lang w:eastAsia="en-IN"/>
        </w:rPr>
        <w:t xml:space="preserve"> (Nov. 20, 2024), </w:t>
      </w:r>
      <w:hyperlink r:id="rId14" w:history="1">
        <w:r w:rsidRPr="00663414">
          <w:rPr>
            <w:rFonts w:ascii="Times New Roman" w:eastAsia="Times New Roman" w:hAnsi="Times New Roman" w:cs="Times New Roman"/>
            <w:color w:val="0000FF"/>
            <w:sz w:val="24"/>
            <w:szCs w:val="24"/>
            <w:u w:val="single"/>
            <w:lang w:eastAsia="en-IN"/>
          </w:rPr>
          <w:t>https://nonprofitquarterly.org/how-indias-gig-worker-unions-are-fighting-for-change/</w:t>
        </w:r>
      </w:hyperlink>
      <w:r w:rsidRPr="00663414">
        <w:rPr>
          <w:rFonts w:ascii="Times New Roman" w:eastAsia="Times New Roman" w:hAnsi="Times New Roman" w:cs="Times New Roman"/>
          <w:sz w:val="24"/>
          <w:szCs w:val="24"/>
          <w:lang w:eastAsia="en-IN"/>
        </w:rPr>
        <w:t>.</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i/>
          <w:iCs/>
          <w:sz w:val="24"/>
          <w:szCs w:val="24"/>
          <w:lang w:eastAsia="en-IN"/>
        </w:rPr>
        <w:t>India Code: Section 2 of The Code on Social Security, 2020</w:t>
      </w:r>
      <w:r w:rsidRPr="00663414">
        <w:rPr>
          <w:rFonts w:ascii="Times New Roman" w:eastAsia="Times New Roman" w:hAnsi="Times New Roman" w:cs="Times New Roman"/>
          <w:sz w:val="24"/>
          <w:szCs w:val="24"/>
          <w:lang w:eastAsia="en-IN"/>
        </w:rPr>
        <w:t xml:space="preserve">, </w:t>
      </w:r>
      <w:hyperlink r:id="rId15" w:history="1">
        <w:r w:rsidRPr="00663414">
          <w:rPr>
            <w:rFonts w:ascii="Times New Roman" w:eastAsia="Times New Roman" w:hAnsi="Times New Roman" w:cs="Times New Roman"/>
            <w:color w:val="0000FF"/>
            <w:sz w:val="24"/>
            <w:szCs w:val="24"/>
            <w:u w:val="single"/>
            <w:lang w:eastAsia="en-IN"/>
          </w:rPr>
          <w:t>https://www.indiacode.nic.in/show-data?abv=CEN&amp;statehandle=123456789/1362&amp;actid=AC_CEN_6_0_00036_202036_1623221080799&amp;sectionId=54026&amp;sectionno=2&amp;orderno=2&amp;orgactid=AC_CEN_6_0_00036_202036_1623221080799</w:t>
        </w:r>
      </w:hyperlink>
      <w:r w:rsidRPr="00663414">
        <w:rPr>
          <w:rFonts w:ascii="Times New Roman" w:eastAsia="Times New Roman" w:hAnsi="Times New Roman" w:cs="Times New Roman"/>
          <w:sz w:val="24"/>
          <w:szCs w:val="24"/>
          <w:lang w:eastAsia="en-IN"/>
        </w:rPr>
        <w:t xml:space="preserve"> (last visited Jun. 25, 2025).</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i/>
          <w:iCs/>
          <w:sz w:val="24"/>
          <w:szCs w:val="24"/>
          <w:lang w:eastAsia="en-IN"/>
        </w:rPr>
        <w:t>India Code: Section 113 of The Code on Social Security, 2020</w:t>
      </w:r>
      <w:r w:rsidRPr="00663414">
        <w:rPr>
          <w:rFonts w:ascii="Times New Roman" w:eastAsia="Times New Roman" w:hAnsi="Times New Roman" w:cs="Times New Roman"/>
          <w:sz w:val="24"/>
          <w:szCs w:val="24"/>
          <w:lang w:eastAsia="en-IN"/>
        </w:rPr>
        <w:t xml:space="preserve">, </w:t>
      </w:r>
      <w:hyperlink r:id="rId16" w:history="1">
        <w:r w:rsidRPr="00663414">
          <w:rPr>
            <w:rFonts w:ascii="Times New Roman" w:eastAsia="Times New Roman" w:hAnsi="Times New Roman" w:cs="Times New Roman"/>
            <w:color w:val="0000FF"/>
            <w:sz w:val="24"/>
            <w:szCs w:val="24"/>
            <w:u w:val="single"/>
            <w:lang w:eastAsia="en-IN"/>
          </w:rPr>
          <w:t>https://www.indiacode.nic.in/show-data?abv=CEN&amp;statehandle=123456789/1362&amp;actid=AC_CEN_6_0_00036_202036_1623221080799&amp;sectionId=54137&amp;sectionno=113&amp;orderno=113&amp;orgactid=AC_CEN_6_0_00036_202036_1623221080799</w:t>
        </w:r>
      </w:hyperlink>
      <w:r w:rsidRPr="00663414">
        <w:rPr>
          <w:rFonts w:ascii="Times New Roman" w:eastAsia="Times New Roman" w:hAnsi="Times New Roman" w:cs="Times New Roman"/>
          <w:sz w:val="24"/>
          <w:szCs w:val="24"/>
          <w:lang w:eastAsia="en-IN"/>
        </w:rPr>
        <w:t xml:space="preserve"> (last visited Jun. 25, 2025).</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i/>
          <w:iCs/>
          <w:sz w:val="24"/>
          <w:szCs w:val="24"/>
          <w:lang w:eastAsia="en-IN"/>
        </w:rPr>
        <w:t>India Code: Section 114 of The Code on Social Security, 2020</w:t>
      </w:r>
      <w:r w:rsidRPr="00663414">
        <w:rPr>
          <w:rFonts w:ascii="Times New Roman" w:eastAsia="Times New Roman" w:hAnsi="Times New Roman" w:cs="Times New Roman"/>
          <w:sz w:val="24"/>
          <w:szCs w:val="24"/>
          <w:lang w:eastAsia="en-IN"/>
        </w:rPr>
        <w:t xml:space="preserve">, </w:t>
      </w:r>
      <w:hyperlink r:id="rId17" w:history="1">
        <w:r w:rsidRPr="00663414">
          <w:rPr>
            <w:rFonts w:ascii="Times New Roman" w:eastAsia="Times New Roman" w:hAnsi="Times New Roman" w:cs="Times New Roman"/>
            <w:color w:val="0000FF"/>
            <w:sz w:val="24"/>
            <w:szCs w:val="24"/>
            <w:u w:val="single"/>
            <w:lang w:eastAsia="en-IN"/>
          </w:rPr>
          <w:t>https://www.indiacode.nic.in/show-data?abv=CEN&amp;statehandle=123456789/1362&amp;actid=AC_CEN_6_0_00036_202036_1623221080799&amp;orderno=114&amp;orgactid=AC_CEN_6_0_00036_202036_1623221080799</w:t>
        </w:r>
      </w:hyperlink>
      <w:r w:rsidRPr="00663414">
        <w:rPr>
          <w:rFonts w:ascii="Times New Roman" w:eastAsia="Times New Roman" w:hAnsi="Times New Roman" w:cs="Times New Roman"/>
          <w:sz w:val="24"/>
          <w:szCs w:val="24"/>
          <w:lang w:eastAsia="en-IN"/>
        </w:rPr>
        <w:t xml:space="preserve"> (last visited Jun. 25, 2025).</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i/>
          <w:iCs/>
          <w:sz w:val="24"/>
          <w:szCs w:val="24"/>
          <w:lang w:eastAsia="en-IN"/>
        </w:rPr>
        <w:t>Runnr.in/Delivery-Partner-Tandc.Html#:~:text=RELATIONSHIP OF THE PARTIES,under Any Statutes / Local Laws.</w:t>
      </w:r>
      <w:r w:rsidRPr="00663414">
        <w:rPr>
          <w:rFonts w:ascii="Times New Roman" w:eastAsia="Times New Roman" w:hAnsi="Times New Roman" w:cs="Times New Roman"/>
          <w:sz w:val="24"/>
          <w:szCs w:val="24"/>
          <w:lang w:eastAsia="en-IN"/>
        </w:rPr>
        <w:t xml:space="preserve">, </w:t>
      </w:r>
      <w:hyperlink r:id="rId18" w:history="1">
        <w:r w:rsidRPr="00663414">
          <w:rPr>
            <w:rFonts w:ascii="Times New Roman" w:eastAsia="Times New Roman" w:hAnsi="Times New Roman" w:cs="Times New Roman"/>
            <w:color w:val="0000FF"/>
            <w:sz w:val="24"/>
            <w:szCs w:val="24"/>
            <w:u w:val="single"/>
            <w:lang w:eastAsia="en-IN"/>
          </w:rPr>
          <w:t>https://www.runnr.in/delivery-partner-tandc.html</w:t>
        </w:r>
      </w:hyperlink>
      <w:r w:rsidRPr="00663414">
        <w:rPr>
          <w:rFonts w:ascii="Times New Roman" w:eastAsia="Times New Roman" w:hAnsi="Times New Roman" w:cs="Times New Roman"/>
          <w:sz w:val="24"/>
          <w:szCs w:val="24"/>
          <w:lang w:eastAsia="en-IN"/>
        </w:rPr>
        <w:t xml:space="preserve"> (last visited Jun. 16, 2025).</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i/>
          <w:iCs/>
          <w:sz w:val="24"/>
          <w:szCs w:val="24"/>
          <w:lang w:eastAsia="en-IN"/>
        </w:rPr>
        <w:t>The Plight of Gig Workers in India</w:t>
      </w:r>
      <w:r w:rsidRPr="00663414">
        <w:rPr>
          <w:rFonts w:ascii="Times New Roman" w:eastAsia="Times New Roman" w:hAnsi="Times New Roman" w:cs="Times New Roman"/>
          <w:sz w:val="24"/>
          <w:szCs w:val="24"/>
          <w:lang w:eastAsia="en-IN"/>
        </w:rPr>
        <w:t xml:space="preserve">, </w:t>
      </w:r>
      <w:r w:rsidRPr="00663414">
        <w:rPr>
          <w:rFonts w:ascii="Times New Roman" w:eastAsia="Times New Roman" w:hAnsi="Times New Roman" w:cs="Times New Roman"/>
          <w:smallCaps/>
          <w:sz w:val="24"/>
          <w:szCs w:val="24"/>
          <w:lang w:eastAsia="en-IN"/>
        </w:rPr>
        <w:t>The Wire</w:t>
      </w:r>
      <w:r w:rsidRPr="00663414">
        <w:rPr>
          <w:rFonts w:ascii="Times New Roman" w:eastAsia="Times New Roman" w:hAnsi="Times New Roman" w:cs="Times New Roman"/>
          <w:sz w:val="24"/>
          <w:szCs w:val="24"/>
          <w:lang w:eastAsia="en-IN"/>
        </w:rPr>
        <w:t xml:space="preserve">, </w:t>
      </w:r>
      <w:hyperlink r:id="rId19" w:history="1">
        <w:r w:rsidRPr="00663414">
          <w:rPr>
            <w:rFonts w:ascii="Times New Roman" w:eastAsia="Times New Roman" w:hAnsi="Times New Roman" w:cs="Times New Roman"/>
            <w:color w:val="0000FF"/>
            <w:sz w:val="24"/>
            <w:szCs w:val="24"/>
            <w:u w:val="single"/>
            <w:lang w:eastAsia="en-IN"/>
          </w:rPr>
          <w:t>https://thewire.in/labour/the-plight-of-gig-workers-in-india</w:t>
        </w:r>
      </w:hyperlink>
      <w:r w:rsidRPr="00663414">
        <w:rPr>
          <w:rFonts w:ascii="Times New Roman" w:eastAsia="Times New Roman" w:hAnsi="Times New Roman" w:cs="Times New Roman"/>
          <w:sz w:val="24"/>
          <w:szCs w:val="24"/>
          <w:lang w:eastAsia="en-IN"/>
        </w:rPr>
        <w:t xml:space="preserve"> (last visited Jun. 25, 2025).</w:t>
      </w:r>
    </w:p>
    <w:p w:rsidR="00663414" w:rsidRPr="00663414" w:rsidRDefault="00663414" w:rsidP="0066341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663414">
        <w:rPr>
          <w:rFonts w:ascii="Times New Roman" w:eastAsia="Times New Roman" w:hAnsi="Times New Roman" w:cs="Times New Roman"/>
          <w:i/>
          <w:iCs/>
          <w:sz w:val="24"/>
          <w:szCs w:val="24"/>
          <w:lang w:eastAsia="en-IN"/>
        </w:rPr>
        <w:t>Union Minister Dr. Mansukh Mandaviya Lauds Historic Budgetary Allocation for Labour Welfare; Says Social Security for Gig Workers a Transformative Step</w:t>
      </w:r>
      <w:r w:rsidRPr="00663414">
        <w:rPr>
          <w:rFonts w:ascii="Times New Roman" w:eastAsia="Times New Roman" w:hAnsi="Times New Roman" w:cs="Times New Roman"/>
          <w:sz w:val="24"/>
          <w:szCs w:val="24"/>
          <w:lang w:eastAsia="en-IN"/>
        </w:rPr>
        <w:t xml:space="preserve">, </w:t>
      </w:r>
      <w:hyperlink r:id="rId20" w:history="1">
        <w:r w:rsidRPr="00663414">
          <w:rPr>
            <w:rFonts w:ascii="Times New Roman" w:eastAsia="Times New Roman" w:hAnsi="Times New Roman" w:cs="Times New Roman"/>
            <w:color w:val="0000FF"/>
            <w:sz w:val="24"/>
            <w:szCs w:val="24"/>
            <w:u w:val="single"/>
            <w:lang w:eastAsia="en-IN"/>
          </w:rPr>
          <w:t>https://www.pib.gov.in/www.pib.gov.in/Pressreleaseshare.aspx?PRID=2098901</w:t>
        </w:r>
      </w:hyperlink>
      <w:r w:rsidRPr="00663414">
        <w:rPr>
          <w:rFonts w:ascii="Times New Roman" w:eastAsia="Times New Roman" w:hAnsi="Times New Roman" w:cs="Times New Roman"/>
          <w:sz w:val="24"/>
          <w:szCs w:val="24"/>
          <w:lang w:eastAsia="en-IN"/>
        </w:rPr>
        <w:t xml:space="preserve"> (last visited Jun. 25, 2025).</w:t>
      </w:r>
    </w:p>
    <w:p w:rsidR="00663414" w:rsidRDefault="00663414" w:rsidP="00000032">
      <w:pPr>
        <w:spacing w:line="360" w:lineRule="auto"/>
        <w:jc w:val="both"/>
        <w:rPr>
          <w:rFonts w:ascii="Times New Roman" w:hAnsi="Times New Roman" w:cs="Times New Roman"/>
          <w:sz w:val="24"/>
          <w:szCs w:val="24"/>
        </w:rPr>
      </w:pPr>
    </w:p>
    <w:p w:rsidR="00663414" w:rsidRDefault="00663414" w:rsidP="00000032">
      <w:pPr>
        <w:spacing w:line="360" w:lineRule="auto"/>
        <w:jc w:val="both"/>
        <w:rPr>
          <w:rFonts w:ascii="Times New Roman" w:hAnsi="Times New Roman" w:cs="Times New Roman"/>
          <w:sz w:val="24"/>
          <w:szCs w:val="24"/>
        </w:rPr>
      </w:pPr>
    </w:p>
    <w:p w:rsidR="00663414" w:rsidRPr="00000032" w:rsidRDefault="00663414" w:rsidP="00000032">
      <w:pPr>
        <w:spacing w:line="360" w:lineRule="auto"/>
        <w:jc w:val="both"/>
        <w:rPr>
          <w:rFonts w:ascii="Times New Roman" w:hAnsi="Times New Roman" w:cs="Times New Roman"/>
          <w:sz w:val="24"/>
          <w:szCs w:val="24"/>
        </w:rPr>
      </w:pPr>
    </w:p>
    <w:sectPr w:rsidR="00663414" w:rsidRPr="00000032" w:rsidSect="00663414">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7E8C" w:rsidRDefault="006F7E8C" w:rsidP="00E20F72">
      <w:pPr>
        <w:spacing w:after="0" w:line="240" w:lineRule="auto"/>
      </w:pPr>
      <w:r>
        <w:separator/>
      </w:r>
    </w:p>
  </w:endnote>
  <w:endnote w:type="continuationSeparator" w:id="0">
    <w:p w:rsidR="006F7E8C" w:rsidRDefault="006F7E8C" w:rsidP="00E20F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7E8C" w:rsidRDefault="006F7E8C" w:rsidP="00E20F72">
      <w:pPr>
        <w:spacing w:after="0" w:line="240" w:lineRule="auto"/>
      </w:pPr>
      <w:r>
        <w:separator/>
      </w:r>
    </w:p>
  </w:footnote>
  <w:footnote w:type="continuationSeparator" w:id="0">
    <w:p w:rsidR="006F7E8C" w:rsidRDefault="006F7E8C" w:rsidP="00E20F72">
      <w:pPr>
        <w:spacing w:after="0" w:line="240" w:lineRule="auto"/>
      </w:pPr>
      <w:r>
        <w:continuationSeparator/>
      </w:r>
    </w:p>
  </w:footnote>
  <w:footnote w:id="1">
    <w:p w:rsidR="004361ED" w:rsidRDefault="004361ED">
      <w:pPr>
        <w:pStyle w:val="FootnoteText"/>
      </w:pPr>
      <w:r>
        <w:rPr>
          <w:rStyle w:val="FootnoteReference"/>
        </w:rPr>
        <w:footnoteRef/>
      </w:r>
      <w:r>
        <w:t xml:space="preserve"> </w:t>
      </w:r>
      <w:r>
        <w:fldChar w:fldCharType="begin"/>
      </w:r>
      <w:r>
        <w:instrText xml:space="preserve"> ADDIN ZOTERO_ITEM CSL_CITATION {"citationID":"XIb0vUXe","properties":{"formattedCitation":"NITI Aayog. (2022)., {\\i{}India\\uc0\\u8217{}s Booming Gig and Platform Economy: Perspectives and Recommendations on the Future of Work.}, (Jun. 2022), https://www.niti.gov.in/sites/default/files/2023-06/Policy_Brief_India%27s_Booming_Gig_and_Platform_Economy_27062022.pdf.","plainCitation":"NITI Aayog. (2022)., India’s Booming Gig and Platform Economy: Perspectives and Recommendations on the Future of Work., (Jun. 2022), https://www.niti.gov.in/sites/default/files/2023-06/Policy_Brief_India%27s_Booming_Gig_and_Platform_Economy_27062022.pdf.","noteIndex":1},"citationItems":[{"id":279,"uris":["http://zotero.org/users/16448937/items/ZDUFDNYE"],"itemData":{"id":279,"type":"webpage","title":"India’s Booming Gig and Platform Economy: Perspectives and Recommendations on the Future of Work.","URL":"https://www.niti.gov.in/sites/default/files/2023-06/Policy_Brief_India%27s_Booming_Gig_and_Platform_Economy_27062022.pdf","author":[{"family":"NITI Aayog. (2022).","given":""}],"accessed":{"date-parts":[["2025",6,25]]},"issued":{"date-parts":[["2022",6]]}}}],"schema":"https://github.com/citation-style-language/schema/raw/master/csl-citation.json"} </w:instrText>
      </w:r>
      <w:r>
        <w:fldChar w:fldCharType="separate"/>
      </w:r>
      <w:r w:rsidRPr="004361ED">
        <w:rPr>
          <w:rFonts w:ascii="Calibri" w:hAnsi="Calibri" w:cs="Calibri"/>
          <w:szCs w:val="24"/>
        </w:rPr>
        <w:t xml:space="preserve">NITI Aayog. (2022)., </w:t>
      </w:r>
      <w:r w:rsidRPr="004361ED">
        <w:rPr>
          <w:rFonts w:ascii="Calibri" w:hAnsi="Calibri" w:cs="Calibri"/>
          <w:i/>
          <w:iCs/>
          <w:szCs w:val="24"/>
        </w:rPr>
        <w:t>India’s Booming Gig and Platform Economy: Perspectives and Recommendations on the Future of Work.</w:t>
      </w:r>
      <w:r w:rsidRPr="004361ED">
        <w:rPr>
          <w:rFonts w:ascii="Calibri" w:hAnsi="Calibri" w:cs="Calibri"/>
          <w:szCs w:val="24"/>
        </w:rPr>
        <w:t>, (Jun. 2022), https://www.niti.gov.in/sites/default/files/2023-06/Policy_Brief_India%27s_Booming_Gig_and_Platform_Economy_27062022.pdf.</w:t>
      </w:r>
      <w:r>
        <w:fldChar w:fldCharType="end"/>
      </w:r>
    </w:p>
  </w:footnote>
  <w:footnote w:id="2">
    <w:p w:rsidR="00F85FFE" w:rsidRDefault="00F85FFE">
      <w:pPr>
        <w:pStyle w:val="FootnoteText"/>
      </w:pPr>
      <w:r>
        <w:rPr>
          <w:rStyle w:val="FootnoteReference"/>
        </w:rPr>
        <w:footnoteRef/>
      </w:r>
      <w:r>
        <w:t xml:space="preserve"> </w:t>
      </w:r>
      <w:r>
        <w:fldChar w:fldCharType="begin"/>
      </w:r>
      <w:r w:rsidR="004361ED">
        <w:instrText xml:space="preserve"> ADDIN ZOTERO_ITEM CSL_CITATION {"citationID":"KzgHbfRW","properties":{"formattedCitation":"Sabah Gurmat, {\\i{}How India\\uc0\\u8217{}s Gig Worker Unions Are Fighting for Change}, {\\scaps Non Profit News | Nonprofit Quarterly} (Nov. 20, 2024), https://nonprofitquarterly.org/how-indias-gig-worker-unions-are-fighting-for-change/.","plainCitation":"Sabah Gurmat, How India’s Gig Worker Unions Are Fighting for Change, Non Profit News | Nonprofit Quarterly (Nov. 20, 2024), https://nonprofitquarterly.org/how-indias-gig-worker-unions-are-fighting-for-change/.","noteIndex":2},"citationItems":[{"id":276,"uris":["http://zotero.org/users/16448937/items/VJNHCW7S"],"itemData":{"id":276,"type":"post-weblog","abstract":"The gig economy is growing rapidly in India. Currently, most gig workers lack labor protections, but that is changing as unions in the sector gain ground.","container-title":"Non Profit News | Nonprofit Quarterly","language":"en-US","title":"How India’s Gig Worker Unions Are Fighting for Change","URL":"https://nonprofitquarterly.org/how-indias-gig-worker-unions-are-fighting-for-change/","author":[{"family":"Gurmat","given":"Sabah"}],"accessed":{"date-parts":[["2025",6,25]]},"issued":{"date-parts":[["2024",11,20]]}}}],"schema":"https://github.com/citation-style-language/schema/raw/master/csl-citation.json"} </w:instrText>
      </w:r>
      <w:r>
        <w:fldChar w:fldCharType="separate"/>
      </w:r>
      <w:r w:rsidR="004361ED" w:rsidRPr="004361ED">
        <w:rPr>
          <w:rFonts w:ascii="Calibri" w:hAnsi="Calibri" w:cs="Calibri"/>
          <w:szCs w:val="24"/>
        </w:rPr>
        <w:t xml:space="preserve">Sabah Gurmat, </w:t>
      </w:r>
      <w:r w:rsidR="004361ED" w:rsidRPr="004361ED">
        <w:rPr>
          <w:rFonts w:ascii="Calibri" w:hAnsi="Calibri" w:cs="Calibri"/>
          <w:i/>
          <w:iCs/>
          <w:szCs w:val="24"/>
        </w:rPr>
        <w:t>How India’s Gig Worker Unions Are Fighting for Change</w:t>
      </w:r>
      <w:r w:rsidR="004361ED" w:rsidRPr="004361ED">
        <w:rPr>
          <w:rFonts w:ascii="Calibri" w:hAnsi="Calibri" w:cs="Calibri"/>
          <w:szCs w:val="24"/>
        </w:rPr>
        <w:t xml:space="preserve">, </w:t>
      </w:r>
      <w:r w:rsidR="004361ED" w:rsidRPr="004361ED">
        <w:rPr>
          <w:rFonts w:ascii="Calibri" w:hAnsi="Calibri" w:cs="Calibri"/>
          <w:smallCaps/>
          <w:szCs w:val="24"/>
        </w:rPr>
        <w:t>Non Profit News | Nonprofit Quarterly</w:t>
      </w:r>
      <w:r w:rsidR="004361ED" w:rsidRPr="004361ED">
        <w:rPr>
          <w:rFonts w:ascii="Calibri" w:hAnsi="Calibri" w:cs="Calibri"/>
          <w:szCs w:val="24"/>
        </w:rPr>
        <w:t xml:space="preserve"> (Nov. 20, 2024), https://nonprofitquarterly.org/how-indias-gig-worker-unions-are-fighting-for-change/.</w:t>
      </w:r>
      <w:r>
        <w:fldChar w:fldCharType="end"/>
      </w:r>
    </w:p>
  </w:footnote>
  <w:footnote w:id="3">
    <w:p w:rsidR="004361ED" w:rsidRDefault="004361ED">
      <w:pPr>
        <w:pStyle w:val="FootnoteText"/>
      </w:pPr>
      <w:r>
        <w:rPr>
          <w:rStyle w:val="FootnoteReference"/>
        </w:rPr>
        <w:footnoteRef/>
      </w:r>
      <w:r>
        <w:t xml:space="preserve"> </w:t>
      </w:r>
      <w:r>
        <w:fldChar w:fldCharType="begin"/>
      </w:r>
      <w:r>
        <w:instrText xml:space="preserve"> ADDIN ZOTERO_ITEM CSL_CITATION {"citationID":"TrFC4zQG","properties":{"formattedCitation":"{\\i{}Code on Wages, 2019}, {\\scaps An Act to amend and consolidate the laws relating to wages and bonus and matters connected therewith or incidental thereto.} (2019), http://indiacode.nic.in/handle/123456789/15793.","plainCitation":"Code on Wages, 2019, An Act to amend and consolidate the laws relating to wages and bonus and matters connected therewith or incidental thereto. (2019), http://indiacode.nic.in/handle/123456789/15793.","noteIndex":3},"citationItems":[{"id":280,"uris":["http://zotero.org/users/16448937/items/Z385MFWL"],"itemData":{"id":280,"type":"article-journal","abstract":"1.18th December, 2020,--Sub-section (1), (2), (3), (10) and (11) of section 42 (to the extent relate to the central Advisory Board)","journalAbbreviation":"An Act to amend and consolidate the laws relating to wages and bonus and matters connected therewith or incidental thereto.","note":"Accepted: 2020-12-24T07:14:38Z","source":"www.indiacode.nic.in","title":"Code on Wages, 2019","URL":"http://indiacode.nic.in/handle/123456789/15793","accessed":{"date-parts":[["2025",6,25]]},"issued":{"date-parts":[["2019",8,8]]}}}],"schema":"https://github.com/citation-style-language/schema/raw/master/csl-citation.json"} </w:instrText>
      </w:r>
      <w:r>
        <w:fldChar w:fldCharType="separate"/>
      </w:r>
      <w:r w:rsidRPr="004361ED">
        <w:rPr>
          <w:rFonts w:ascii="Calibri" w:hAnsi="Calibri" w:cs="Calibri"/>
          <w:i/>
          <w:iCs/>
          <w:szCs w:val="24"/>
        </w:rPr>
        <w:t>Code on Wages, 2019</w:t>
      </w:r>
      <w:r w:rsidRPr="004361ED">
        <w:rPr>
          <w:rFonts w:ascii="Calibri" w:hAnsi="Calibri" w:cs="Calibri"/>
          <w:szCs w:val="24"/>
        </w:rPr>
        <w:t xml:space="preserve">, </w:t>
      </w:r>
      <w:r w:rsidRPr="004361ED">
        <w:rPr>
          <w:rFonts w:ascii="Calibri" w:hAnsi="Calibri" w:cs="Calibri"/>
          <w:smallCaps/>
          <w:szCs w:val="24"/>
        </w:rPr>
        <w:t>An Act to amend and consolidate the laws relating to wages and bonus and matters connected therewith or incidental thereto.</w:t>
      </w:r>
      <w:r w:rsidRPr="004361ED">
        <w:rPr>
          <w:rFonts w:ascii="Calibri" w:hAnsi="Calibri" w:cs="Calibri"/>
          <w:szCs w:val="24"/>
        </w:rPr>
        <w:t xml:space="preserve"> (2019), http://indiacode.nic.in/handle/123456789/15793.</w:t>
      </w:r>
      <w:r>
        <w:fldChar w:fldCharType="end"/>
      </w:r>
    </w:p>
  </w:footnote>
  <w:footnote w:id="4">
    <w:p w:rsidR="004361ED" w:rsidRDefault="004361ED">
      <w:pPr>
        <w:pStyle w:val="FootnoteText"/>
      </w:pPr>
      <w:r>
        <w:rPr>
          <w:rStyle w:val="FootnoteReference"/>
        </w:rPr>
        <w:footnoteRef/>
      </w:r>
      <w:r>
        <w:t xml:space="preserve"> </w:t>
      </w:r>
      <w:r>
        <w:fldChar w:fldCharType="begin"/>
      </w:r>
      <w:r>
        <w:instrText xml:space="preserve"> ADDIN ZOTERO_ITEM CSL_CITATION {"citationID":"Ya6IhKXg","properties":{"formattedCitation":"{\\i{}The Plight of Gig Workers in India}, {\\scaps The Wire}, https://thewire.in/labour/the-plight-of-gig-workers-in-india (last visited Jun. 25, 2025).","plainCitation":"The Plight of Gig Workers in India, The Wire, https://thewire.in/labour/the-plight-of-gig-workers-in-india (last visited Jun. 25, 2025).","noteIndex":4},"citationItems":[{"id":282,"uris":["http://zotero.org/users/16448937/items/6C49VKPU"],"itemData":{"id":282,"type":"webpage","abstract":"“There have been times when clients made me feel unsafe, but when I complained, the app just told me to block them. There is no proper mechanism for reporting harassment.","container-title":"The Wire","language":"en","note":"section: Labour","title":"The Plight of Gig Workers in India","URL":"https://thewire.in/labour/the-plight-of-gig-workers-in-india","accessed":{"date-parts":[["2025",6,25]]}}}],"schema":"https://github.com/citation-style-language/schema/raw/master/csl-citation.json"} </w:instrText>
      </w:r>
      <w:r>
        <w:fldChar w:fldCharType="separate"/>
      </w:r>
      <w:r w:rsidRPr="004361ED">
        <w:rPr>
          <w:rFonts w:ascii="Calibri" w:hAnsi="Calibri" w:cs="Calibri"/>
          <w:i/>
          <w:iCs/>
          <w:szCs w:val="24"/>
        </w:rPr>
        <w:t>The Plight of Gig Workers in India</w:t>
      </w:r>
      <w:r w:rsidRPr="004361ED">
        <w:rPr>
          <w:rFonts w:ascii="Calibri" w:hAnsi="Calibri" w:cs="Calibri"/>
          <w:szCs w:val="24"/>
        </w:rPr>
        <w:t xml:space="preserve">, </w:t>
      </w:r>
      <w:r w:rsidRPr="004361ED">
        <w:rPr>
          <w:rFonts w:ascii="Calibri" w:hAnsi="Calibri" w:cs="Calibri"/>
          <w:smallCaps/>
          <w:szCs w:val="24"/>
        </w:rPr>
        <w:t>The Wire</w:t>
      </w:r>
      <w:r w:rsidRPr="004361ED">
        <w:rPr>
          <w:rFonts w:ascii="Calibri" w:hAnsi="Calibri" w:cs="Calibri"/>
          <w:szCs w:val="24"/>
        </w:rPr>
        <w:t>, https://thewire.in/labour/the-plight-of-gig-workers-in-india (last visited Jun. 25, 2025).</w:t>
      </w:r>
      <w:r>
        <w:fldChar w:fldCharType="end"/>
      </w:r>
    </w:p>
  </w:footnote>
  <w:footnote w:id="5">
    <w:p w:rsidR="004361ED" w:rsidRDefault="004361ED">
      <w:pPr>
        <w:pStyle w:val="FootnoteText"/>
      </w:pPr>
      <w:r>
        <w:rPr>
          <w:rStyle w:val="FootnoteReference"/>
        </w:rPr>
        <w:footnoteRef/>
      </w:r>
      <w:r>
        <w:t xml:space="preserve"> </w:t>
      </w:r>
      <w:r>
        <w:fldChar w:fldCharType="begin"/>
      </w:r>
      <w:r>
        <w:instrText xml:space="preserve"> ADDIN ZOTERO_ITEM CSL_CITATION {"citationID":"RlYJz9Eh","properties":{"formattedCitation":"{\\i{}India Code: Section 2 of The Code on Social Security, 2020}, https://www.indiacode.nic.in/show-data?abv=CEN&amp;statehandle=123456789/1362&amp;actid=AC_CEN_6_0_00036_202036_1623221080799&amp;sectionId=54026&amp;sectionno=2&amp;orderno=2&amp;orgactid=AC_CEN_6_0_00036_202036_1623221080799 (last visited Jun. 25, 2025).","plainCitation":"India Code: Section 2 of The Code on Social Security, 2020, https://www.indiacode.nic.in/show-data?abv=CEN&amp;statehandle=123456789/1362&amp;actid=AC_CEN_6_0_00036_202036_1623221080799&amp;sectionId=54026&amp;sectionno=2&amp;orderno=2&amp;orgactid=AC_CEN_6_0_00036_202036_1623221080799 (last visited Jun. 25, 2025).","noteIndex":5},"citationItems":[{"id":284,"uris":["http://zotero.org/users/16448937/items/NC4T9Y6E"],"itemData":{"id":284,"type":"webpage","title":"India Code: Section 2 of The Code on Social Security, 2020","URL":"https://www.indiacode.nic.in/show-data?abv=CEN&amp;statehandle=123456789/1362&amp;actid=AC_CEN_6_0_00036_202036_1623221080799&amp;sectionId=54026&amp;sectionno=2&amp;orderno=2&amp;orgactid=AC_CEN_6_0_00036_202036_1623221080799","accessed":{"date-parts":[["2025",6,25]]}}}],"schema":"https://github.com/citation-style-language/schema/raw/master/csl-citation.json"} </w:instrText>
      </w:r>
      <w:r>
        <w:fldChar w:fldCharType="separate"/>
      </w:r>
      <w:r w:rsidRPr="004361ED">
        <w:rPr>
          <w:rFonts w:ascii="Calibri" w:hAnsi="Calibri" w:cs="Calibri"/>
          <w:i/>
          <w:iCs/>
          <w:szCs w:val="24"/>
        </w:rPr>
        <w:t>India Code: Section 2 of The Code on Social Security, 2020</w:t>
      </w:r>
      <w:r w:rsidRPr="004361ED">
        <w:rPr>
          <w:rFonts w:ascii="Calibri" w:hAnsi="Calibri" w:cs="Calibri"/>
          <w:szCs w:val="24"/>
        </w:rPr>
        <w:t>, https://www.indiacode.nic.in/show-data?abv=CEN&amp;statehandle=123456789/1362&amp;actid=AC_CEN_6_0_00036_202036_1623221080799&amp;sectionId=54026&amp;sectionno=2&amp;orderno=2&amp;orgactid=AC_CEN_6_0_00036_202036_1623221080799 (last visited Jun. 25, 2025).</w:t>
      </w:r>
      <w:r>
        <w:fldChar w:fldCharType="end"/>
      </w:r>
    </w:p>
  </w:footnote>
  <w:footnote w:id="6">
    <w:p w:rsidR="004361ED" w:rsidRDefault="004361ED">
      <w:pPr>
        <w:pStyle w:val="FootnoteText"/>
      </w:pPr>
      <w:r>
        <w:rPr>
          <w:rStyle w:val="FootnoteReference"/>
        </w:rPr>
        <w:footnoteRef/>
      </w:r>
      <w:r>
        <w:t xml:space="preserve"> </w:t>
      </w:r>
      <w:r>
        <w:fldChar w:fldCharType="begin"/>
      </w:r>
      <w:r>
        <w:instrText xml:space="preserve"> ADDIN ZOTERO_ITEM CSL_CITATION {"citationID":"c5TKp3Bg","properties":{"formattedCitation":"{\\i{}Id.}","plainCitation":"Id.","noteIndex":6},"citationItems":[{"id":284,"uris":["http://zotero.org/users/16448937/items/NC4T9Y6E"],"itemData":{"id":284,"type":"webpage","title":"India Code: Section 2 of The Code on Social Security, 2020","URL":"https://www.indiacode.nic.in/show-data?abv=CEN&amp;statehandle=123456789/1362&amp;actid=AC_CEN_6_0_00036_202036_1623221080799&amp;sectionId=54026&amp;sectionno=2&amp;orderno=2&amp;orgactid=AC_CEN_6_0_00036_202036_1623221080799","accessed":{"date-parts":[["2025",6,25]]}}}],"schema":"https://github.com/citation-style-language/schema/raw/master/csl-citation.json"} </w:instrText>
      </w:r>
      <w:r>
        <w:fldChar w:fldCharType="separate"/>
      </w:r>
      <w:r w:rsidRPr="004361ED">
        <w:rPr>
          <w:rFonts w:ascii="Calibri" w:hAnsi="Calibri" w:cs="Calibri"/>
          <w:i/>
          <w:iCs/>
          <w:szCs w:val="24"/>
        </w:rPr>
        <w:t>Id.</w:t>
      </w:r>
      <w:r>
        <w:fldChar w:fldCharType="end"/>
      </w:r>
    </w:p>
  </w:footnote>
  <w:footnote w:id="7">
    <w:p w:rsidR="00D45B90" w:rsidRDefault="00D45B90">
      <w:pPr>
        <w:pStyle w:val="FootnoteText"/>
      </w:pPr>
      <w:r>
        <w:rPr>
          <w:rStyle w:val="FootnoteReference"/>
        </w:rPr>
        <w:footnoteRef/>
      </w:r>
      <w:r>
        <w:t xml:space="preserve"> </w:t>
      </w:r>
      <w:r>
        <w:fldChar w:fldCharType="begin"/>
      </w:r>
      <w:r>
        <w:instrText xml:space="preserve"> ADDIN ZOTERO_ITEM CSL_CITATION {"citationID":"ZDrgykzI","properties":{"formattedCitation":"{\\i{}India Code: Section 113 of The Code on Social Security, 2020}, https://www.indiacode.nic.in/show-data?abv=CEN&amp;statehandle=123456789/1362&amp;actid=AC_CEN_6_0_00036_202036_1623221080799&amp;sectionId=54137&amp;sectionno=113&amp;orderno=113&amp;orgactid=AC_CEN_6_0_00036_202036_1623221080799 (last visited Jun. 25, 2025).","plainCitation":"India Code: Section 113 of The Code on Social Security, 2020, https://www.indiacode.nic.in/show-data?abv=CEN&amp;statehandle=123456789/1362&amp;actid=AC_CEN_6_0_00036_202036_1623221080799&amp;sectionId=54137&amp;sectionno=113&amp;orderno=113&amp;orgactid=AC_CEN_6_0_00036_202036_1623221080799 (last visited Jun. 25, 2025).","noteIndex":7},"citationItems":[{"id":286,"uris":["http://zotero.org/users/16448937/items/NM9ZFIPI"],"itemData":{"id":286,"type":"webpage","title":"India Code: Section 113 of The Code on Social Security, 2020","URL":"https://www.indiacode.nic.in/show-data?abv=CEN&amp;statehandle=123456789/1362&amp;actid=AC_CEN_6_0_00036_202036_1623221080799&amp;sectionId=54137&amp;sectionno=113&amp;orderno=113&amp;orgactid=AC_CEN_6_0_00036_202036_1623221080799","accessed":{"date-parts":[["2025",6,25]]}}}],"schema":"https://github.com/citation-style-language/schema/raw/master/csl-citation.json"} </w:instrText>
      </w:r>
      <w:r>
        <w:fldChar w:fldCharType="separate"/>
      </w:r>
      <w:r w:rsidRPr="00D45B90">
        <w:rPr>
          <w:rFonts w:ascii="Calibri" w:hAnsi="Calibri" w:cs="Calibri"/>
          <w:i/>
          <w:iCs/>
          <w:szCs w:val="24"/>
        </w:rPr>
        <w:t>India Code: Section 113 of The Code on Social Security, 2020</w:t>
      </w:r>
      <w:r w:rsidRPr="00D45B90">
        <w:rPr>
          <w:rFonts w:ascii="Calibri" w:hAnsi="Calibri" w:cs="Calibri"/>
          <w:szCs w:val="24"/>
        </w:rPr>
        <w:t>, https://www.indiacode.nic.in/show-data?abv=CEN&amp;statehandle=123456789/1362&amp;actid=AC_CEN_6_0_00036_202036_1623221080799&amp;sectionId=54137&amp;sectionno=113&amp;orderno=113&amp;orgactid=AC_CEN_6_0_00036_202036_1623221080799 (last visited Jun. 25, 2025).</w:t>
      </w:r>
      <w:r>
        <w:fldChar w:fldCharType="end"/>
      </w:r>
    </w:p>
  </w:footnote>
  <w:footnote w:id="8">
    <w:p w:rsidR="00D45B90" w:rsidRDefault="00D45B90">
      <w:pPr>
        <w:pStyle w:val="FootnoteText"/>
      </w:pPr>
      <w:r>
        <w:rPr>
          <w:rStyle w:val="FootnoteReference"/>
        </w:rPr>
        <w:footnoteRef/>
      </w:r>
      <w:r>
        <w:t xml:space="preserve"> </w:t>
      </w:r>
      <w:r>
        <w:fldChar w:fldCharType="begin"/>
      </w:r>
      <w:r>
        <w:instrText xml:space="preserve"> ADDIN ZOTERO_ITEM CSL_CITATION {"citationID":"YEZRBS4G","properties":{"formattedCitation":"{\\i{}India Code: Section 114 of The Code on Social Security, 2020}, https://www.indiacode.nic.in/show-data?abv=CEN&amp;statehandle=123456789/1362&amp;actid=AC_CEN_6_0_00036_202036_1623221080799&amp;orderno=114&amp;orgactid=AC_CEN_6_0_00036_202036_1623221080799 (last visited Jun. 25, 2025).","plainCitation":"India Code: Section 114 of The Code on Social Security, 2020, https://www.indiacode.nic.in/show-data?abv=CEN&amp;statehandle=123456789/1362&amp;actid=AC_CEN_6_0_00036_202036_1623221080799&amp;orderno=114&amp;orgactid=AC_CEN_6_0_00036_202036_1623221080799 (last visited Jun. 25, 2025).","noteIndex":8},"citationItems":[{"id":288,"uris":["http://zotero.org/users/16448937/items/WFGBH8M8"],"itemData":{"id":288,"type":"webpage","title":"India Code: Section 114 of The Code on Social Security, 2020","URL":"https://www.indiacode.nic.in/show-data?abv=CEN&amp;statehandle=123456789/1362&amp;actid=AC_CEN_6_0_00036_202036_1623221080799&amp;orderno=114&amp;orgactid=AC_CEN_6_0_00036_202036_1623221080799","accessed":{"date-parts":[["2025",6,25]]}}}],"schema":"https://github.com/citation-style-language/schema/raw/master/csl-citation.json"} </w:instrText>
      </w:r>
      <w:r>
        <w:fldChar w:fldCharType="separate"/>
      </w:r>
      <w:r w:rsidRPr="00D45B90">
        <w:rPr>
          <w:rFonts w:ascii="Calibri" w:hAnsi="Calibri" w:cs="Calibri"/>
          <w:i/>
          <w:iCs/>
          <w:szCs w:val="24"/>
        </w:rPr>
        <w:t>India Code: Section 114 of The Code on Social Security, 2020</w:t>
      </w:r>
      <w:r w:rsidRPr="00D45B90">
        <w:rPr>
          <w:rFonts w:ascii="Calibri" w:hAnsi="Calibri" w:cs="Calibri"/>
          <w:szCs w:val="24"/>
        </w:rPr>
        <w:t>, https://www.indiacode.nic.in/show-data?abv=CEN&amp;statehandle=123456789/1362&amp;actid=AC_CEN_6_0_00036_202036_1623221080799&amp;orderno=114&amp;orgactid=AC_CEN_6_0_00036_202036_1623221080799 (last visited Jun. 25, 2025).</w:t>
      </w:r>
      <w:r>
        <w:fldChar w:fldCharType="end"/>
      </w:r>
    </w:p>
  </w:footnote>
  <w:footnote w:id="9">
    <w:p w:rsidR="001F386C" w:rsidRDefault="001F386C">
      <w:pPr>
        <w:pStyle w:val="FootnoteText"/>
      </w:pPr>
      <w:r>
        <w:rPr>
          <w:rStyle w:val="FootnoteReference"/>
        </w:rPr>
        <w:footnoteRef/>
      </w:r>
      <w:r>
        <w:t xml:space="preserve"> </w:t>
      </w:r>
      <w:r>
        <w:fldChar w:fldCharType="begin"/>
      </w:r>
      <w:r>
        <w:instrText xml:space="preserve"> ADDIN ZOTERO_ITEM CSL_CITATION {"citationID":"4dTRbsbN","properties":{"formattedCitation":"M P Ram Mohan, {\\i{}Tests to Determine Employer-Employee Relationships in India: Looking towards the Future?}","plainCitation":"M P Ram Mohan, Tests to Determine Employer-Employee Relationships in India: Looking towards the Future?","noteIndex":9},"citationItems":[{"id":271,"uris":["http://zotero.org/users/16448937/items/SQ6LVW96"],"itemData":{"id":271,"type":"article-journal","abstract":"The underpinning of an employee’s social security benefits is an employer-employee relationship. Workers are traditionally classified as employees (contract of service) or independent contractors (contract for service). Over the years, Indian courts relied on the control, integration and multifactor tests to determine the correct nature of employment contracts. The paper explores the evolution of these tests and examines whether the standards of the burden of proof in classification disputes require modification. The authors then dissect the efficacy of the current multifactor tests in emerging platforms and gig economies by looking at standard form contracts signed by a popular food delivery platform in India. Finally, the ability of newly enacted labour codes, particularly the Code on Social Security 2020, to address the classification conundrum and its consistency with precedents is explored.","language":"en","source":"Zotero","title":"Tests to Determine Employer-Employee Relationships in India: Looking towards the Future?","author":[{"family":"Mohan","given":"M P Ram"}]}}],"schema":"https://github.com/citation-style-language/schema/raw/master/csl-citation.json"} </w:instrText>
      </w:r>
      <w:r>
        <w:fldChar w:fldCharType="separate"/>
      </w:r>
      <w:r w:rsidRPr="001F386C">
        <w:rPr>
          <w:rFonts w:ascii="Calibri" w:hAnsi="Calibri" w:cs="Calibri"/>
          <w:szCs w:val="24"/>
        </w:rPr>
        <w:t xml:space="preserve">M P Ram Mohan, </w:t>
      </w:r>
      <w:r w:rsidRPr="001F386C">
        <w:rPr>
          <w:rFonts w:ascii="Calibri" w:hAnsi="Calibri" w:cs="Calibri"/>
          <w:i/>
          <w:iCs/>
          <w:szCs w:val="24"/>
        </w:rPr>
        <w:t>Tests to Determine Employer-Employee Relationships in India: Looking towards the Future?</w:t>
      </w:r>
      <w:r>
        <w:fldChar w:fldCharType="end"/>
      </w:r>
    </w:p>
  </w:footnote>
  <w:footnote w:id="10">
    <w:p w:rsidR="001F386C" w:rsidRDefault="001F386C">
      <w:pPr>
        <w:pStyle w:val="FootnoteText"/>
      </w:pPr>
      <w:r>
        <w:rPr>
          <w:rStyle w:val="FootnoteReference"/>
        </w:rPr>
        <w:footnoteRef/>
      </w:r>
      <w:r>
        <w:t xml:space="preserve"> </w:t>
      </w:r>
      <w:r>
        <w:fldChar w:fldCharType="begin"/>
      </w:r>
      <w:r>
        <w:instrText xml:space="preserve"> ADDIN ZOTERO_ITEM CSL_CITATION {"citationID":"cZSJrj7z","properties":{"formattedCitation":"Anuj Kumar &amp; Shivam Shani, {\\i{}GIG WORKERS IN INDIA: BRIDGING LEGAL GAPS AND ENSURING SUSTAINABILITY}.","plainCitation":"Anuj Kumar &amp; Shivam Shani, GIG WORKERS IN INDIA: BRIDGING LEGAL GAPS AND ENSURING SUSTAINABILITY.","noteIndex":10},"citationItems":[{"id":299,"uris":["http://zotero.org/users/16448937/items/E2SU3WDJ","http://zotero.org/users/16448937/items/GZARNHRF"],"itemData":{"id":299,"type":"article-journal","abstract":"India is the fifth largest gig economy in the world and is bound to be the third by 2030. Moreover, the Gig economy is going to lead economic growth and reduce unemployment. With the rise of platform-based employment, gig workers have become an essential part of India’s labour market. However, they continue to face issues such as job insecurity, lack of social protection, and inadequate legal safeguards. This paper examines the current status and gaps in India’s existing labour laws, highlighting the absence of comprehensive legislation. It also examines the court interpretation on various issues related to gig workers and the difficulty of classifying gig workers as employees through direction and control test. Moreover, a nuanced and balanced approach has been taken keeping the aggregator platforms in mind, to devise a solution.","language":"en","source":"Zotero","title":"GIG WORKERS IN INDIA: BRIDGING LEGAL GAPS AND ENSURING SUSTAINABILITY","author":[{"family":"Kumar","given":"Anuj"},{"family":"Shani","given":"Shivam"}]}}],"schema":"https://github.com/citation-style-language/schema/raw/master/csl-citation.json"} </w:instrText>
      </w:r>
      <w:r>
        <w:fldChar w:fldCharType="separate"/>
      </w:r>
      <w:r w:rsidRPr="001F386C">
        <w:rPr>
          <w:rFonts w:ascii="Calibri" w:hAnsi="Calibri" w:cs="Calibri"/>
          <w:szCs w:val="24"/>
        </w:rPr>
        <w:t xml:space="preserve">Anuj Kumar &amp; Shivam Shani, </w:t>
      </w:r>
      <w:r w:rsidRPr="001F386C">
        <w:rPr>
          <w:rFonts w:ascii="Calibri" w:hAnsi="Calibri" w:cs="Calibri"/>
          <w:i/>
          <w:iCs/>
          <w:szCs w:val="24"/>
        </w:rPr>
        <w:t>GIG WORKERS IN INDIA: BRIDGING LEGAL GAPS AND ENSURING SUSTAINABILITY</w:t>
      </w:r>
      <w:r w:rsidRPr="001F386C">
        <w:rPr>
          <w:rFonts w:ascii="Calibri" w:hAnsi="Calibri" w:cs="Calibri"/>
          <w:szCs w:val="24"/>
        </w:rPr>
        <w:t>.</w:t>
      </w:r>
      <w:r>
        <w:fldChar w:fldCharType="end"/>
      </w:r>
    </w:p>
  </w:footnote>
  <w:footnote w:id="11">
    <w:p w:rsidR="001F386C" w:rsidRDefault="001F386C">
      <w:pPr>
        <w:pStyle w:val="FootnoteText"/>
      </w:pPr>
      <w:r>
        <w:rPr>
          <w:rStyle w:val="FootnoteReference"/>
        </w:rPr>
        <w:footnoteRef/>
      </w:r>
      <w:r>
        <w:t xml:space="preserve"> </w:t>
      </w:r>
      <w:r>
        <w:fldChar w:fldCharType="begin"/>
      </w:r>
      <w:r>
        <w:instrText xml:space="preserve"> ADDIN ZOTERO_ITEM CSL_CITATION {"citationID":"hygcrAT9","properties":{"formattedCitation":"{\\i{}Id.}","plainCitation":"Id.","noteIndex":11},"citationItems":[{"id":299,"uris":["http://zotero.org/users/16448937/items/E2SU3WDJ","http://zotero.org/users/16448937/items/GZARNHRF"],"itemData":{"id":299,"type":"article-journal","abstract":"India is the fifth largest gig economy in the world and is bound to be the third by 2030. Moreover, the Gig economy is going to lead economic growth and reduce unemployment. With the rise of platform-based employment, gig workers have become an essential part of India’s labour market. However, they continue to face issues such as job insecurity, lack of social protection, and inadequate legal safeguards. This paper examines the current status and gaps in India’s existing labour laws, highlighting the absence of comprehensive legislation. It also examines the court interpretation on various issues related to gig workers and the difficulty of classifying gig workers as employees through direction and control test. Moreover, a nuanced and balanced approach has been taken keeping the aggregator platforms in mind, to devise a solution.","language":"en","source":"Zotero","title":"GIG WORKERS IN INDIA: BRIDGING LEGAL GAPS AND ENSURING SUSTAINABILITY","author":[{"family":"Kumar","given":"Anuj"},{"family":"Shani","given":"Shivam"}]}}],"schema":"https://github.com/citation-style-language/schema/raw/master/csl-citation.json"} </w:instrText>
      </w:r>
      <w:r>
        <w:fldChar w:fldCharType="separate"/>
      </w:r>
      <w:r w:rsidRPr="001F386C">
        <w:rPr>
          <w:rFonts w:ascii="Calibri" w:hAnsi="Calibri" w:cs="Calibri"/>
          <w:i/>
          <w:iCs/>
          <w:szCs w:val="24"/>
        </w:rPr>
        <w:t>Id.</w:t>
      </w:r>
      <w:r>
        <w:fldChar w:fldCharType="end"/>
      </w:r>
    </w:p>
  </w:footnote>
  <w:footnote w:id="12">
    <w:p w:rsidR="00957E5E" w:rsidRDefault="00957E5E" w:rsidP="00957E5E">
      <w:pPr>
        <w:pStyle w:val="FootnoteText"/>
      </w:pPr>
      <w:r>
        <w:rPr>
          <w:rStyle w:val="FootnoteReference"/>
        </w:rPr>
        <w:footnoteRef/>
      </w:r>
      <w:r>
        <w:t xml:space="preserve"> </w:t>
      </w:r>
      <w:r>
        <w:fldChar w:fldCharType="begin"/>
      </w:r>
      <w:r w:rsidR="004361ED">
        <w:instrText xml:space="preserve"> ADDIN ZOTERO_ITEM CSL_CITATION {"citationID":"Afy9VaYK","properties":{"formattedCitation":"{\\i{}Runnr.in/Delivery-Partner-Tandc.Html#:~:text=RELATIONSHIP OF THE PARTIES,under Any Statutes / Local Laws.}, https://www.runnr.in/delivery-partner-tandc.html (last visited Jun. 16, 2025).","plainCitation":"Runnr.in/Delivery-Partner-Tandc.Html#:~:text=RELATIONSHIP OF THE PARTIES,under Any Statutes / Local Laws., https://www.runnr.in/delivery-partner-tandc.html (last visited Jun. 16, 2025).","noteIndex":6},"citationItems":[{"id":266,"uris":["http://zotero.org/users/16448937/items/LE2SW8G7"],"itemData":{"id":266,"type":"webpage","title":"runnr.in/delivery-partner-tandc.html#:~:text=RELATIONSHIP OF THE PARTIES,under any statutes / local laws.","URL":"https://www.runnr.in/delivery-partner-tandc.html","accessed":{"date-parts":[["2025",6,16]]}}}],"schema":"https://github.com/citation-style-language/schema/raw/master/csl-citation.json"} </w:instrText>
      </w:r>
      <w:r>
        <w:fldChar w:fldCharType="separate"/>
      </w:r>
      <w:r w:rsidR="004361ED" w:rsidRPr="004361ED">
        <w:rPr>
          <w:rFonts w:ascii="Calibri" w:hAnsi="Calibri" w:cs="Calibri"/>
          <w:i/>
          <w:iCs/>
          <w:szCs w:val="24"/>
        </w:rPr>
        <w:t>Runnr.in/Delivery-Partner-Tandc.Html#:~:text=RELATIONSHIP OF THE PARTIES,under Any Statutes / Local Laws.</w:t>
      </w:r>
      <w:r w:rsidR="004361ED" w:rsidRPr="004361ED">
        <w:rPr>
          <w:rFonts w:ascii="Calibri" w:hAnsi="Calibri" w:cs="Calibri"/>
          <w:szCs w:val="24"/>
        </w:rPr>
        <w:t>, https://www.runnr.in/delivery-partner-tandc.html (last visited Jun. 16, 2025).</w:t>
      </w:r>
      <w:r>
        <w:fldChar w:fldCharType="end"/>
      </w:r>
    </w:p>
  </w:footnote>
  <w:footnote w:id="13">
    <w:p w:rsidR="007745B6" w:rsidRDefault="007745B6" w:rsidP="007745B6">
      <w:pPr>
        <w:pStyle w:val="FootnoteText"/>
      </w:pPr>
      <w:r>
        <w:rPr>
          <w:rStyle w:val="FootnoteReference"/>
        </w:rPr>
        <w:footnoteRef/>
      </w:r>
      <w:r>
        <w:t xml:space="preserve"> </w:t>
      </w:r>
      <w:r>
        <w:fldChar w:fldCharType="begin"/>
      </w:r>
      <w:r w:rsidR="004361ED">
        <w:instrText xml:space="preserve"> ADDIN ZOTERO_ITEM CSL_CITATION {"citationID":"2dGmuLYO","properties":{"formattedCitation":"Iqubbal Asheef, {\\i{}FOOD DELIVERY WORKERS IN INDIA: EMERGING ENTREPRENEURS OR INFORMAL LABOUR?}, {\\scaps www.defindia.org}, https://defindia.org/wp-content/uploads/2021/04/swiggy-zomato-delivery-workers-india-entrepreneurs-labour.pdf (last visited Jun. 16, 2025).","plainCitation":"Iqubbal Asheef, FOOD DELIVERY WORKERS IN INDIA: EMERGING ENTREPRENEURS OR INFORMAL LABOUR?, www.defindia.org, https://defindia.org/wp-content/uploads/2021/04/swiggy-zomato-delivery-workers-india-entrepreneurs-labour.pdf (last visited Jun. 16, 2025).","noteIndex":7},"citationItems":[{"id":269,"uris":["http://zotero.org/users/16448937/items/6ZPS25X4"],"itemData":{"id":269,"type":"webpage","container-title":"www.defindia.org","title":"FOOD DELIVERY WORKERS IN INDIA: EMERGING ENTREPRENEURS OR INFORMAL LABOUR?","URL":"https://defindia.org/wp-content/uploads/2021/04/swiggy-zomato-delivery-workers-india-entrepreneurs-labour.pdf","author":[{"family":"Asheef","given":"Iqubbal"}],"accessed":{"date-parts":[["2025",6,16]]}}}],"schema":"https://github.com/citation-style-language/schema/raw/master/csl-citation.json"} </w:instrText>
      </w:r>
      <w:r>
        <w:fldChar w:fldCharType="separate"/>
      </w:r>
      <w:r w:rsidR="004361ED" w:rsidRPr="004361ED">
        <w:rPr>
          <w:rFonts w:ascii="Calibri" w:hAnsi="Calibri" w:cs="Calibri"/>
          <w:szCs w:val="24"/>
        </w:rPr>
        <w:t xml:space="preserve">Iqubbal Asheef, </w:t>
      </w:r>
      <w:r w:rsidR="004361ED" w:rsidRPr="004361ED">
        <w:rPr>
          <w:rFonts w:ascii="Calibri" w:hAnsi="Calibri" w:cs="Calibri"/>
          <w:i/>
          <w:iCs/>
          <w:szCs w:val="24"/>
        </w:rPr>
        <w:t>FOOD DELIVERY WORKERS IN INDIA: EMERGING ENTREPRENEURS OR INFORMAL LABOUR?</w:t>
      </w:r>
      <w:r w:rsidR="004361ED" w:rsidRPr="004361ED">
        <w:rPr>
          <w:rFonts w:ascii="Calibri" w:hAnsi="Calibri" w:cs="Calibri"/>
          <w:szCs w:val="24"/>
        </w:rPr>
        <w:t xml:space="preserve">, </w:t>
      </w:r>
      <w:r w:rsidR="004361ED" w:rsidRPr="004361ED">
        <w:rPr>
          <w:rFonts w:ascii="Calibri" w:hAnsi="Calibri" w:cs="Calibri"/>
          <w:smallCaps/>
          <w:szCs w:val="24"/>
        </w:rPr>
        <w:t>www.defindia.org</w:t>
      </w:r>
      <w:r w:rsidR="004361ED" w:rsidRPr="004361ED">
        <w:rPr>
          <w:rFonts w:ascii="Calibri" w:hAnsi="Calibri" w:cs="Calibri"/>
          <w:szCs w:val="24"/>
        </w:rPr>
        <w:t>, https://defindia.org/wp-content/uploads/2021/04/swiggy-zomato-delivery-workers-india-entrepreneurs-labour.pdf (last visited Jun. 16, 2025).</w:t>
      </w:r>
      <w:r>
        <w:fldChar w:fldCharType="end"/>
      </w:r>
    </w:p>
  </w:footnote>
  <w:footnote w:id="14">
    <w:p w:rsidR="00663414" w:rsidRDefault="00663414">
      <w:pPr>
        <w:pStyle w:val="FootnoteText"/>
      </w:pPr>
      <w:r>
        <w:rPr>
          <w:rStyle w:val="FootnoteReference"/>
        </w:rPr>
        <w:footnoteRef/>
      </w:r>
      <w:r>
        <w:t xml:space="preserve"> </w:t>
      </w:r>
      <w:r>
        <w:fldChar w:fldCharType="begin"/>
      </w:r>
      <w:r>
        <w:instrText xml:space="preserve"> ADDIN ZOTERO_ITEM CSL_CITATION {"citationID":"lSCwcpBn","properties":{"formattedCitation":"Kumar and Shani, {\\i{}supra} note 10.","plainCitation":"Kumar and Shani, supra note 10.","noteIndex":14},"citationItems":[{"id":299,"uris":["http://zotero.org/users/16448937/items/E2SU3WDJ","http://zotero.org/users/16448937/items/GZARNHRF"],"itemData":{"id":299,"type":"article-journal","abstract":"India is the fifth largest gig economy in the world and is bound to be the third by 2030. Moreover, the Gig economy is going to lead economic growth and reduce unemployment. With the rise of platform-based employment, gig workers have become an essential part of India’s labour market. However, they continue to face issues such as job insecurity, lack of social protection, and inadequate legal safeguards. This paper examines the current status and gaps in India’s existing labour laws, highlighting the absence of comprehensive legislation. It also examines the court interpretation on various issues related to gig workers and the difficulty of classifying gig workers as employees through direction and control test. Moreover, a nuanced and balanced approach has been taken keeping the aggregator platforms in mind, to devise a solution.","language":"en","source":"Zotero","title":"GIG WORKERS IN INDIA: BRIDGING LEGAL GAPS AND ENSURING SUSTAINABILITY","author":[{"family":"Kumar","given":"Anuj"},{"family":"Shani","given":"Shivam"}]}}],"schema":"https://github.com/citation-style-language/schema/raw/master/csl-citation.json"} </w:instrText>
      </w:r>
      <w:r>
        <w:fldChar w:fldCharType="separate"/>
      </w:r>
      <w:r w:rsidRPr="00663414">
        <w:rPr>
          <w:rFonts w:ascii="Calibri" w:hAnsi="Calibri" w:cs="Calibri"/>
          <w:szCs w:val="24"/>
        </w:rPr>
        <w:t xml:space="preserve">Kumar and Shani, </w:t>
      </w:r>
      <w:r w:rsidRPr="00663414">
        <w:rPr>
          <w:rFonts w:ascii="Calibri" w:hAnsi="Calibri" w:cs="Calibri"/>
          <w:i/>
          <w:iCs/>
          <w:szCs w:val="24"/>
        </w:rPr>
        <w:t>supra</w:t>
      </w:r>
      <w:r w:rsidRPr="00663414">
        <w:rPr>
          <w:rFonts w:ascii="Calibri" w:hAnsi="Calibri" w:cs="Calibri"/>
          <w:szCs w:val="24"/>
        </w:rPr>
        <w:t xml:space="preserve"> note 10.</w:t>
      </w:r>
      <w:r>
        <w:fldChar w:fldCharType="end"/>
      </w:r>
    </w:p>
  </w:footnote>
  <w:footnote w:id="15">
    <w:p w:rsidR="00663414" w:rsidRDefault="00663414" w:rsidP="00663414">
      <w:pPr>
        <w:pStyle w:val="FootnoteText"/>
      </w:pPr>
      <w:r>
        <w:rPr>
          <w:rStyle w:val="FootnoteReference"/>
        </w:rPr>
        <w:footnoteRef/>
      </w:r>
      <w:r>
        <w:t xml:space="preserve"> </w:t>
      </w:r>
      <w:r>
        <w:fldChar w:fldCharType="begin"/>
      </w:r>
      <w:r>
        <w:instrText xml:space="preserve"> ADDIN ZOTERO_ITEM CSL_CITATION {"citationID":"zc9CTDgT","properties":{"formattedCitation":"Asia Pacific Foundation of Canada, {\\i{}India\\uc0\\u8217{}s Gig Workers Strike, Push for Better Wages}, {\\scaps Asia Pacific Foundation of Canada}, https://www.asiapacific.ca/publication/indias-gig-workers-strike-push-better-wages (last visited Jun. 25, 2025).","plainCitation":"Asia Pacific Foundation of Canada, India’s Gig Workers Strike, Push for Better Wages, Asia Pacific Foundation of Canada, https://www.asiapacific.ca/publication/indias-gig-workers-strike-push-better-wages (last visited Jun. 25, 2025).","noteIndex":12},"citationItems":[{"id":294,"uris":["http://zotero.org/users/16448937/items/MDTVLKDK"],"itemData":{"id":294,"type":"webpage","abstract":"The Takeaway\n\nIndia’s food delivery market has grown rapidly since the dawn of COVID-19, but the backbone of the industry, informal, or “gig economy,”","container-title":"Asia Pacific Foundation of Canada","language":"en","title":"India’s Gig Workers Strike, Push for Better Wages","URL":"https://www.asiapacific.ca/publication/indias-gig-workers-strike-push-better-wages","author":[{"family":"Canada","given":"Asia Pacific Foundation","dropping-particle":"of"}],"accessed":{"date-parts":[["2025",6,25]]}}}],"schema":"https://github.com/citation-style-language/schema/raw/master/csl-citation.json"} </w:instrText>
      </w:r>
      <w:r>
        <w:fldChar w:fldCharType="separate"/>
      </w:r>
      <w:r w:rsidRPr="00983853">
        <w:rPr>
          <w:rFonts w:ascii="Calibri" w:hAnsi="Calibri" w:cs="Calibri"/>
          <w:szCs w:val="24"/>
        </w:rPr>
        <w:t xml:space="preserve">Asia Pacific Foundation of Canada, </w:t>
      </w:r>
      <w:r w:rsidRPr="00983853">
        <w:rPr>
          <w:rFonts w:ascii="Calibri" w:hAnsi="Calibri" w:cs="Calibri"/>
          <w:i/>
          <w:iCs/>
          <w:szCs w:val="24"/>
        </w:rPr>
        <w:t>India’s Gig Workers Strike, Push for Better Wages</w:t>
      </w:r>
      <w:r w:rsidRPr="00983853">
        <w:rPr>
          <w:rFonts w:ascii="Calibri" w:hAnsi="Calibri" w:cs="Calibri"/>
          <w:szCs w:val="24"/>
        </w:rPr>
        <w:t xml:space="preserve">, </w:t>
      </w:r>
      <w:r w:rsidRPr="00983853">
        <w:rPr>
          <w:rFonts w:ascii="Calibri" w:hAnsi="Calibri" w:cs="Calibri"/>
          <w:smallCaps/>
          <w:szCs w:val="24"/>
        </w:rPr>
        <w:t>Asia Pacific Foundation of Canada</w:t>
      </w:r>
      <w:r w:rsidRPr="00983853">
        <w:rPr>
          <w:rFonts w:ascii="Calibri" w:hAnsi="Calibri" w:cs="Calibri"/>
          <w:szCs w:val="24"/>
        </w:rPr>
        <w:t>, https://www.asiapacific.ca/publication/indias-gig-workers-strike-push-better-wages (last visited Jun. 25, 2025).</w:t>
      </w:r>
      <w:r>
        <w:fldChar w:fldCharType="end"/>
      </w:r>
    </w:p>
  </w:footnote>
  <w:footnote w:id="16">
    <w:p w:rsidR="00B86AB0" w:rsidRDefault="00B86AB0">
      <w:pPr>
        <w:pStyle w:val="FootnoteText"/>
      </w:pPr>
      <w:r>
        <w:rPr>
          <w:rStyle w:val="FootnoteReference"/>
        </w:rPr>
        <w:footnoteRef/>
      </w:r>
      <w:r>
        <w:t xml:space="preserve"> </w:t>
      </w:r>
      <w:r>
        <w:fldChar w:fldCharType="begin"/>
      </w:r>
      <w:r>
        <w:instrText xml:space="preserve"> ADDIN ZOTERO_ITEM CSL_CITATION {"citationID":"ZN39eJau","properties":{"formattedCitation":"{\\i{}Union Minister Dr. Mansukh Mandaviya Lauds Historic Budgetary Allocation for Labour Welfare; Says Social Security for Gig Workers a Transformative Step}, https://www.pib.gov.in/www.pib.gov.in/Pressreleaseshare.aspx?PRID=2098901 (last visited Jun. 25, 2025).","plainCitation":"Union Minister Dr. Mansukh Mandaviya Lauds Historic Budgetary Allocation for Labour Welfare; Says Social Security for Gig Workers a Transformative Step, https://www.pib.gov.in/www.pib.gov.in/Pressreleaseshare.aspx?PRID=2098901 (last visited Jun. 25, 2025).","noteIndex":13},"citationItems":[{"id":296,"uris":["http://zotero.org/users/16448937/items/29BKVX6S"],"itemData":{"id":296,"type":"webpage","abstract":"The Union Budget 2025 marks a landmark initiative in India's labour welfare landscape with a compreh","title":"Union Minister Dr. Mansukh Mandaviya Lauds Historic Budgetary Allocation for Labour Welfare; Says Social Security for Gig Workers a Transformative Step","URL":"https://www.pib.gov.in/www.pib.gov.in/Pressreleaseshare.aspx?PRID=2098901","accessed":{"date-parts":[["2025",6,25]]}}}],"schema":"https://github.com/citation-style-language/schema/raw/master/csl-citation.json"} </w:instrText>
      </w:r>
      <w:r>
        <w:fldChar w:fldCharType="separate"/>
      </w:r>
      <w:r w:rsidRPr="00B86AB0">
        <w:rPr>
          <w:rFonts w:ascii="Calibri" w:hAnsi="Calibri" w:cs="Calibri"/>
          <w:i/>
          <w:iCs/>
          <w:szCs w:val="24"/>
        </w:rPr>
        <w:t>Union Minister Dr. Mansukh Mandaviya Lauds Historic Budgetary Allocation for Labour Welfare; Says Social Security for Gig Workers a Transformative Step</w:t>
      </w:r>
      <w:r w:rsidRPr="00B86AB0">
        <w:rPr>
          <w:rFonts w:ascii="Calibri" w:hAnsi="Calibri" w:cs="Calibri"/>
          <w:szCs w:val="24"/>
        </w:rPr>
        <w:t>, https://www.pib.gov.in/www.pib.gov.in/Pressreleaseshare.aspx?PRID=2098901 (last visited Jun. 25, 2025).</w:t>
      </w:r>
      <w:r>
        <w:fldChar w:fldCharType="end"/>
      </w:r>
    </w:p>
  </w:footnote>
  <w:footnote w:id="17">
    <w:p w:rsidR="004E1D1B" w:rsidRDefault="004E1D1B" w:rsidP="004E1D1B">
      <w:pPr>
        <w:pStyle w:val="FootnoteText"/>
      </w:pPr>
      <w:r>
        <w:rPr>
          <w:rStyle w:val="FootnoteReference"/>
        </w:rPr>
        <w:footnoteRef/>
      </w:r>
      <w:r>
        <w:t xml:space="preserve"> </w:t>
      </w:r>
      <w:r>
        <w:fldChar w:fldCharType="begin"/>
      </w:r>
      <w:r>
        <w:instrText xml:space="preserve"> ADDIN ZOTERO_ITEM CSL_CITATION {"citationID":"EFttr7NT","properties":{"formattedCitation":"Rajasthan Legislative Assembly, {\\i{}THE RAJASTHAN PLATFORM BASED GIG WORKERS (REGISTRATION AND WELFARE) BILL, 2023}, https://aioe.in/wp-content/uploads/2023/09/Gig_Workers_Bill_2023_1690274461.pdf (last visited Jun. 25, 2025).","plainCitation":"Rajasthan Legislative Assembly, THE RAJASTHAN PLATFORM BASED GIG WORKERS (REGISTRATION AND WELFARE) BILL, 2023, https://aioe.in/wp-content/uploads/2023/09/Gig_Workers_Bill_2023_1690274461.pdf (last visited Jun. 25, 2025).","noteIndex":16},"citationItems":[{"id":307,"uris":["http://zotero.org/users/16448937/items/J8YE8XWE"],"itemData":{"id":307,"type":"webpage","title":"THE RAJASTHAN PLATFORM BASED GIG WORKERS (REGISTRATION AND WELFARE) BILL, 2023","URL":"https://aioe.in/wp-content/uploads/2023/09/Gig_Workers_Bill_2023_1690274461.pdf","author":[{"family":"Rajasthan Legislative Assembly","given":""}],"accessed":{"date-parts":[["2025",6,25]]}}}],"schema":"https://github.com/citation-style-language/schema/raw/master/csl-citation.json"} </w:instrText>
      </w:r>
      <w:r>
        <w:fldChar w:fldCharType="separate"/>
      </w:r>
      <w:r w:rsidRPr="004E1D1B">
        <w:rPr>
          <w:rFonts w:ascii="Calibri" w:hAnsi="Calibri" w:cs="Calibri"/>
          <w:szCs w:val="24"/>
        </w:rPr>
        <w:t xml:space="preserve">Rajasthan Legislative Assembly, </w:t>
      </w:r>
      <w:r w:rsidRPr="004E1D1B">
        <w:rPr>
          <w:rFonts w:ascii="Calibri" w:hAnsi="Calibri" w:cs="Calibri"/>
          <w:i/>
          <w:iCs/>
          <w:szCs w:val="24"/>
        </w:rPr>
        <w:t>THE RAJASTHAN PLATFORM BASED GIG WORKERS (REGISTRATION AND WELFARE) BILL, 2023</w:t>
      </w:r>
      <w:r w:rsidRPr="004E1D1B">
        <w:rPr>
          <w:rFonts w:ascii="Calibri" w:hAnsi="Calibri" w:cs="Calibri"/>
          <w:szCs w:val="24"/>
        </w:rPr>
        <w:t>, https://aioe.in/wp-content/uploads/2023/09/Gig_Workers_Bill_2023_1690274461.pdf (last visited Jun. 25, 2025).</w:t>
      </w:r>
      <w:r>
        <w:fldChar w:fldCharType="end"/>
      </w:r>
    </w:p>
  </w:footnote>
  <w:footnote w:id="18">
    <w:p w:rsidR="00FC58EC" w:rsidRDefault="00FC58EC">
      <w:pPr>
        <w:pStyle w:val="FootnoteText"/>
      </w:pPr>
      <w:r>
        <w:rPr>
          <w:rStyle w:val="FootnoteReference"/>
        </w:rPr>
        <w:footnoteRef/>
      </w:r>
      <w:r>
        <w:t xml:space="preserve"> </w:t>
      </w:r>
      <w:r>
        <w:fldChar w:fldCharType="begin"/>
      </w:r>
      <w:r w:rsidR="00663414">
        <w:instrText xml:space="preserve"> ADDIN ZOTERO_ITEM CSL_CITATION {"citationID":"kttABPD9","properties":{"formattedCitation":"Kumar and Shani, {\\i{}supra} note 10.","plainCitation":"Kumar and Shani, supra note 10.","noteIndex":18},"citationItems":[{"id":299,"uris":["http://zotero.org/users/16448937/items/E2SU3WDJ","http://zotero.org/users/16448937/items/GZARNHRF"],"itemData":{"id":299,"type":"article-journal","abstract":"India is the fifth largest gig economy in the world and is bound to be the third by 2030. Moreover, the Gig economy is going to lead economic growth and reduce unemployment. With the rise of platform-based employment, gig workers have become an essential part of India’s labour market. However, they continue to face issues such as job insecurity, lack of social protection, and inadequate legal safeguards. This paper examines the current status and gaps in India’s existing labour laws, highlighting the absence of comprehensive legislation. It also examines the court interpretation on various issues related to gig workers and the difficulty of classifying gig workers as employees through direction and control test. Moreover, a nuanced and balanced approach has been taken keeping the aggregator platforms in mind, to devise a solution.","language":"en","source":"Zotero","title":"GIG WORKERS IN INDIA: BRIDGING LEGAL GAPS AND ENSURING SUSTAINABILITY","author":[{"family":"Kumar","given":"Anuj"},{"family":"Shani","given":"Shivam"}]}}],"schema":"https://github.com/citation-style-language/schema/raw/master/csl-citation.json"} </w:instrText>
      </w:r>
      <w:r>
        <w:fldChar w:fldCharType="separate"/>
      </w:r>
      <w:r w:rsidR="001F386C" w:rsidRPr="001F386C">
        <w:rPr>
          <w:rFonts w:ascii="Calibri" w:hAnsi="Calibri" w:cs="Calibri"/>
          <w:szCs w:val="24"/>
        </w:rPr>
        <w:t xml:space="preserve">Kumar and Shani, </w:t>
      </w:r>
      <w:r w:rsidR="001F386C" w:rsidRPr="001F386C">
        <w:rPr>
          <w:rFonts w:ascii="Calibri" w:hAnsi="Calibri" w:cs="Calibri"/>
          <w:i/>
          <w:iCs/>
          <w:szCs w:val="24"/>
        </w:rPr>
        <w:t>supra</w:t>
      </w:r>
      <w:r w:rsidR="001F386C" w:rsidRPr="001F386C">
        <w:rPr>
          <w:rFonts w:ascii="Calibri" w:hAnsi="Calibri" w:cs="Calibri"/>
          <w:szCs w:val="24"/>
        </w:rPr>
        <w:t xml:space="preserve"> note 10.</w:t>
      </w:r>
      <w:r>
        <w:fldChar w:fldCharType="end"/>
      </w:r>
    </w:p>
  </w:footnote>
  <w:footnote w:id="19">
    <w:p w:rsidR="00FC58EC" w:rsidRDefault="00FC58EC">
      <w:pPr>
        <w:pStyle w:val="FootnoteText"/>
      </w:pPr>
      <w:r>
        <w:rPr>
          <w:rStyle w:val="FootnoteReference"/>
        </w:rPr>
        <w:footnoteRef/>
      </w:r>
      <w:r>
        <w:t xml:space="preserve"> </w:t>
      </w:r>
      <w:r>
        <w:fldChar w:fldCharType="begin"/>
      </w:r>
      <w:r w:rsidR="00663414">
        <w:instrText xml:space="preserve"> ADDIN ZOTERO_ITEM CSL_CITATION {"citationID":"FnOqbDOe","properties":{"formattedCitation":"Ministry of Law and Justice, {\\i{}The Occupational Safety, Health and Working Conditions Code, 2020}, https://labour.gov.in/sites/default/files/osh_gazette.pdf (last visited Jun. 25, 2025).","plainCitation":"Ministry of Law and Justice, The Occupational Safety, Health and Working Conditions Code, 2020, https://labour.gov.in/sites/default/files/osh_gazette.pdf (last visited Jun. 25, 2025).","noteIndex":19},"citationItems":[{"id":303,"uris":["http://zotero.org/users/16448937/items/GH6D7NWD"],"itemData":{"id":303,"type":"webpage","title":"The Occupational Safety, Health and Working Conditions Code, 2020","URL":"https://labour.gov.in/sites/default/files/osh_gazette.pdf","author":[{"family":"Ministry of Law and Justice","given":""}],"accessed":{"date-parts":[["2025",6,25]]}}}],"schema":"https://github.com/citation-style-language/schema/raw/master/csl-citation.json"} </w:instrText>
      </w:r>
      <w:r>
        <w:fldChar w:fldCharType="separate"/>
      </w:r>
      <w:r w:rsidRPr="00FC58EC">
        <w:rPr>
          <w:rFonts w:ascii="Calibri" w:hAnsi="Calibri" w:cs="Calibri"/>
          <w:szCs w:val="24"/>
        </w:rPr>
        <w:t xml:space="preserve">Ministry of Law and Justice, </w:t>
      </w:r>
      <w:r w:rsidRPr="00FC58EC">
        <w:rPr>
          <w:rFonts w:ascii="Calibri" w:hAnsi="Calibri" w:cs="Calibri"/>
          <w:i/>
          <w:iCs/>
          <w:szCs w:val="24"/>
        </w:rPr>
        <w:t>The Occupational Safety, Health and Working Conditions Code, 2020</w:t>
      </w:r>
      <w:r w:rsidRPr="00FC58EC">
        <w:rPr>
          <w:rFonts w:ascii="Calibri" w:hAnsi="Calibri" w:cs="Calibri"/>
          <w:szCs w:val="24"/>
        </w:rPr>
        <w:t>, https://labour.gov.in/sites/default/files/osh_gazette.pdf (last visited Jun. 25, 2025).</w:t>
      </w:r>
      <w:r>
        <w:fldChar w:fldCharType="end"/>
      </w:r>
    </w:p>
  </w:footnote>
  <w:footnote w:id="20">
    <w:p w:rsidR="00FC58EC" w:rsidRDefault="00FC58EC">
      <w:pPr>
        <w:pStyle w:val="FootnoteText"/>
      </w:pPr>
      <w:r>
        <w:rPr>
          <w:rStyle w:val="FootnoteReference"/>
        </w:rPr>
        <w:footnoteRef/>
      </w:r>
      <w:r>
        <w:t xml:space="preserve"> </w:t>
      </w:r>
      <w:r>
        <w:fldChar w:fldCharType="begin"/>
      </w:r>
      <w:r w:rsidR="00663414">
        <w:instrText xml:space="preserve"> ADDIN ZOTERO_ITEM CSL_CITATION {"citationID":"V2SlIRB6","properties":{"formattedCitation":"{\\i{}Id.}","plainCitation":"Id.","noteIndex":20},"citationItems":[{"id":303,"uris":["http://zotero.org/users/16448937/items/GH6D7NWD"],"itemData":{"id":303,"type":"webpage","title":"The Occupational Safety, Health and Working Conditions Code, 2020","URL":"https://labour.gov.in/sites/default/files/osh_gazette.pdf","author":[{"family":"Ministry of Law and Justice","given":""}],"accessed":{"date-parts":[["2025",6,25]]}}}],"schema":"https://github.com/citation-style-language/schema/raw/master/csl-citation.json"} </w:instrText>
      </w:r>
      <w:r>
        <w:fldChar w:fldCharType="separate"/>
      </w:r>
      <w:r w:rsidRPr="00FC58EC">
        <w:rPr>
          <w:rFonts w:ascii="Calibri" w:hAnsi="Calibri" w:cs="Calibri"/>
          <w:i/>
          <w:iCs/>
          <w:szCs w:val="24"/>
        </w:rPr>
        <w:t>Id.</w:t>
      </w:r>
      <w:r>
        <w:fldChar w:fldCharType="end"/>
      </w:r>
    </w:p>
  </w:footnote>
  <w:footnote w:id="21">
    <w:p w:rsidR="00FC58EC" w:rsidRDefault="00FC58EC">
      <w:pPr>
        <w:pStyle w:val="FootnoteText"/>
      </w:pPr>
      <w:r>
        <w:rPr>
          <w:rStyle w:val="FootnoteReference"/>
        </w:rPr>
        <w:footnoteRef/>
      </w:r>
      <w:r>
        <w:t xml:space="preserve"> </w:t>
      </w:r>
      <w:r>
        <w:fldChar w:fldCharType="begin"/>
      </w:r>
      <w:r w:rsidR="00663414">
        <w:instrText xml:space="preserve"> ADDIN ZOTERO_ITEM CSL_CITATION {"citationID":"PHpdFDNv","properties":{"formattedCitation":"{\\i{}Id.}","plainCitation":"Id.","noteIndex":21},"citationItems":[{"id":303,"uris":["http://zotero.org/users/16448937/items/GH6D7NWD"],"itemData":{"id":303,"type":"webpage","title":"The Occupational Safety, Health and Working Conditions Code, 2020","URL":"https://labour.gov.in/sites/default/files/osh_gazette.pdf","author":[{"family":"Ministry of Law and Justice","given":""}],"accessed":{"date-parts":[["2025",6,25]]}}}],"schema":"https://github.com/citation-style-language/schema/raw/master/csl-citation.json"} </w:instrText>
      </w:r>
      <w:r>
        <w:fldChar w:fldCharType="separate"/>
      </w:r>
      <w:r w:rsidRPr="00FC58EC">
        <w:rPr>
          <w:rFonts w:ascii="Calibri" w:hAnsi="Calibri" w:cs="Calibri"/>
          <w:i/>
          <w:iCs/>
          <w:szCs w:val="24"/>
        </w:rPr>
        <w:t>Id.</w:t>
      </w:r>
      <w:r>
        <w:fldChar w:fldCharType="end"/>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277CC7"/>
    <w:multiLevelType w:val="multilevel"/>
    <w:tmpl w:val="64D00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2C00ED"/>
    <w:multiLevelType w:val="multilevel"/>
    <w:tmpl w:val="826ABD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2DD"/>
    <w:rsid w:val="00000032"/>
    <w:rsid w:val="00072024"/>
    <w:rsid w:val="000A2CE5"/>
    <w:rsid w:val="000A7106"/>
    <w:rsid w:val="000D36BD"/>
    <w:rsid w:val="000D6014"/>
    <w:rsid w:val="00113ED9"/>
    <w:rsid w:val="00182EF2"/>
    <w:rsid w:val="001F29E7"/>
    <w:rsid w:val="001F386C"/>
    <w:rsid w:val="00251522"/>
    <w:rsid w:val="002531D3"/>
    <w:rsid w:val="002F017C"/>
    <w:rsid w:val="00332547"/>
    <w:rsid w:val="00377BA5"/>
    <w:rsid w:val="003D3C20"/>
    <w:rsid w:val="003F18B8"/>
    <w:rsid w:val="0042369C"/>
    <w:rsid w:val="004361ED"/>
    <w:rsid w:val="00456F77"/>
    <w:rsid w:val="00463660"/>
    <w:rsid w:val="004B02A5"/>
    <w:rsid w:val="004E1D1B"/>
    <w:rsid w:val="00513044"/>
    <w:rsid w:val="00596216"/>
    <w:rsid w:val="005D1EBC"/>
    <w:rsid w:val="005E7C8D"/>
    <w:rsid w:val="005F01A1"/>
    <w:rsid w:val="00615E59"/>
    <w:rsid w:val="006542C8"/>
    <w:rsid w:val="00663414"/>
    <w:rsid w:val="00695399"/>
    <w:rsid w:val="006C72DD"/>
    <w:rsid w:val="006E0DDA"/>
    <w:rsid w:val="006F7E8C"/>
    <w:rsid w:val="007745B6"/>
    <w:rsid w:val="007B0AD2"/>
    <w:rsid w:val="0085490A"/>
    <w:rsid w:val="008B57EE"/>
    <w:rsid w:val="008C3EF6"/>
    <w:rsid w:val="009533F5"/>
    <w:rsid w:val="00957E5E"/>
    <w:rsid w:val="00983853"/>
    <w:rsid w:val="009C46D1"/>
    <w:rsid w:val="00AA3194"/>
    <w:rsid w:val="00B13E09"/>
    <w:rsid w:val="00B7243A"/>
    <w:rsid w:val="00B8392F"/>
    <w:rsid w:val="00B86AB0"/>
    <w:rsid w:val="00C450EE"/>
    <w:rsid w:val="00C728D4"/>
    <w:rsid w:val="00D45B90"/>
    <w:rsid w:val="00D65EE0"/>
    <w:rsid w:val="00D95334"/>
    <w:rsid w:val="00DD650E"/>
    <w:rsid w:val="00DF7397"/>
    <w:rsid w:val="00E20F72"/>
    <w:rsid w:val="00E7047F"/>
    <w:rsid w:val="00E93D68"/>
    <w:rsid w:val="00EF1344"/>
    <w:rsid w:val="00F56D03"/>
    <w:rsid w:val="00F85FFE"/>
    <w:rsid w:val="00FC58E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8A71F8"/>
  <w15:chartTrackingRefBased/>
  <w15:docId w15:val="{C33CEBA2-737A-4006-9C69-4DA68CA82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20F7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20F72"/>
    <w:rPr>
      <w:sz w:val="20"/>
      <w:szCs w:val="20"/>
    </w:rPr>
  </w:style>
  <w:style w:type="character" w:styleId="FootnoteReference">
    <w:name w:val="footnote reference"/>
    <w:basedOn w:val="DefaultParagraphFont"/>
    <w:uiPriority w:val="99"/>
    <w:semiHidden/>
    <w:unhideWhenUsed/>
    <w:rsid w:val="00E20F72"/>
    <w:rPr>
      <w:vertAlign w:val="superscript"/>
    </w:rPr>
  </w:style>
  <w:style w:type="paragraph" w:styleId="Header">
    <w:name w:val="header"/>
    <w:basedOn w:val="Normal"/>
    <w:link w:val="HeaderChar"/>
    <w:uiPriority w:val="99"/>
    <w:unhideWhenUsed/>
    <w:rsid w:val="000000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0032"/>
  </w:style>
  <w:style w:type="paragraph" w:styleId="Footer">
    <w:name w:val="footer"/>
    <w:basedOn w:val="Normal"/>
    <w:link w:val="FooterChar"/>
    <w:uiPriority w:val="99"/>
    <w:unhideWhenUsed/>
    <w:rsid w:val="000000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0032"/>
  </w:style>
  <w:style w:type="character" w:styleId="Hyperlink">
    <w:name w:val="Hyperlink"/>
    <w:basedOn w:val="DefaultParagraphFont"/>
    <w:uiPriority w:val="99"/>
    <w:semiHidden/>
    <w:unhideWhenUsed/>
    <w:rsid w:val="006634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584673">
      <w:bodyDiv w:val="1"/>
      <w:marLeft w:val="0"/>
      <w:marRight w:val="0"/>
      <w:marTop w:val="0"/>
      <w:marBottom w:val="0"/>
      <w:divBdr>
        <w:top w:val="none" w:sz="0" w:space="0" w:color="auto"/>
        <w:left w:val="none" w:sz="0" w:space="0" w:color="auto"/>
        <w:bottom w:val="none" w:sz="0" w:space="0" w:color="auto"/>
        <w:right w:val="none" w:sz="0" w:space="0" w:color="auto"/>
      </w:divBdr>
    </w:div>
    <w:div w:id="458765210">
      <w:bodyDiv w:val="1"/>
      <w:marLeft w:val="0"/>
      <w:marRight w:val="0"/>
      <w:marTop w:val="0"/>
      <w:marBottom w:val="0"/>
      <w:divBdr>
        <w:top w:val="none" w:sz="0" w:space="0" w:color="auto"/>
        <w:left w:val="none" w:sz="0" w:space="0" w:color="auto"/>
        <w:bottom w:val="none" w:sz="0" w:space="0" w:color="auto"/>
        <w:right w:val="none" w:sz="0" w:space="0" w:color="auto"/>
      </w:divBdr>
    </w:div>
    <w:div w:id="477958998">
      <w:bodyDiv w:val="1"/>
      <w:marLeft w:val="0"/>
      <w:marRight w:val="0"/>
      <w:marTop w:val="0"/>
      <w:marBottom w:val="0"/>
      <w:divBdr>
        <w:top w:val="none" w:sz="0" w:space="0" w:color="auto"/>
        <w:left w:val="none" w:sz="0" w:space="0" w:color="auto"/>
        <w:bottom w:val="none" w:sz="0" w:space="0" w:color="auto"/>
        <w:right w:val="none" w:sz="0" w:space="0" w:color="auto"/>
      </w:divBdr>
      <w:divsChild>
        <w:div w:id="1965697634">
          <w:marLeft w:val="0"/>
          <w:marRight w:val="0"/>
          <w:marTop w:val="0"/>
          <w:marBottom w:val="0"/>
          <w:divBdr>
            <w:top w:val="none" w:sz="0" w:space="0" w:color="auto"/>
            <w:left w:val="none" w:sz="0" w:space="0" w:color="auto"/>
            <w:bottom w:val="none" w:sz="0" w:space="0" w:color="auto"/>
            <w:right w:val="none" w:sz="0" w:space="0" w:color="auto"/>
          </w:divBdr>
          <w:divsChild>
            <w:div w:id="704452940">
              <w:marLeft w:val="0"/>
              <w:marRight w:val="0"/>
              <w:marTop w:val="360"/>
              <w:marBottom w:val="120"/>
              <w:divBdr>
                <w:top w:val="none" w:sz="0" w:space="0" w:color="auto"/>
                <w:left w:val="none" w:sz="0" w:space="0" w:color="auto"/>
                <w:bottom w:val="none" w:sz="0" w:space="0" w:color="auto"/>
                <w:right w:val="none" w:sz="0" w:space="0" w:color="auto"/>
              </w:divBdr>
            </w:div>
          </w:divsChild>
        </w:div>
        <w:div w:id="1452243580">
          <w:marLeft w:val="0"/>
          <w:marRight w:val="0"/>
          <w:marTop w:val="0"/>
          <w:marBottom w:val="0"/>
          <w:divBdr>
            <w:top w:val="none" w:sz="0" w:space="0" w:color="auto"/>
            <w:left w:val="none" w:sz="0" w:space="0" w:color="auto"/>
            <w:bottom w:val="none" w:sz="0" w:space="0" w:color="auto"/>
            <w:right w:val="none" w:sz="0" w:space="0" w:color="auto"/>
          </w:divBdr>
          <w:divsChild>
            <w:div w:id="174004048">
              <w:marLeft w:val="0"/>
              <w:marRight w:val="0"/>
              <w:marTop w:val="120"/>
              <w:marBottom w:val="120"/>
              <w:divBdr>
                <w:top w:val="none" w:sz="0" w:space="0" w:color="auto"/>
                <w:left w:val="none" w:sz="0" w:space="0" w:color="auto"/>
                <w:bottom w:val="none" w:sz="0" w:space="0" w:color="auto"/>
                <w:right w:val="none" w:sz="0" w:space="0" w:color="auto"/>
              </w:divBdr>
            </w:div>
          </w:divsChild>
        </w:div>
        <w:div w:id="489296502">
          <w:marLeft w:val="0"/>
          <w:marRight w:val="0"/>
          <w:marTop w:val="0"/>
          <w:marBottom w:val="0"/>
          <w:divBdr>
            <w:top w:val="none" w:sz="0" w:space="0" w:color="auto"/>
            <w:left w:val="none" w:sz="0" w:space="0" w:color="auto"/>
            <w:bottom w:val="none" w:sz="0" w:space="0" w:color="auto"/>
            <w:right w:val="none" w:sz="0" w:space="0" w:color="auto"/>
          </w:divBdr>
          <w:divsChild>
            <w:div w:id="81724277">
              <w:marLeft w:val="0"/>
              <w:marRight w:val="0"/>
              <w:marTop w:val="120"/>
              <w:marBottom w:val="120"/>
              <w:divBdr>
                <w:top w:val="none" w:sz="0" w:space="0" w:color="auto"/>
                <w:left w:val="none" w:sz="0" w:space="0" w:color="auto"/>
                <w:bottom w:val="none" w:sz="0" w:space="0" w:color="auto"/>
                <w:right w:val="none" w:sz="0" w:space="0" w:color="auto"/>
              </w:divBdr>
            </w:div>
          </w:divsChild>
        </w:div>
        <w:div w:id="1853646277">
          <w:marLeft w:val="0"/>
          <w:marRight w:val="0"/>
          <w:marTop w:val="0"/>
          <w:marBottom w:val="0"/>
          <w:divBdr>
            <w:top w:val="none" w:sz="0" w:space="0" w:color="auto"/>
            <w:left w:val="none" w:sz="0" w:space="0" w:color="auto"/>
            <w:bottom w:val="none" w:sz="0" w:space="0" w:color="auto"/>
            <w:right w:val="none" w:sz="0" w:space="0" w:color="auto"/>
          </w:divBdr>
          <w:divsChild>
            <w:div w:id="1436900965">
              <w:marLeft w:val="0"/>
              <w:marRight w:val="0"/>
              <w:marTop w:val="360"/>
              <w:marBottom w:val="120"/>
              <w:divBdr>
                <w:top w:val="none" w:sz="0" w:space="0" w:color="auto"/>
                <w:left w:val="none" w:sz="0" w:space="0" w:color="auto"/>
                <w:bottom w:val="none" w:sz="0" w:space="0" w:color="auto"/>
                <w:right w:val="none" w:sz="0" w:space="0" w:color="auto"/>
              </w:divBdr>
            </w:div>
          </w:divsChild>
        </w:div>
        <w:div w:id="2029140736">
          <w:marLeft w:val="0"/>
          <w:marRight w:val="0"/>
          <w:marTop w:val="0"/>
          <w:marBottom w:val="0"/>
          <w:divBdr>
            <w:top w:val="none" w:sz="0" w:space="0" w:color="auto"/>
            <w:left w:val="none" w:sz="0" w:space="0" w:color="auto"/>
            <w:bottom w:val="none" w:sz="0" w:space="0" w:color="auto"/>
            <w:right w:val="none" w:sz="0" w:space="0" w:color="auto"/>
          </w:divBdr>
          <w:divsChild>
            <w:div w:id="1617715917">
              <w:marLeft w:val="0"/>
              <w:marRight w:val="0"/>
              <w:marTop w:val="120"/>
              <w:marBottom w:val="120"/>
              <w:divBdr>
                <w:top w:val="none" w:sz="0" w:space="0" w:color="auto"/>
                <w:left w:val="none" w:sz="0" w:space="0" w:color="auto"/>
                <w:bottom w:val="none" w:sz="0" w:space="0" w:color="auto"/>
                <w:right w:val="none" w:sz="0" w:space="0" w:color="auto"/>
              </w:divBdr>
            </w:div>
          </w:divsChild>
        </w:div>
        <w:div w:id="1116606740">
          <w:marLeft w:val="0"/>
          <w:marRight w:val="0"/>
          <w:marTop w:val="0"/>
          <w:marBottom w:val="0"/>
          <w:divBdr>
            <w:top w:val="none" w:sz="0" w:space="0" w:color="auto"/>
            <w:left w:val="none" w:sz="0" w:space="0" w:color="auto"/>
            <w:bottom w:val="none" w:sz="0" w:space="0" w:color="auto"/>
            <w:right w:val="none" w:sz="0" w:space="0" w:color="auto"/>
          </w:divBdr>
          <w:divsChild>
            <w:div w:id="324091606">
              <w:marLeft w:val="0"/>
              <w:marRight w:val="0"/>
              <w:marTop w:val="120"/>
              <w:marBottom w:val="120"/>
              <w:divBdr>
                <w:top w:val="none" w:sz="0" w:space="0" w:color="auto"/>
                <w:left w:val="none" w:sz="0" w:space="0" w:color="auto"/>
                <w:bottom w:val="none" w:sz="0" w:space="0" w:color="auto"/>
                <w:right w:val="none" w:sz="0" w:space="0" w:color="auto"/>
              </w:divBdr>
            </w:div>
          </w:divsChild>
        </w:div>
        <w:div w:id="1034966509">
          <w:marLeft w:val="0"/>
          <w:marRight w:val="0"/>
          <w:marTop w:val="0"/>
          <w:marBottom w:val="0"/>
          <w:divBdr>
            <w:top w:val="none" w:sz="0" w:space="0" w:color="auto"/>
            <w:left w:val="none" w:sz="0" w:space="0" w:color="auto"/>
            <w:bottom w:val="none" w:sz="0" w:space="0" w:color="auto"/>
            <w:right w:val="none" w:sz="0" w:space="0" w:color="auto"/>
          </w:divBdr>
          <w:divsChild>
            <w:div w:id="947008854">
              <w:marLeft w:val="0"/>
              <w:marRight w:val="0"/>
              <w:marTop w:val="120"/>
              <w:marBottom w:val="120"/>
              <w:divBdr>
                <w:top w:val="none" w:sz="0" w:space="0" w:color="auto"/>
                <w:left w:val="none" w:sz="0" w:space="0" w:color="auto"/>
                <w:bottom w:val="none" w:sz="0" w:space="0" w:color="auto"/>
                <w:right w:val="none" w:sz="0" w:space="0" w:color="auto"/>
              </w:divBdr>
            </w:div>
          </w:divsChild>
        </w:div>
        <w:div w:id="1222058033">
          <w:marLeft w:val="0"/>
          <w:marRight w:val="0"/>
          <w:marTop w:val="0"/>
          <w:marBottom w:val="0"/>
          <w:divBdr>
            <w:top w:val="none" w:sz="0" w:space="0" w:color="auto"/>
            <w:left w:val="none" w:sz="0" w:space="0" w:color="auto"/>
            <w:bottom w:val="none" w:sz="0" w:space="0" w:color="auto"/>
            <w:right w:val="none" w:sz="0" w:space="0" w:color="auto"/>
          </w:divBdr>
          <w:divsChild>
            <w:div w:id="2631558">
              <w:marLeft w:val="0"/>
              <w:marRight w:val="0"/>
              <w:marTop w:val="360"/>
              <w:marBottom w:val="120"/>
              <w:divBdr>
                <w:top w:val="none" w:sz="0" w:space="0" w:color="auto"/>
                <w:left w:val="none" w:sz="0" w:space="0" w:color="auto"/>
                <w:bottom w:val="none" w:sz="0" w:space="0" w:color="auto"/>
                <w:right w:val="none" w:sz="0" w:space="0" w:color="auto"/>
              </w:divBdr>
            </w:div>
          </w:divsChild>
        </w:div>
        <w:div w:id="2050835460">
          <w:marLeft w:val="0"/>
          <w:marRight w:val="0"/>
          <w:marTop w:val="0"/>
          <w:marBottom w:val="0"/>
          <w:divBdr>
            <w:top w:val="none" w:sz="0" w:space="0" w:color="auto"/>
            <w:left w:val="none" w:sz="0" w:space="0" w:color="auto"/>
            <w:bottom w:val="none" w:sz="0" w:space="0" w:color="auto"/>
            <w:right w:val="none" w:sz="0" w:space="0" w:color="auto"/>
          </w:divBdr>
          <w:divsChild>
            <w:div w:id="194923845">
              <w:marLeft w:val="0"/>
              <w:marRight w:val="0"/>
              <w:marTop w:val="120"/>
              <w:marBottom w:val="120"/>
              <w:divBdr>
                <w:top w:val="none" w:sz="0" w:space="0" w:color="auto"/>
                <w:left w:val="none" w:sz="0" w:space="0" w:color="auto"/>
                <w:bottom w:val="none" w:sz="0" w:space="0" w:color="auto"/>
                <w:right w:val="none" w:sz="0" w:space="0" w:color="auto"/>
              </w:divBdr>
            </w:div>
          </w:divsChild>
        </w:div>
        <w:div w:id="538592034">
          <w:marLeft w:val="0"/>
          <w:marRight w:val="0"/>
          <w:marTop w:val="0"/>
          <w:marBottom w:val="0"/>
          <w:divBdr>
            <w:top w:val="none" w:sz="0" w:space="0" w:color="auto"/>
            <w:left w:val="none" w:sz="0" w:space="0" w:color="auto"/>
            <w:bottom w:val="none" w:sz="0" w:space="0" w:color="auto"/>
            <w:right w:val="none" w:sz="0" w:space="0" w:color="auto"/>
          </w:divBdr>
          <w:divsChild>
            <w:div w:id="1913587743">
              <w:marLeft w:val="0"/>
              <w:marRight w:val="0"/>
              <w:marTop w:val="120"/>
              <w:marBottom w:val="120"/>
              <w:divBdr>
                <w:top w:val="none" w:sz="0" w:space="0" w:color="auto"/>
                <w:left w:val="none" w:sz="0" w:space="0" w:color="auto"/>
                <w:bottom w:val="none" w:sz="0" w:space="0" w:color="auto"/>
                <w:right w:val="none" w:sz="0" w:space="0" w:color="auto"/>
              </w:divBdr>
            </w:div>
          </w:divsChild>
        </w:div>
        <w:div w:id="1927037432">
          <w:marLeft w:val="0"/>
          <w:marRight w:val="0"/>
          <w:marTop w:val="0"/>
          <w:marBottom w:val="0"/>
          <w:divBdr>
            <w:top w:val="none" w:sz="0" w:space="0" w:color="auto"/>
            <w:left w:val="none" w:sz="0" w:space="0" w:color="auto"/>
            <w:bottom w:val="none" w:sz="0" w:space="0" w:color="auto"/>
            <w:right w:val="none" w:sz="0" w:space="0" w:color="auto"/>
          </w:divBdr>
          <w:divsChild>
            <w:div w:id="2062434088">
              <w:marLeft w:val="0"/>
              <w:marRight w:val="0"/>
              <w:marTop w:val="120"/>
              <w:marBottom w:val="120"/>
              <w:divBdr>
                <w:top w:val="none" w:sz="0" w:space="0" w:color="auto"/>
                <w:left w:val="none" w:sz="0" w:space="0" w:color="auto"/>
                <w:bottom w:val="none" w:sz="0" w:space="0" w:color="auto"/>
                <w:right w:val="none" w:sz="0" w:space="0" w:color="auto"/>
              </w:divBdr>
            </w:div>
          </w:divsChild>
        </w:div>
        <w:div w:id="1780298064">
          <w:marLeft w:val="0"/>
          <w:marRight w:val="0"/>
          <w:marTop w:val="0"/>
          <w:marBottom w:val="0"/>
          <w:divBdr>
            <w:top w:val="none" w:sz="0" w:space="0" w:color="auto"/>
            <w:left w:val="none" w:sz="0" w:space="0" w:color="auto"/>
            <w:bottom w:val="none" w:sz="0" w:space="0" w:color="auto"/>
            <w:right w:val="none" w:sz="0" w:space="0" w:color="auto"/>
          </w:divBdr>
          <w:divsChild>
            <w:div w:id="1975402323">
              <w:marLeft w:val="0"/>
              <w:marRight w:val="0"/>
              <w:marTop w:val="360"/>
              <w:marBottom w:val="120"/>
              <w:divBdr>
                <w:top w:val="none" w:sz="0" w:space="0" w:color="auto"/>
                <w:left w:val="none" w:sz="0" w:space="0" w:color="auto"/>
                <w:bottom w:val="none" w:sz="0" w:space="0" w:color="auto"/>
                <w:right w:val="none" w:sz="0" w:space="0" w:color="auto"/>
              </w:divBdr>
            </w:div>
          </w:divsChild>
        </w:div>
        <w:div w:id="1010839520">
          <w:marLeft w:val="0"/>
          <w:marRight w:val="0"/>
          <w:marTop w:val="0"/>
          <w:marBottom w:val="0"/>
          <w:divBdr>
            <w:top w:val="none" w:sz="0" w:space="0" w:color="auto"/>
            <w:left w:val="none" w:sz="0" w:space="0" w:color="auto"/>
            <w:bottom w:val="none" w:sz="0" w:space="0" w:color="auto"/>
            <w:right w:val="none" w:sz="0" w:space="0" w:color="auto"/>
          </w:divBdr>
          <w:divsChild>
            <w:div w:id="1723871193">
              <w:marLeft w:val="0"/>
              <w:marRight w:val="0"/>
              <w:marTop w:val="120"/>
              <w:marBottom w:val="120"/>
              <w:divBdr>
                <w:top w:val="none" w:sz="0" w:space="0" w:color="auto"/>
                <w:left w:val="none" w:sz="0" w:space="0" w:color="auto"/>
                <w:bottom w:val="none" w:sz="0" w:space="0" w:color="auto"/>
                <w:right w:val="none" w:sz="0" w:space="0" w:color="auto"/>
              </w:divBdr>
            </w:div>
          </w:divsChild>
        </w:div>
        <w:div w:id="400181363">
          <w:marLeft w:val="0"/>
          <w:marRight w:val="0"/>
          <w:marTop w:val="0"/>
          <w:marBottom w:val="0"/>
          <w:divBdr>
            <w:top w:val="none" w:sz="0" w:space="0" w:color="auto"/>
            <w:left w:val="none" w:sz="0" w:space="0" w:color="auto"/>
            <w:bottom w:val="none" w:sz="0" w:space="0" w:color="auto"/>
            <w:right w:val="none" w:sz="0" w:space="0" w:color="auto"/>
          </w:divBdr>
          <w:divsChild>
            <w:div w:id="1029143718">
              <w:marLeft w:val="0"/>
              <w:marRight w:val="0"/>
              <w:marTop w:val="120"/>
              <w:marBottom w:val="120"/>
              <w:divBdr>
                <w:top w:val="none" w:sz="0" w:space="0" w:color="auto"/>
                <w:left w:val="none" w:sz="0" w:space="0" w:color="auto"/>
                <w:bottom w:val="none" w:sz="0" w:space="0" w:color="auto"/>
                <w:right w:val="none" w:sz="0" w:space="0" w:color="auto"/>
              </w:divBdr>
            </w:div>
          </w:divsChild>
        </w:div>
        <w:div w:id="54788978">
          <w:marLeft w:val="0"/>
          <w:marRight w:val="0"/>
          <w:marTop w:val="0"/>
          <w:marBottom w:val="0"/>
          <w:divBdr>
            <w:top w:val="none" w:sz="0" w:space="0" w:color="auto"/>
            <w:left w:val="none" w:sz="0" w:space="0" w:color="auto"/>
            <w:bottom w:val="none" w:sz="0" w:space="0" w:color="auto"/>
            <w:right w:val="none" w:sz="0" w:space="0" w:color="auto"/>
          </w:divBdr>
          <w:divsChild>
            <w:div w:id="2109227029">
              <w:marLeft w:val="0"/>
              <w:marRight w:val="0"/>
              <w:marTop w:val="120"/>
              <w:marBottom w:val="120"/>
              <w:divBdr>
                <w:top w:val="none" w:sz="0" w:space="0" w:color="auto"/>
                <w:left w:val="none" w:sz="0" w:space="0" w:color="auto"/>
                <w:bottom w:val="none" w:sz="0" w:space="0" w:color="auto"/>
                <w:right w:val="none" w:sz="0" w:space="0" w:color="auto"/>
              </w:divBdr>
            </w:div>
          </w:divsChild>
        </w:div>
        <w:div w:id="789670723">
          <w:marLeft w:val="0"/>
          <w:marRight w:val="0"/>
          <w:marTop w:val="0"/>
          <w:marBottom w:val="0"/>
          <w:divBdr>
            <w:top w:val="none" w:sz="0" w:space="0" w:color="auto"/>
            <w:left w:val="none" w:sz="0" w:space="0" w:color="auto"/>
            <w:bottom w:val="none" w:sz="0" w:space="0" w:color="auto"/>
            <w:right w:val="none" w:sz="0" w:space="0" w:color="auto"/>
          </w:divBdr>
          <w:divsChild>
            <w:div w:id="737702487">
              <w:marLeft w:val="0"/>
              <w:marRight w:val="0"/>
              <w:marTop w:val="360"/>
              <w:marBottom w:val="120"/>
              <w:divBdr>
                <w:top w:val="none" w:sz="0" w:space="0" w:color="auto"/>
                <w:left w:val="none" w:sz="0" w:space="0" w:color="auto"/>
                <w:bottom w:val="none" w:sz="0" w:space="0" w:color="auto"/>
                <w:right w:val="none" w:sz="0" w:space="0" w:color="auto"/>
              </w:divBdr>
            </w:div>
          </w:divsChild>
        </w:div>
        <w:div w:id="32969935">
          <w:marLeft w:val="0"/>
          <w:marRight w:val="0"/>
          <w:marTop w:val="0"/>
          <w:marBottom w:val="0"/>
          <w:divBdr>
            <w:top w:val="none" w:sz="0" w:space="0" w:color="auto"/>
            <w:left w:val="none" w:sz="0" w:space="0" w:color="auto"/>
            <w:bottom w:val="none" w:sz="0" w:space="0" w:color="auto"/>
            <w:right w:val="none" w:sz="0" w:space="0" w:color="auto"/>
          </w:divBdr>
          <w:divsChild>
            <w:div w:id="161513197">
              <w:marLeft w:val="0"/>
              <w:marRight w:val="0"/>
              <w:marTop w:val="120"/>
              <w:marBottom w:val="120"/>
              <w:divBdr>
                <w:top w:val="none" w:sz="0" w:space="0" w:color="auto"/>
                <w:left w:val="none" w:sz="0" w:space="0" w:color="auto"/>
                <w:bottom w:val="none" w:sz="0" w:space="0" w:color="auto"/>
                <w:right w:val="none" w:sz="0" w:space="0" w:color="auto"/>
              </w:divBdr>
            </w:div>
          </w:divsChild>
        </w:div>
        <w:div w:id="1823233019">
          <w:marLeft w:val="0"/>
          <w:marRight w:val="0"/>
          <w:marTop w:val="0"/>
          <w:marBottom w:val="0"/>
          <w:divBdr>
            <w:top w:val="none" w:sz="0" w:space="0" w:color="auto"/>
            <w:left w:val="none" w:sz="0" w:space="0" w:color="auto"/>
            <w:bottom w:val="none" w:sz="0" w:space="0" w:color="auto"/>
            <w:right w:val="none" w:sz="0" w:space="0" w:color="auto"/>
          </w:divBdr>
          <w:divsChild>
            <w:div w:id="1646470129">
              <w:marLeft w:val="0"/>
              <w:marRight w:val="0"/>
              <w:marTop w:val="120"/>
              <w:marBottom w:val="120"/>
              <w:divBdr>
                <w:top w:val="none" w:sz="0" w:space="0" w:color="auto"/>
                <w:left w:val="none" w:sz="0" w:space="0" w:color="auto"/>
                <w:bottom w:val="none" w:sz="0" w:space="0" w:color="auto"/>
                <w:right w:val="none" w:sz="0" w:space="0" w:color="auto"/>
              </w:divBdr>
            </w:div>
          </w:divsChild>
        </w:div>
        <w:div w:id="1018506391">
          <w:marLeft w:val="0"/>
          <w:marRight w:val="0"/>
          <w:marTop w:val="0"/>
          <w:marBottom w:val="0"/>
          <w:divBdr>
            <w:top w:val="none" w:sz="0" w:space="0" w:color="auto"/>
            <w:left w:val="none" w:sz="0" w:space="0" w:color="auto"/>
            <w:bottom w:val="none" w:sz="0" w:space="0" w:color="auto"/>
            <w:right w:val="none" w:sz="0" w:space="0" w:color="auto"/>
          </w:divBdr>
          <w:divsChild>
            <w:div w:id="1700548748">
              <w:marLeft w:val="0"/>
              <w:marRight w:val="0"/>
              <w:marTop w:val="360"/>
              <w:marBottom w:val="120"/>
              <w:divBdr>
                <w:top w:val="none" w:sz="0" w:space="0" w:color="auto"/>
                <w:left w:val="none" w:sz="0" w:space="0" w:color="auto"/>
                <w:bottom w:val="none" w:sz="0" w:space="0" w:color="auto"/>
                <w:right w:val="none" w:sz="0" w:space="0" w:color="auto"/>
              </w:divBdr>
            </w:div>
          </w:divsChild>
        </w:div>
        <w:div w:id="390736294">
          <w:marLeft w:val="0"/>
          <w:marRight w:val="0"/>
          <w:marTop w:val="0"/>
          <w:marBottom w:val="0"/>
          <w:divBdr>
            <w:top w:val="none" w:sz="0" w:space="0" w:color="auto"/>
            <w:left w:val="none" w:sz="0" w:space="0" w:color="auto"/>
            <w:bottom w:val="none" w:sz="0" w:space="0" w:color="auto"/>
            <w:right w:val="none" w:sz="0" w:space="0" w:color="auto"/>
          </w:divBdr>
          <w:divsChild>
            <w:div w:id="779762262">
              <w:marLeft w:val="0"/>
              <w:marRight w:val="0"/>
              <w:marTop w:val="120"/>
              <w:marBottom w:val="120"/>
              <w:divBdr>
                <w:top w:val="none" w:sz="0" w:space="0" w:color="auto"/>
                <w:left w:val="none" w:sz="0" w:space="0" w:color="auto"/>
                <w:bottom w:val="none" w:sz="0" w:space="0" w:color="auto"/>
                <w:right w:val="none" w:sz="0" w:space="0" w:color="auto"/>
              </w:divBdr>
            </w:div>
          </w:divsChild>
        </w:div>
        <w:div w:id="979844422">
          <w:marLeft w:val="0"/>
          <w:marRight w:val="0"/>
          <w:marTop w:val="0"/>
          <w:marBottom w:val="0"/>
          <w:divBdr>
            <w:top w:val="none" w:sz="0" w:space="0" w:color="auto"/>
            <w:left w:val="none" w:sz="0" w:space="0" w:color="auto"/>
            <w:bottom w:val="none" w:sz="0" w:space="0" w:color="auto"/>
            <w:right w:val="none" w:sz="0" w:space="0" w:color="auto"/>
          </w:divBdr>
          <w:divsChild>
            <w:div w:id="1818181604">
              <w:marLeft w:val="0"/>
              <w:marRight w:val="0"/>
              <w:marTop w:val="120"/>
              <w:marBottom w:val="120"/>
              <w:divBdr>
                <w:top w:val="none" w:sz="0" w:space="0" w:color="auto"/>
                <w:left w:val="none" w:sz="0" w:space="0" w:color="auto"/>
                <w:bottom w:val="none" w:sz="0" w:space="0" w:color="auto"/>
                <w:right w:val="none" w:sz="0" w:space="0" w:color="auto"/>
              </w:divBdr>
            </w:div>
          </w:divsChild>
        </w:div>
        <w:div w:id="1995179498">
          <w:marLeft w:val="0"/>
          <w:marRight w:val="0"/>
          <w:marTop w:val="0"/>
          <w:marBottom w:val="0"/>
          <w:divBdr>
            <w:top w:val="none" w:sz="0" w:space="0" w:color="auto"/>
            <w:left w:val="none" w:sz="0" w:space="0" w:color="auto"/>
            <w:bottom w:val="none" w:sz="0" w:space="0" w:color="auto"/>
            <w:right w:val="none" w:sz="0" w:space="0" w:color="auto"/>
          </w:divBdr>
          <w:divsChild>
            <w:div w:id="983972084">
              <w:marLeft w:val="0"/>
              <w:marRight w:val="0"/>
              <w:marTop w:val="360"/>
              <w:marBottom w:val="120"/>
              <w:divBdr>
                <w:top w:val="none" w:sz="0" w:space="0" w:color="auto"/>
                <w:left w:val="none" w:sz="0" w:space="0" w:color="auto"/>
                <w:bottom w:val="none" w:sz="0" w:space="0" w:color="auto"/>
                <w:right w:val="none" w:sz="0" w:space="0" w:color="auto"/>
              </w:divBdr>
            </w:div>
          </w:divsChild>
        </w:div>
        <w:div w:id="1708487730">
          <w:marLeft w:val="0"/>
          <w:marRight w:val="0"/>
          <w:marTop w:val="0"/>
          <w:marBottom w:val="0"/>
          <w:divBdr>
            <w:top w:val="none" w:sz="0" w:space="0" w:color="auto"/>
            <w:left w:val="none" w:sz="0" w:space="0" w:color="auto"/>
            <w:bottom w:val="none" w:sz="0" w:space="0" w:color="auto"/>
            <w:right w:val="none" w:sz="0" w:space="0" w:color="auto"/>
          </w:divBdr>
          <w:divsChild>
            <w:div w:id="1950817378">
              <w:marLeft w:val="0"/>
              <w:marRight w:val="0"/>
              <w:marTop w:val="120"/>
              <w:marBottom w:val="120"/>
              <w:divBdr>
                <w:top w:val="none" w:sz="0" w:space="0" w:color="auto"/>
                <w:left w:val="none" w:sz="0" w:space="0" w:color="auto"/>
                <w:bottom w:val="none" w:sz="0" w:space="0" w:color="auto"/>
                <w:right w:val="none" w:sz="0" w:space="0" w:color="auto"/>
              </w:divBdr>
            </w:div>
          </w:divsChild>
        </w:div>
        <w:div w:id="2110857163">
          <w:marLeft w:val="0"/>
          <w:marRight w:val="0"/>
          <w:marTop w:val="0"/>
          <w:marBottom w:val="0"/>
          <w:divBdr>
            <w:top w:val="none" w:sz="0" w:space="0" w:color="auto"/>
            <w:left w:val="none" w:sz="0" w:space="0" w:color="auto"/>
            <w:bottom w:val="none" w:sz="0" w:space="0" w:color="auto"/>
            <w:right w:val="none" w:sz="0" w:space="0" w:color="auto"/>
          </w:divBdr>
          <w:divsChild>
            <w:div w:id="1036539096">
              <w:marLeft w:val="0"/>
              <w:marRight w:val="0"/>
              <w:marTop w:val="120"/>
              <w:marBottom w:val="120"/>
              <w:divBdr>
                <w:top w:val="none" w:sz="0" w:space="0" w:color="auto"/>
                <w:left w:val="none" w:sz="0" w:space="0" w:color="auto"/>
                <w:bottom w:val="none" w:sz="0" w:space="0" w:color="auto"/>
                <w:right w:val="none" w:sz="0" w:space="0" w:color="auto"/>
              </w:divBdr>
            </w:div>
          </w:divsChild>
        </w:div>
        <w:div w:id="1213074763">
          <w:marLeft w:val="0"/>
          <w:marRight w:val="0"/>
          <w:marTop w:val="0"/>
          <w:marBottom w:val="0"/>
          <w:divBdr>
            <w:top w:val="none" w:sz="0" w:space="0" w:color="auto"/>
            <w:left w:val="none" w:sz="0" w:space="0" w:color="auto"/>
            <w:bottom w:val="none" w:sz="0" w:space="0" w:color="auto"/>
            <w:right w:val="none" w:sz="0" w:space="0" w:color="auto"/>
          </w:divBdr>
          <w:divsChild>
            <w:div w:id="1232354186">
              <w:marLeft w:val="0"/>
              <w:marRight w:val="0"/>
              <w:marTop w:val="120"/>
              <w:marBottom w:val="120"/>
              <w:divBdr>
                <w:top w:val="none" w:sz="0" w:space="0" w:color="auto"/>
                <w:left w:val="none" w:sz="0" w:space="0" w:color="auto"/>
                <w:bottom w:val="none" w:sz="0" w:space="0" w:color="auto"/>
                <w:right w:val="none" w:sz="0" w:space="0" w:color="auto"/>
              </w:divBdr>
            </w:div>
          </w:divsChild>
        </w:div>
        <w:div w:id="721906731">
          <w:marLeft w:val="0"/>
          <w:marRight w:val="0"/>
          <w:marTop w:val="0"/>
          <w:marBottom w:val="0"/>
          <w:divBdr>
            <w:top w:val="none" w:sz="0" w:space="0" w:color="auto"/>
            <w:left w:val="none" w:sz="0" w:space="0" w:color="auto"/>
            <w:bottom w:val="none" w:sz="0" w:space="0" w:color="auto"/>
            <w:right w:val="none" w:sz="0" w:space="0" w:color="auto"/>
          </w:divBdr>
          <w:divsChild>
            <w:div w:id="2125269090">
              <w:marLeft w:val="0"/>
              <w:marRight w:val="0"/>
              <w:marTop w:val="360"/>
              <w:marBottom w:val="120"/>
              <w:divBdr>
                <w:top w:val="none" w:sz="0" w:space="0" w:color="auto"/>
                <w:left w:val="none" w:sz="0" w:space="0" w:color="auto"/>
                <w:bottom w:val="none" w:sz="0" w:space="0" w:color="auto"/>
                <w:right w:val="none" w:sz="0" w:space="0" w:color="auto"/>
              </w:divBdr>
            </w:div>
          </w:divsChild>
        </w:div>
        <w:div w:id="1878080995">
          <w:marLeft w:val="0"/>
          <w:marRight w:val="0"/>
          <w:marTop w:val="0"/>
          <w:marBottom w:val="0"/>
          <w:divBdr>
            <w:top w:val="none" w:sz="0" w:space="0" w:color="auto"/>
            <w:left w:val="none" w:sz="0" w:space="0" w:color="auto"/>
            <w:bottom w:val="none" w:sz="0" w:space="0" w:color="auto"/>
            <w:right w:val="none" w:sz="0" w:space="0" w:color="auto"/>
          </w:divBdr>
          <w:divsChild>
            <w:div w:id="1582910876">
              <w:marLeft w:val="0"/>
              <w:marRight w:val="0"/>
              <w:marTop w:val="120"/>
              <w:marBottom w:val="120"/>
              <w:divBdr>
                <w:top w:val="none" w:sz="0" w:space="0" w:color="auto"/>
                <w:left w:val="none" w:sz="0" w:space="0" w:color="auto"/>
                <w:bottom w:val="none" w:sz="0" w:space="0" w:color="auto"/>
                <w:right w:val="none" w:sz="0" w:space="0" w:color="auto"/>
              </w:divBdr>
            </w:div>
          </w:divsChild>
        </w:div>
        <w:div w:id="19161261">
          <w:marLeft w:val="0"/>
          <w:marRight w:val="0"/>
          <w:marTop w:val="0"/>
          <w:marBottom w:val="0"/>
          <w:divBdr>
            <w:top w:val="none" w:sz="0" w:space="0" w:color="auto"/>
            <w:left w:val="none" w:sz="0" w:space="0" w:color="auto"/>
            <w:bottom w:val="none" w:sz="0" w:space="0" w:color="auto"/>
            <w:right w:val="none" w:sz="0" w:space="0" w:color="auto"/>
          </w:divBdr>
          <w:divsChild>
            <w:div w:id="1437822230">
              <w:marLeft w:val="0"/>
              <w:marRight w:val="0"/>
              <w:marTop w:val="120"/>
              <w:marBottom w:val="120"/>
              <w:divBdr>
                <w:top w:val="none" w:sz="0" w:space="0" w:color="auto"/>
                <w:left w:val="none" w:sz="0" w:space="0" w:color="auto"/>
                <w:bottom w:val="none" w:sz="0" w:space="0" w:color="auto"/>
                <w:right w:val="none" w:sz="0" w:space="0" w:color="auto"/>
              </w:divBdr>
            </w:div>
          </w:divsChild>
        </w:div>
        <w:div w:id="2016878802">
          <w:marLeft w:val="0"/>
          <w:marRight w:val="0"/>
          <w:marTop w:val="0"/>
          <w:marBottom w:val="0"/>
          <w:divBdr>
            <w:top w:val="none" w:sz="0" w:space="0" w:color="auto"/>
            <w:left w:val="none" w:sz="0" w:space="0" w:color="auto"/>
            <w:bottom w:val="none" w:sz="0" w:space="0" w:color="auto"/>
            <w:right w:val="none" w:sz="0" w:space="0" w:color="auto"/>
          </w:divBdr>
          <w:divsChild>
            <w:div w:id="187106642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553079589">
      <w:bodyDiv w:val="1"/>
      <w:marLeft w:val="0"/>
      <w:marRight w:val="0"/>
      <w:marTop w:val="0"/>
      <w:marBottom w:val="0"/>
      <w:divBdr>
        <w:top w:val="none" w:sz="0" w:space="0" w:color="auto"/>
        <w:left w:val="none" w:sz="0" w:space="0" w:color="auto"/>
        <w:bottom w:val="none" w:sz="0" w:space="0" w:color="auto"/>
        <w:right w:val="none" w:sz="0" w:space="0" w:color="auto"/>
      </w:divBdr>
      <w:divsChild>
        <w:div w:id="1716661704">
          <w:marLeft w:val="0"/>
          <w:marRight w:val="0"/>
          <w:marTop w:val="0"/>
          <w:marBottom w:val="0"/>
          <w:divBdr>
            <w:top w:val="none" w:sz="0" w:space="0" w:color="auto"/>
            <w:left w:val="none" w:sz="0" w:space="0" w:color="auto"/>
            <w:bottom w:val="none" w:sz="0" w:space="0" w:color="auto"/>
            <w:right w:val="none" w:sz="0" w:space="0" w:color="auto"/>
          </w:divBdr>
          <w:divsChild>
            <w:div w:id="392506504">
              <w:marLeft w:val="0"/>
              <w:marRight w:val="0"/>
              <w:marTop w:val="0"/>
              <w:marBottom w:val="120"/>
              <w:divBdr>
                <w:top w:val="none" w:sz="0" w:space="0" w:color="auto"/>
                <w:left w:val="none" w:sz="0" w:space="0" w:color="auto"/>
                <w:bottom w:val="none" w:sz="0" w:space="0" w:color="auto"/>
                <w:right w:val="none" w:sz="0" w:space="0" w:color="auto"/>
              </w:divBdr>
            </w:div>
          </w:divsChild>
        </w:div>
        <w:div w:id="126508569">
          <w:marLeft w:val="0"/>
          <w:marRight w:val="0"/>
          <w:marTop w:val="0"/>
          <w:marBottom w:val="0"/>
          <w:divBdr>
            <w:top w:val="none" w:sz="0" w:space="0" w:color="auto"/>
            <w:left w:val="none" w:sz="0" w:space="0" w:color="auto"/>
            <w:bottom w:val="none" w:sz="0" w:space="0" w:color="auto"/>
            <w:right w:val="none" w:sz="0" w:space="0" w:color="auto"/>
          </w:divBdr>
          <w:divsChild>
            <w:div w:id="1426264349">
              <w:marLeft w:val="0"/>
              <w:marRight w:val="0"/>
              <w:marTop w:val="360"/>
              <w:marBottom w:val="120"/>
              <w:divBdr>
                <w:top w:val="none" w:sz="0" w:space="0" w:color="auto"/>
                <w:left w:val="none" w:sz="0" w:space="0" w:color="auto"/>
                <w:bottom w:val="none" w:sz="0" w:space="0" w:color="auto"/>
                <w:right w:val="none" w:sz="0" w:space="0" w:color="auto"/>
              </w:divBdr>
            </w:div>
          </w:divsChild>
        </w:div>
        <w:div w:id="898049935">
          <w:marLeft w:val="0"/>
          <w:marRight w:val="0"/>
          <w:marTop w:val="0"/>
          <w:marBottom w:val="0"/>
          <w:divBdr>
            <w:top w:val="none" w:sz="0" w:space="0" w:color="auto"/>
            <w:left w:val="none" w:sz="0" w:space="0" w:color="auto"/>
            <w:bottom w:val="none" w:sz="0" w:space="0" w:color="auto"/>
            <w:right w:val="none" w:sz="0" w:space="0" w:color="auto"/>
          </w:divBdr>
          <w:divsChild>
            <w:div w:id="242763075">
              <w:marLeft w:val="0"/>
              <w:marRight w:val="0"/>
              <w:marTop w:val="120"/>
              <w:marBottom w:val="120"/>
              <w:divBdr>
                <w:top w:val="none" w:sz="0" w:space="0" w:color="auto"/>
                <w:left w:val="none" w:sz="0" w:space="0" w:color="auto"/>
                <w:bottom w:val="none" w:sz="0" w:space="0" w:color="auto"/>
                <w:right w:val="none" w:sz="0" w:space="0" w:color="auto"/>
              </w:divBdr>
            </w:div>
          </w:divsChild>
        </w:div>
        <w:div w:id="518008211">
          <w:marLeft w:val="0"/>
          <w:marRight w:val="0"/>
          <w:marTop w:val="0"/>
          <w:marBottom w:val="0"/>
          <w:divBdr>
            <w:top w:val="none" w:sz="0" w:space="0" w:color="auto"/>
            <w:left w:val="none" w:sz="0" w:space="0" w:color="auto"/>
            <w:bottom w:val="none" w:sz="0" w:space="0" w:color="auto"/>
            <w:right w:val="none" w:sz="0" w:space="0" w:color="auto"/>
          </w:divBdr>
          <w:divsChild>
            <w:div w:id="835144039">
              <w:marLeft w:val="0"/>
              <w:marRight w:val="0"/>
              <w:marTop w:val="120"/>
              <w:marBottom w:val="120"/>
              <w:divBdr>
                <w:top w:val="none" w:sz="0" w:space="0" w:color="auto"/>
                <w:left w:val="none" w:sz="0" w:space="0" w:color="auto"/>
                <w:bottom w:val="none" w:sz="0" w:space="0" w:color="auto"/>
                <w:right w:val="none" w:sz="0" w:space="0" w:color="auto"/>
              </w:divBdr>
            </w:div>
          </w:divsChild>
        </w:div>
        <w:div w:id="736783998">
          <w:marLeft w:val="0"/>
          <w:marRight w:val="0"/>
          <w:marTop w:val="0"/>
          <w:marBottom w:val="0"/>
          <w:divBdr>
            <w:top w:val="none" w:sz="0" w:space="0" w:color="auto"/>
            <w:left w:val="none" w:sz="0" w:space="0" w:color="auto"/>
            <w:bottom w:val="none" w:sz="0" w:space="0" w:color="auto"/>
            <w:right w:val="none" w:sz="0" w:space="0" w:color="auto"/>
          </w:divBdr>
          <w:divsChild>
            <w:div w:id="46539316">
              <w:marLeft w:val="0"/>
              <w:marRight w:val="0"/>
              <w:marTop w:val="120"/>
              <w:marBottom w:val="120"/>
              <w:divBdr>
                <w:top w:val="none" w:sz="0" w:space="0" w:color="auto"/>
                <w:left w:val="none" w:sz="0" w:space="0" w:color="auto"/>
                <w:bottom w:val="none" w:sz="0" w:space="0" w:color="auto"/>
                <w:right w:val="none" w:sz="0" w:space="0" w:color="auto"/>
              </w:divBdr>
            </w:div>
          </w:divsChild>
        </w:div>
        <w:div w:id="220293783">
          <w:marLeft w:val="0"/>
          <w:marRight w:val="0"/>
          <w:marTop w:val="0"/>
          <w:marBottom w:val="0"/>
          <w:divBdr>
            <w:top w:val="none" w:sz="0" w:space="0" w:color="auto"/>
            <w:left w:val="none" w:sz="0" w:space="0" w:color="auto"/>
            <w:bottom w:val="none" w:sz="0" w:space="0" w:color="auto"/>
            <w:right w:val="none" w:sz="0" w:space="0" w:color="auto"/>
          </w:divBdr>
          <w:divsChild>
            <w:div w:id="1869415027">
              <w:marLeft w:val="0"/>
              <w:marRight w:val="0"/>
              <w:marTop w:val="360"/>
              <w:marBottom w:val="120"/>
              <w:divBdr>
                <w:top w:val="none" w:sz="0" w:space="0" w:color="auto"/>
                <w:left w:val="none" w:sz="0" w:space="0" w:color="auto"/>
                <w:bottom w:val="none" w:sz="0" w:space="0" w:color="auto"/>
                <w:right w:val="none" w:sz="0" w:space="0" w:color="auto"/>
              </w:divBdr>
            </w:div>
          </w:divsChild>
        </w:div>
        <w:div w:id="1292402490">
          <w:marLeft w:val="0"/>
          <w:marRight w:val="0"/>
          <w:marTop w:val="0"/>
          <w:marBottom w:val="0"/>
          <w:divBdr>
            <w:top w:val="none" w:sz="0" w:space="0" w:color="auto"/>
            <w:left w:val="none" w:sz="0" w:space="0" w:color="auto"/>
            <w:bottom w:val="none" w:sz="0" w:space="0" w:color="auto"/>
            <w:right w:val="none" w:sz="0" w:space="0" w:color="auto"/>
          </w:divBdr>
          <w:divsChild>
            <w:div w:id="1029600660">
              <w:marLeft w:val="0"/>
              <w:marRight w:val="0"/>
              <w:marTop w:val="120"/>
              <w:marBottom w:val="120"/>
              <w:divBdr>
                <w:top w:val="none" w:sz="0" w:space="0" w:color="auto"/>
                <w:left w:val="none" w:sz="0" w:space="0" w:color="auto"/>
                <w:bottom w:val="none" w:sz="0" w:space="0" w:color="auto"/>
                <w:right w:val="none" w:sz="0" w:space="0" w:color="auto"/>
              </w:divBdr>
            </w:div>
          </w:divsChild>
        </w:div>
        <w:div w:id="898125814">
          <w:marLeft w:val="0"/>
          <w:marRight w:val="0"/>
          <w:marTop w:val="0"/>
          <w:marBottom w:val="0"/>
          <w:divBdr>
            <w:top w:val="none" w:sz="0" w:space="0" w:color="auto"/>
            <w:left w:val="none" w:sz="0" w:space="0" w:color="auto"/>
            <w:bottom w:val="none" w:sz="0" w:space="0" w:color="auto"/>
            <w:right w:val="none" w:sz="0" w:space="0" w:color="auto"/>
          </w:divBdr>
          <w:divsChild>
            <w:div w:id="175461807">
              <w:marLeft w:val="0"/>
              <w:marRight w:val="0"/>
              <w:marTop w:val="120"/>
              <w:marBottom w:val="120"/>
              <w:divBdr>
                <w:top w:val="none" w:sz="0" w:space="0" w:color="auto"/>
                <w:left w:val="none" w:sz="0" w:space="0" w:color="auto"/>
                <w:bottom w:val="none" w:sz="0" w:space="0" w:color="auto"/>
                <w:right w:val="none" w:sz="0" w:space="0" w:color="auto"/>
              </w:divBdr>
            </w:div>
          </w:divsChild>
        </w:div>
        <w:div w:id="1306079308">
          <w:marLeft w:val="0"/>
          <w:marRight w:val="0"/>
          <w:marTop w:val="0"/>
          <w:marBottom w:val="0"/>
          <w:divBdr>
            <w:top w:val="none" w:sz="0" w:space="0" w:color="auto"/>
            <w:left w:val="none" w:sz="0" w:space="0" w:color="auto"/>
            <w:bottom w:val="none" w:sz="0" w:space="0" w:color="auto"/>
            <w:right w:val="none" w:sz="0" w:space="0" w:color="auto"/>
          </w:divBdr>
          <w:divsChild>
            <w:div w:id="940263728">
              <w:marLeft w:val="0"/>
              <w:marRight w:val="0"/>
              <w:marTop w:val="120"/>
              <w:marBottom w:val="120"/>
              <w:divBdr>
                <w:top w:val="none" w:sz="0" w:space="0" w:color="auto"/>
                <w:left w:val="none" w:sz="0" w:space="0" w:color="auto"/>
                <w:bottom w:val="none" w:sz="0" w:space="0" w:color="auto"/>
                <w:right w:val="none" w:sz="0" w:space="0" w:color="auto"/>
              </w:divBdr>
            </w:div>
          </w:divsChild>
        </w:div>
        <w:div w:id="122575210">
          <w:marLeft w:val="0"/>
          <w:marRight w:val="0"/>
          <w:marTop w:val="0"/>
          <w:marBottom w:val="0"/>
          <w:divBdr>
            <w:top w:val="none" w:sz="0" w:space="0" w:color="auto"/>
            <w:left w:val="none" w:sz="0" w:space="0" w:color="auto"/>
            <w:bottom w:val="none" w:sz="0" w:space="0" w:color="auto"/>
            <w:right w:val="none" w:sz="0" w:space="0" w:color="auto"/>
          </w:divBdr>
          <w:divsChild>
            <w:div w:id="1735617260">
              <w:marLeft w:val="0"/>
              <w:marRight w:val="0"/>
              <w:marTop w:val="120"/>
              <w:marBottom w:val="120"/>
              <w:divBdr>
                <w:top w:val="none" w:sz="0" w:space="0" w:color="auto"/>
                <w:left w:val="none" w:sz="0" w:space="0" w:color="auto"/>
                <w:bottom w:val="none" w:sz="0" w:space="0" w:color="auto"/>
                <w:right w:val="none" w:sz="0" w:space="0" w:color="auto"/>
              </w:divBdr>
            </w:div>
          </w:divsChild>
        </w:div>
        <w:div w:id="221213680">
          <w:marLeft w:val="0"/>
          <w:marRight w:val="0"/>
          <w:marTop w:val="0"/>
          <w:marBottom w:val="0"/>
          <w:divBdr>
            <w:top w:val="none" w:sz="0" w:space="0" w:color="auto"/>
            <w:left w:val="none" w:sz="0" w:space="0" w:color="auto"/>
            <w:bottom w:val="none" w:sz="0" w:space="0" w:color="auto"/>
            <w:right w:val="none" w:sz="0" w:space="0" w:color="auto"/>
          </w:divBdr>
          <w:divsChild>
            <w:div w:id="1248154343">
              <w:marLeft w:val="0"/>
              <w:marRight w:val="0"/>
              <w:marTop w:val="120"/>
              <w:marBottom w:val="120"/>
              <w:divBdr>
                <w:top w:val="none" w:sz="0" w:space="0" w:color="auto"/>
                <w:left w:val="none" w:sz="0" w:space="0" w:color="auto"/>
                <w:bottom w:val="none" w:sz="0" w:space="0" w:color="auto"/>
                <w:right w:val="none" w:sz="0" w:space="0" w:color="auto"/>
              </w:divBdr>
            </w:div>
          </w:divsChild>
        </w:div>
        <w:div w:id="897472929">
          <w:marLeft w:val="0"/>
          <w:marRight w:val="0"/>
          <w:marTop w:val="0"/>
          <w:marBottom w:val="0"/>
          <w:divBdr>
            <w:top w:val="none" w:sz="0" w:space="0" w:color="auto"/>
            <w:left w:val="none" w:sz="0" w:space="0" w:color="auto"/>
            <w:bottom w:val="none" w:sz="0" w:space="0" w:color="auto"/>
            <w:right w:val="none" w:sz="0" w:space="0" w:color="auto"/>
          </w:divBdr>
          <w:divsChild>
            <w:div w:id="1866358705">
              <w:marLeft w:val="0"/>
              <w:marRight w:val="0"/>
              <w:marTop w:val="360"/>
              <w:marBottom w:val="120"/>
              <w:divBdr>
                <w:top w:val="none" w:sz="0" w:space="0" w:color="auto"/>
                <w:left w:val="none" w:sz="0" w:space="0" w:color="auto"/>
                <w:bottom w:val="none" w:sz="0" w:space="0" w:color="auto"/>
                <w:right w:val="none" w:sz="0" w:space="0" w:color="auto"/>
              </w:divBdr>
            </w:div>
          </w:divsChild>
        </w:div>
        <w:div w:id="753551798">
          <w:marLeft w:val="0"/>
          <w:marRight w:val="0"/>
          <w:marTop w:val="0"/>
          <w:marBottom w:val="0"/>
          <w:divBdr>
            <w:top w:val="none" w:sz="0" w:space="0" w:color="auto"/>
            <w:left w:val="none" w:sz="0" w:space="0" w:color="auto"/>
            <w:bottom w:val="none" w:sz="0" w:space="0" w:color="auto"/>
            <w:right w:val="none" w:sz="0" w:space="0" w:color="auto"/>
          </w:divBdr>
          <w:divsChild>
            <w:div w:id="402606627">
              <w:marLeft w:val="0"/>
              <w:marRight w:val="0"/>
              <w:marTop w:val="120"/>
              <w:marBottom w:val="120"/>
              <w:divBdr>
                <w:top w:val="none" w:sz="0" w:space="0" w:color="auto"/>
                <w:left w:val="none" w:sz="0" w:space="0" w:color="auto"/>
                <w:bottom w:val="none" w:sz="0" w:space="0" w:color="auto"/>
                <w:right w:val="none" w:sz="0" w:space="0" w:color="auto"/>
              </w:divBdr>
            </w:div>
          </w:divsChild>
        </w:div>
        <w:div w:id="1214653152">
          <w:marLeft w:val="0"/>
          <w:marRight w:val="0"/>
          <w:marTop w:val="0"/>
          <w:marBottom w:val="0"/>
          <w:divBdr>
            <w:top w:val="none" w:sz="0" w:space="0" w:color="auto"/>
            <w:left w:val="none" w:sz="0" w:space="0" w:color="auto"/>
            <w:bottom w:val="none" w:sz="0" w:space="0" w:color="auto"/>
            <w:right w:val="none" w:sz="0" w:space="0" w:color="auto"/>
          </w:divBdr>
          <w:divsChild>
            <w:div w:id="1928342219">
              <w:marLeft w:val="0"/>
              <w:marRight w:val="0"/>
              <w:marTop w:val="120"/>
              <w:marBottom w:val="120"/>
              <w:divBdr>
                <w:top w:val="none" w:sz="0" w:space="0" w:color="auto"/>
                <w:left w:val="none" w:sz="0" w:space="0" w:color="auto"/>
                <w:bottom w:val="none" w:sz="0" w:space="0" w:color="auto"/>
                <w:right w:val="none" w:sz="0" w:space="0" w:color="auto"/>
              </w:divBdr>
            </w:div>
          </w:divsChild>
        </w:div>
        <w:div w:id="2052991528">
          <w:marLeft w:val="0"/>
          <w:marRight w:val="0"/>
          <w:marTop w:val="0"/>
          <w:marBottom w:val="0"/>
          <w:divBdr>
            <w:top w:val="none" w:sz="0" w:space="0" w:color="auto"/>
            <w:left w:val="none" w:sz="0" w:space="0" w:color="auto"/>
            <w:bottom w:val="none" w:sz="0" w:space="0" w:color="auto"/>
            <w:right w:val="none" w:sz="0" w:space="0" w:color="auto"/>
          </w:divBdr>
          <w:divsChild>
            <w:div w:id="197861244">
              <w:marLeft w:val="0"/>
              <w:marRight w:val="0"/>
              <w:marTop w:val="120"/>
              <w:marBottom w:val="120"/>
              <w:divBdr>
                <w:top w:val="none" w:sz="0" w:space="0" w:color="auto"/>
                <w:left w:val="none" w:sz="0" w:space="0" w:color="auto"/>
                <w:bottom w:val="none" w:sz="0" w:space="0" w:color="auto"/>
                <w:right w:val="none" w:sz="0" w:space="0" w:color="auto"/>
              </w:divBdr>
            </w:div>
          </w:divsChild>
        </w:div>
        <w:div w:id="307589154">
          <w:marLeft w:val="0"/>
          <w:marRight w:val="0"/>
          <w:marTop w:val="0"/>
          <w:marBottom w:val="0"/>
          <w:divBdr>
            <w:top w:val="none" w:sz="0" w:space="0" w:color="auto"/>
            <w:left w:val="none" w:sz="0" w:space="0" w:color="auto"/>
            <w:bottom w:val="none" w:sz="0" w:space="0" w:color="auto"/>
            <w:right w:val="none" w:sz="0" w:space="0" w:color="auto"/>
          </w:divBdr>
          <w:divsChild>
            <w:div w:id="1396705718">
              <w:marLeft w:val="0"/>
              <w:marRight w:val="0"/>
              <w:marTop w:val="120"/>
              <w:marBottom w:val="120"/>
              <w:divBdr>
                <w:top w:val="none" w:sz="0" w:space="0" w:color="auto"/>
                <w:left w:val="none" w:sz="0" w:space="0" w:color="auto"/>
                <w:bottom w:val="none" w:sz="0" w:space="0" w:color="auto"/>
                <w:right w:val="none" w:sz="0" w:space="0" w:color="auto"/>
              </w:divBdr>
            </w:div>
          </w:divsChild>
        </w:div>
        <w:div w:id="298537714">
          <w:marLeft w:val="0"/>
          <w:marRight w:val="0"/>
          <w:marTop w:val="0"/>
          <w:marBottom w:val="0"/>
          <w:divBdr>
            <w:top w:val="none" w:sz="0" w:space="0" w:color="auto"/>
            <w:left w:val="none" w:sz="0" w:space="0" w:color="auto"/>
            <w:bottom w:val="none" w:sz="0" w:space="0" w:color="auto"/>
            <w:right w:val="none" w:sz="0" w:space="0" w:color="auto"/>
          </w:divBdr>
          <w:divsChild>
            <w:div w:id="53086809">
              <w:marLeft w:val="0"/>
              <w:marRight w:val="0"/>
              <w:marTop w:val="360"/>
              <w:marBottom w:val="120"/>
              <w:divBdr>
                <w:top w:val="none" w:sz="0" w:space="0" w:color="auto"/>
                <w:left w:val="none" w:sz="0" w:space="0" w:color="auto"/>
                <w:bottom w:val="none" w:sz="0" w:space="0" w:color="auto"/>
                <w:right w:val="none" w:sz="0" w:space="0" w:color="auto"/>
              </w:divBdr>
            </w:div>
          </w:divsChild>
        </w:div>
        <w:div w:id="1737049989">
          <w:marLeft w:val="0"/>
          <w:marRight w:val="0"/>
          <w:marTop w:val="0"/>
          <w:marBottom w:val="0"/>
          <w:divBdr>
            <w:top w:val="none" w:sz="0" w:space="0" w:color="auto"/>
            <w:left w:val="none" w:sz="0" w:space="0" w:color="auto"/>
            <w:bottom w:val="none" w:sz="0" w:space="0" w:color="auto"/>
            <w:right w:val="none" w:sz="0" w:space="0" w:color="auto"/>
          </w:divBdr>
          <w:divsChild>
            <w:div w:id="627013306">
              <w:marLeft w:val="0"/>
              <w:marRight w:val="0"/>
              <w:marTop w:val="120"/>
              <w:marBottom w:val="120"/>
              <w:divBdr>
                <w:top w:val="none" w:sz="0" w:space="0" w:color="auto"/>
                <w:left w:val="none" w:sz="0" w:space="0" w:color="auto"/>
                <w:bottom w:val="none" w:sz="0" w:space="0" w:color="auto"/>
                <w:right w:val="none" w:sz="0" w:space="0" w:color="auto"/>
              </w:divBdr>
            </w:div>
          </w:divsChild>
        </w:div>
        <w:div w:id="1550335360">
          <w:marLeft w:val="0"/>
          <w:marRight w:val="0"/>
          <w:marTop w:val="0"/>
          <w:marBottom w:val="0"/>
          <w:divBdr>
            <w:top w:val="none" w:sz="0" w:space="0" w:color="auto"/>
            <w:left w:val="none" w:sz="0" w:space="0" w:color="auto"/>
            <w:bottom w:val="none" w:sz="0" w:space="0" w:color="auto"/>
            <w:right w:val="none" w:sz="0" w:space="0" w:color="auto"/>
          </w:divBdr>
          <w:divsChild>
            <w:div w:id="1201170231">
              <w:marLeft w:val="0"/>
              <w:marRight w:val="0"/>
              <w:marTop w:val="120"/>
              <w:marBottom w:val="120"/>
              <w:divBdr>
                <w:top w:val="none" w:sz="0" w:space="0" w:color="auto"/>
                <w:left w:val="none" w:sz="0" w:space="0" w:color="auto"/>
                <w:bottom w:val="none" w:sz="0" w:space="0" w:color="auto"/>
                <w:right w:val="none" w:sz="0" w:space="0" w:color="auto"/>
              </w:divBdr>
            </w:div>
          </w:divsChild>
        </w:div>
        <w:div w:id="1728643443">
          <w:marLeft w:val="0"/>
          <w:marRight w:val="0"/>
          <w:marTop w:val="0"/>
          <w:marBottom w:val="0"/>
          <w:divBdr>
            <w:top w:val="none" w:sz="0" w:space="0" w:color="auto"/>
            <w:left w:val="none" w:sz="0" w:space="0" w:color="auto"/>
            <w:bottom w:val="none" w:sz="0" w:space="0" w:color="auto"/>
            <w:right w:val="none" w:sz="0" w:space="0" w:color="auto"/>
          </w:divBdr>
          <w:divsChild>
            <w:div w:id="2119593437">
              <w:marLeft w:val="0"/>
              <w:marRight w:val="0"/>
              <w:marTop w:val="120"/>
              <w:marBottom w:val="120"/>
              <w:divBdr>
                <w:top w:val="none" w:sz="0" w:space="0" w:color="auto"/>
                <w:left w:val="none" w:sz="0" w:space="0" w:color="auto"/>
                <w:bottom w:val="none" w:sz="0" w:space="0" w:color="auto"/>
                <w:right w:val="none" w:sz="0" w:space="0" w:color="auto"/>
              </w:divBdr>
            </w:div>
          </w:divsChild>
        </w:div>
        <w:div w:id="1478688960">
          <w:marLeft w:val="0"/>
          <w:marRight w:val="0"/>
          <w:marTop w:val="0"/>
          <w:marBottom w:val="0"/>
          <w:divBdr>
            <w:top w:val="none" w:sz="0" w:space="0" w:color="auto"/>
            <w:left w:val="none" w:sz="0" w:space="0" w:color="auto"/>
            <w:bottom w:val="none" w:sz="0" w:space="0" w:color="auto"/>
            <w:right w:val="none" w:sz="0" w:space="0" w:color="auto"/>
          </w:divBdr>
          <w:divsChild>
            <w:div w:id="726957958">
              <w:marLeft w:val="0"/>
              <w:marRight w:val="0"/>
              <w:marTop w:val="120"/>
              <w:marBottom w:val="120"/>
              <w:divBdr>
                <w:top w:val="none" w:sz="0" w:space="0" w:color="auto"/>
                <w:left w:val="none" w:sz="0" w:space="0" w:color="auto"/>
                <w:bottom w:val="none" w:sz="0" w:space="0" w:color="auto"/>
                <w:right w:val="none" w:sz="0" w:space="0" w:color="auto"/>
              </w:divBdr>
            </w:div>
          </w:divsChild>
        </w:div>
        <w:div w:id="2066175078">
          <w:marLeft w:val="0"/>
          <w:marRight w:val="0"/>
          <w:marTop w:val="0"/>
          <w:marBottom w:val="0"/>
          <w:divBdr>
            <w:top w:val="none" w:sz="0" w:space="0" w:color="auto"/>
            <w:left w:val="none" w:sz="0" w:space="0" w:color="auto"/>
            <w:bottom w:val="none" w:sz="0" w:space="0" w:color="auto"/>
            <w:right w:val="none" w:sz="0" w:space="0" w:color="auto"/>
          </w:divBdr>
          <w:divsChild>
            <w:div w:id="1404643457">
              <w:marLeft w:val="0"/>
              <w:marRight w:val="0"/>
              <w:marTop w:val="360"/>
              <w:marBottom w:val="120"/>
              <w:divBdr>
                <w:top w:val="none" w:sz="0" w:space="0" w:color="auto"/>
                <w:left w:val="none" w:sz="0" w:space="0" w:color="auto"/>
                <w:bottom w:val="none" w:sz="0" w:space="0" w:color="auto"/>
                <w:right w:val="none" w:sz="0" w:space="0" w:color="auto"/>
              </w:divBdr>
            </w:div>
          </w:divsChild>
        </w:div>
        <w:div w:id="1972634084">
          <w:marLeft w:val="0"/>
          <w:marRight w:val="0"/>
          <w:marTop w:val="0"/>
          <w:marBottom w:val="0"/>
          <w:divBdr>
            <w:top w:val="none" w:sz="0" w:space="0" w:color="auto"/>
            <w:left w:val="none" w:sz="0" w:space="0" w:color="auto"/>
            <w:bottom w:val="none" w:sz="0" w:space="0" w:color="auto"/>
            <w:right w:val="none" w:sz="0" w:space="0" w:color="auto"/>
          </w:divBdr>
          <w:divsChild>
            <w:div w:id="1749812174">
              <w:marLeft w:val="0"/>
              <w:marRight w:val="0"/>
              <w:marTop w:val="120"/>
              <w:marBottom w:val="120"/>
              <w:divBdr>
                <w:top w:val="none" w:sz="0" w:space="0" w:color="auto"/>
                <w:left w:val="none" w:sz="0" w:space="0" w:color="auto"/>
                <w:bottom w:val="none" w:sz="0" w:space="0" w:color="auto"/>
                <w:right w:val="none" w:sz="0" w:space="0" w:color="auto"/>
              </w:divBdr>
            </w:div>
          </w:divsChild>
        </w:div>
        <w:div w:id="1960143626">
          <w:marLeft w:val="0"/>
          <w:marRight w:val="0"/>
          <w:marTop w:val="0"/>
          <w:marBottom w:val="0"/>
          <w:divBdr>
            <w:top w:val="none" w:sz="0" w:space="0" w:color="auto"/>
            <w:left w:val="none" w:sz="0" w:space="0" w:color="auto"/>
            <w:bottom w:val="none" w:sz="0" w:space="0" w:color="auto"/>
            <w:right w:val="none" w:sz="0" w:space="0" w:color="auto"/>
          </w:divBdr>
          <w:divsChild>
            <w:div w:id="117531298">
              <w:marLeft w:val="0"/>
              <w:marRight w:val="0"/>
              <w:marTop w:val="120"/>
              <w:marBottom w:val="120"/>
              <w:divBdr>
                <w:top w:val="none" w:sz="0" w:space="0" w:color="auto"/>
                <w:left w:val="none" w:sz="0" w:space="0" w:color="auto"/>
                <w:bottom w:val="none" w:sz="0" w:space="0" w:color="auto"/>
                <w:right w:val="none" w:sz="0" w:space="0" w:color="auto"/>
              </w:divBdr>
            </w:div>
          </w:divsChild>
        </w:div>
        <w:div w:id="30226391">
          <w:marLeft w:val="0"/>
          <w:marRight w:val="0"/>
          <w:marTop w:val="0"/>
          <w:marBottom w:val="0"/>
          <w:divBdr>
            <w:top w:val="none" w:sz="0" w:space="0" w:color="auto"/>
            <w:left w:val="none" w:sz="0" w:space="0" w:color="auto"/>
            <w:bottom w:val="none" w:sz="0" w:space="0" w:color="auto"/>
            <w:right w:val="none" w:sz="0" w:space="0" w:color="auto"/>
          </w:divBdr>
          <w:divsChild>
            <w:div w:id="69740453">
              <w:marLeft w:val="0"/>
              <w:marRight w:val="0"/>
              <w:marTop w:val="120"/>
              <w:marBottom w:val="120"/>
              <w:divBdr>
                <w:top w:val="none" w:sz="0" w:space="0" w:color="auto"/>
                <w:left w:val="none" w:sz="0" w:space="0" w:color="auto"/>
                <w:bottom w:val="none" w:sz="0" w:space="0" w:color="auto"/>
                <w:right w:val="none" w:sz="0" w:space="0" w:color="auto"/>
              </w:divBdr>
            </w:div>
          </w:divsChild>
        </w:div>
        <w:div w:id="1807502940">
          <w:marLeft w:val="0"/>
          <w:marRight w:val="0"/>
          <w:marTop w:val="0"/>
          <w:marBottom w:val="0"/>
          <w:divBdr>
            <w:top w:val="none" w:sz="0" w:space="0" w:color="auto"/>
            <w:left w:val="none" w:sz="0" w:space="0" w:color="auto"/>
            <w:bottom w:val="none" w:sz="0" w:space="0" w:color="auto"/>
            <w:right w:val="none" w:sz="0" w:space="0" w:color="auto"/>
          </w:divBdr>
          <w:divsChild>
            <w:div w:id="1486781935">
              <w:marLeft w:val="0"/>
              <w:marRight w:val="0"/>
              <w:marTop w:val="360"/>
              <w:marBottom w:val="120"/>
              <w:divBdr>
                <w:top w:val="none" w:sz="0" w:space="0" w:color="auto"/>
                <w:left w:val="none" w:sz="0" w:space="0" w:color="auto"/>
                <w:bottom w:val="none" w:sz="0" w:space="0" w:color="auto"/>
                <w:right w:val="none" w:sz="0" w:space="0" w:color="auto"/>
              </w:divBdr>
            </w:div>
          </w:divsChild>
        </w:div>
        <w:div w:id="1204825633">
          <w:marLeft w:val="0"/>
          <w:marRight w:val="0"/>
          <w:marTop w:val="0"/>
          <w:marBottom w:val="0"/>
          <w:divBdr>
            <w:top w:val="none" w:sz="0" w:space="0" w:color="auto"/>
            <w:left w:val="none" w:sz="0" w:space="0" w:color="auto"/>
            <w:bottom w:val="none" w:sz="0" w:space="0" w:color="auto"/>
            <w:right w:val="none" w:sz="0" w:space="0" w:color="auto"/>
          </w:divBdr>
          <w:divsChild>
            <w:div w:id="1005674071">
              <w:marLeft w:val="0"/>
              <w:marRight w:val="0"/>
              <w:marTop w:val="120"/>
              <w:marBottom w:val="120"/>
              <w:divBdr>
                <w:top w:val="none" w:sz="0" w:space="0" w:color="auto"/>
                <w:left w:val="none" w:sz="0" w:space="0" w:color="auto"/>
                <w:bottom w:val="none" w:sz="0" w:space="0" w:color="auto"/>
                <w:right w:val="none" w:sz="0" w:space="0" w:color="auto"/>
              </w:divBdr>
            </w:div>
          </w:divsChild>
        </w:div>
        <w:div w:id="922953957">
          <w:marLeft w:val="0"/>
          <w:marRight w:val="0"/>
          <w:marTop w:val="0"/>
          <w:marBottom w:val="0"/>
          <w:divBdr>
            <w:top w:val="none" w:sz="0" w:space="0" w:color="auto"/>
            <w:left w:val="none" w:sz="0" w:space="0" w:color="auto"/>
            <w:bottom w:val="none" w:sz="0" w:space="0" w:color="auto"/>
            <w:right w:val="none" w:sz="0" w:space="0" w:color="auto"/>
          </w:divBdr>
          <w:divsChild>
            <w:div w:id="1352803862">
              <w:marLeft w:val="0"/>
              <w:marRight w:val="0"/>
              <w:marTop w:val="120"/>
              <w:marBottom w:val="120"/>
              <w:divBdr>
                <w:top w:val="none" w:sz="0" w:space="0" w:color="auto"/>
                <w:left w:val="none" w:sz="0" w:space="0" w:color="auto"/>
                <w:bottom w:val="none" w:sz="0" w:space="0" w:color="auto"/>
                <w:right w:val="none" w:sz="0" w:space="0" w:color="auto"/>
              </w:divBdr>
            </w:div>
          </w:divsChild>
        </w:div>
        <w:div w:id="990214837">
          <w:marLeft w:val="0"/>
          <w:marRight w:val="0"/>
          <w:marTop w:val="0"/>
          <w:marBottom w:val="0"/>
          <w:divBdr>
            <w:top w:val="none" w:sz="0" w:space="0" w:color="auto"/>
            <w:left w:val="none" w:sz="0" w:space="0" w:color="auto"/>
            <w:bottom w:val="none" w:sz="0" w:space="0" w:color="auto"/>
            <w:right w:val="none" w:sz="0" w:space="0" w:color="auto"/>
          </w:divBdr>
          <w:divsChild>
            <w:div w:id="2132043988">
              <w:marLeft w:val="0"/>
              <w:marRight w:val="0"/>
              <w:marTop w:val="120"/>
              <w:marBottom w:val="120"/>
              <w:divBdr>
                <w:top w:val="none" w:sz="0" w:space="0" w:color="auto"/>
                <w:left w:val="none" w:sz="0" w:space="0" w:color="auto"/>
                <w:bottom w:val="none" w:sz="0" w:space="0" w:color="auto"/>
                <w:right w:val="none" w:sz="0" w:space="0" w:color="auto"/>
              </w:divBdr>
            </w:div>
          </w:divsChild>
        </w:div>
        <w:div w:id="389572405">
          <w:marLeft w:val="0"/>
          <w:marRight w:val="0"/>
          <w:marTop w:val="0"/>
          <w:marBottom w:val="0"/>
          <w:divBdr>
            <w:top w:val="none" w:sz="0" w:space="0" w:color="auto"/>
            <w:left w:val="none" w:sz="0" w:space="0" w:color="auto"/>
            <w:bottom w:val="none" w:sz="0" w:space="0" w:color="auto"/>
            <w:right w:val="none" w:sz="0" w:space="0" w:color="auto"/>
          </w:divBdr>
          <w:divsChild>
            <w:div w:id="463354871">
              <w:marLeft w:val="0"/>
              <w:marRight w:val="0"/>
              <w:marTop w:val="360"/>
              <w:marBottom w:val="120"/>
              <w:divBdr>
                <w:top w:val="none" w:sz="0" w:space="0" w:color="auto"/>
                <w:left w:val="none" w:sz="0" w:space="0" w:color="auto"/>
                <w:bottom w:val="none" w:sz="0" w:space="0" w:color="auto"/>
                <w:right w:val="none" w:sz="0" w:space="0" w:color="auto"/>
              </w:divBdr>
            </w:div>
          </w:divsChild>
        </w:div>
        <w:div w:id="1670937048">
          <w:marLeft w:val="0"/>
          <w:marRight w:val="0"/>
          <w:marTop w:val="0"/>
          <w:marBottom w:val="0"/>
          <w:divBdr>
            <w:top w:val="none" w:sz="0" w:space="0" w:color="auto"/>
            <w:left w:val="none" w:sz="0" w:space="0" w:color="auto"/>
            <w:bottom w:val="none" w:sz="0" w:space="0" w:color="auto"/>
            <w:right w:val="none" w:sz="0" w:space="0" w:color="auto"/>
          </w:divBdr>
          <w:divsChild>
            <w:div w:id="115872498">
              <w:marLeft w:val="0"/>
              <w:marRight w:val="0"/>
              <w:marTop w:val="120"/>
              <w:marBottom w:val="120"/>
              <w:divBdr>
                <w:top w:val="none" w:sz="0" w:space="0" w:color="auto"/>
                <w:left w:val="none" w:sz="0" w:space="0" w:color="auto"/>
                <w:bottom w:val="none" w:sz="0" w:space="0" w:color="auto"/>
                <w:right w:val="none" w:sz="0" w:space="0" w:color="auto"/>
              </w:divBdr>
            </w:div>
          </w:divsChild>
        </w:div>
        <w:div w:id="1533609473">
          <w:marLeft w:val="0"/>
          <w:marRight w:val="0"/>
          <w:marTop w:val="0"/>
          <w:marBottom w:val="0"/>
          <w:divBdr>
            <w:top w:val="none" w:sz="0" w:space="0" w:color="auto"/>
            <w:left w:val="none" w:sz="0" w:space="0" w:color="auto"/>
            <w:bottom w:val="none" w:sz="0" w:space="0" w:color="auto"/>
            <w:right w:val="none" w:sz="0" w:space="0" w:color="auto"/>
          </w:divBdr>
          <w:divsChild>
            <w:div w:id="2025277677">
              <w:marLeft w:val="0"/>
              <w:marRight w:val="0"/>
              <w:marTop w:val="120"/>
              <w:marBottom w:val="120"/>
              <w:divBdr>
                <w:top w:val="none" w:sz="0" w:space="0" w:color="auto"/>
                <w:left w:val="none" w:sz="0" w:space="0" w:color="auto"/>
                <w:bottom w:val="none" w:sz="0" w:space="0" w:color="auto"/>
                <w:right w:val="none" w:sz="0" w:space="0" w:color="auto"/>
              </w:divBdr>
            </w:div>
          </w:divsChild>
        </w:div>
        <w:div w:id="1362321898">
          <w:marLeft w:val="0"/>
          <w:marRight w:val="0"/>
          <w:marTop w:val="0"/>
          <w:marBottom w:val="0"/>
          <w:divBdr>
            <w:top w:val="none" w:sz="0" w:space="0" w:color="auto"/>
            <w:left w:val="none" w:sz="0" w:space="0" w:color="auto"/>
            <w:bottom w:val="none" w:sz="0" w:space="0" w:color="auto"/>
            <w:right w:val="none" w:sz="0" w:space="0" w:color="auto"/>
          </w:divBdr>
          <w:divsChild>
            <w:div w:id="1511411563">
              <w:marLeft w:val="0"/>
              <w:marRight w:val="0"/>
              <w:marTop w:val="120"/>
              <w:marBottom w:val="120"/>
              <w:divBdr>
                <w:top w:val="none" w:sz="0" w:space="0" w:color="auto"/>
                <w:left w:val="none" w:sz="0" w:space="0" w:color="auto"/>
                <w:bottom w:val="none" w:sz="0" w:space="0" w:color="auto"/>
                <w:right w:val="none" w:sz="0" w:space="0" w:color="auto"/>
              </w:divBdr>
            </w:div>
          </w:divsChild>
        </w:div>
        <w:div w:id="81415370">
          <w:marLeft w:val="0"/>
          <w:marRight w:val="0"/>
          <w:marTop w:val="0"/>
          <w:marBottom w:val="0"/>
          <w:divBdr>
            <w:top w:val="none" w:sz="0" w:space="0" w:color="auto"/>
            <w:left w:val="none" w:sz="0" w:space="0" w:color="auto"/>
            <w:bottom w:val="none" w:sz="0" w:space="0" w:color="auto"/>
            <w:right w:val="none" w:sz="0" w:space="0" w:color="auto"/>
          </w:divBdr>
          <w:divsChild>
            <w:div w:id="1953245007">
              <w:marLeft w:val="0"/>
              <w:marRight w:val="0"/>
              <w:marTop w:val="360"/>
              <w:marBottom w:val="120"/>
              <w:divBdr>
                <w:top w:val="none" w:sz="0" w:space="0" w:color="auto"/>
                <w:left w:val="none" w:sz="0" w:space="0" w:color="auto"/>
                <w:bottom w:val="none" w:sz="0" w:space="0" w:color="auto"/>
                <w:right w:val="none" w:sz="0" w:space="0" w:color="auto"/>
              </w:divBdr>
            </w:div>
          </w:divsChild>
        </w:div>
        <w:div w:id="536235420">
          <w:marLeft w:val="0"/>
          <w:marRight w:val="0"/>
          <w:marTop w:val="0"/>
          <w:marBottom w:val="0"/>
          <w:divBdr>
            <w:top w:val="none" w:sz="0" w:space="0" w:color="auto"/>
            <w:left w:val="none" w:sz="0" w:space="0" w:color="auto"/>
            <w:bottom w:val="none" w:sz="0" w:space="0" w:color="auto"/>
            <w:right w:val="none" w:sz="0" w:space="0" w:color="auto"/>
          </w:divBdr>
          <w:divsChild>
            <w:div w:id="209147033">
              <w:marLeft w:val="0"/>
              <w:marRight w:val="0"/>
              <w:marTop w:val="120"/>
              <w:marBottom w:val="120"/>
              <w:divBdr>
                <w:top w:val="none" w:sz="0" w:space="0" w:color="auto"/>
                <w:left w:val="none" w:sz="0" w:space="0" w:color="auto"/>
                <w:bottom w:val="none" w:sz="0" w:space="0" w:color="auto"/>
                <w:right w:val="none" w:sz="0" w:space="0" w:color="auto"/>
              </w:divBdr>
            </w:div>
          </w:divsChild>
        </w:div>
        <w:div w:id="796727453">
          <w:marLeft w:val="0"/>
          <w:marRight w:val="0"/>
          <w:marTop w:val="0"/>
          <w:marBottom w:val="0"/>
          <w:divBdr>
            <w:top w:val="none" w:sz="0" w:space="0" w:color="auto"/>
            <w:left w:val="none" w:sz="0" w:space="0" w:color="auto"/>
            <w:bottom w:val="none" w:sz="0" w:space="0" w:color="auto"/>
            <w:right w:val="none" w:sz="0" w:space="0" w:color="auto"/>
          </w:divBdr>
          <w:divsChild>
            <w:div w:id="2003004315">
              <w:marLeft w:val="0"/>
              <w:marRight w:val="0"/>
              <w:marTop w:val="120"/>
              <w:marBottom w:val="120"/>
              <w:divBdr>
                <w:top w:val="none" w:sz="0" w:space="0" w:color="auto"/>
                <w:left w:val="none" w:sz="0" w:space="0" w:color="auto"/>
                <w:bottom w:val="none" w:sz="0" w:space="0" w:color="auto"/>
                <w:right w:val="none" w:sz="0" w:space="0" w:color="auto"/>
              </w:divBdr>
            </w:div>
          </w:divsChild>
        </w:div>
        <w:div w:id="1173572664">
          <w:marLeft w:val="0"/>
          <w:marRight w:val="0"/>
          <w:marTop w:val="0"/>
          <w:marBottom w:val="0"/>
          <w:divBdr>
            <w:top w:val="none" w:sz="0" w:space="0" w:color="auto"/>
            <w:left w:val="none" w:sz="0" w:space="0" w:color="auto"/>
            <w:bottom w:val="none" w:sz="0" w:space="0" w:color="auto"/>
            <w:right w:val="none" w:sz="0" w:space="0" w:color="auto"/>
          </w:divBdr>
          <w:divsChild>
            <w:div w:id="138775505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2069572598">
      <w:bodyDiv w:val="1"/>
      <w:marLeft w:val="0"/>
      <w:marRight w:val="0"/>
      <w:marTop w:val="0"/>
      <w:marBottom w:val="0"/>
      <w:divBdr>
        <w:top w:val="none" w:sz="0" w:space="0" w:color="auto"/>
        <w:left w:val="none" w:sz="0" w:space="0" w:color="auto"/>
        <w:bottom w:val="none" w:sz="0" w:space="0" w:color="auto"/>
        <w:right w:val="none" w:sz="0" w:space="0" w:color="auto"/>
      </w:divBdr>
    </w:div>
    <w:div w:id="2094013956">
      <w:bodyDiv w:val="1"/>
      <w:marLeft w:val="0"/>
      <w:marRight w:val="0"/>
      <w:marTop w:val="0"/>
      <w:marBottom w:val="0"/>
      <w:divBdr>
        <w:top w:val="none" w:sz="0" w:space="0" w:color="auto"/>
        <w:left w:val="none" w:sz="0" w:space="0" w:color="auto"/>
        <w:bottom w:val="none" w:sz="0" w:space="0" w:color="auto"/>
        <w:right w:val="none" w:sz="0" w:space="0" w:color="auto"/>
      </w:divBdr>
      <w:divsChild>
        <w:div w:id="1001549092">
          <w:marLeft w:val="0"/>
          <w:marRight w:val="0"/>
          <w:marTop w:val="0"/>
          <w:marBottom w:val="0"/>
          <w:divBdr>
            <w:top w:val="none" w:sz="0" w:space="0" w:color="auto"/>
            <w:left w:val="none" w:sz="0" w:space="0" w:color="auto"/>
            <w:bottom w:val="none" w:sz="0" w:space="0" w:color="auto"/>
            <w:right w:val="none" w:sz="0" w:space="0" w:color="auto"/>
          </w:divBdr>
          <w:divsChild>
            <w:div w:id="1901138643">
              <w:marLeft w:val="0"/>
              <w:marRight w:val="0"/>
              <w:marTop w:val="0"/>
              <w:marBottom w:val="0"/>
              <w:divBdr>
                <w:top w:val="none" w:sz="0" w:space="0" w:color="auto"/>
                <w:left w:val="none" w:sz="0" w:space="0" w:color="auto"/>
                <w:bottom w:val="none" w:sz="0" w:space="0" w:color="auto"/>
                <w:right w:val="none" w:sz="0" w:space="0" w:color="auto"/>
              </w:divBdr>
            </w:div>
          </w:divsChild>
        </w:div>
        <w:div w:id="12678836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findia.org/wp-content/uploads/2021/04/swiggy-zomato-delivery-workers-india-entrepreneurs-labour.pdf" TargetMode="External"/><Relationship Id="rId13" Type="http://schemas.openxmlformats.org/officeDocument/2006/relationships/hyperlink" Target="https://www.asiapacific.ca/publication/indias-gig-workers-strike-push-better-wages" TargetMode="External"/><Relationship Id="rId18" Type="http://schemas.openxmlformats.org/officeDocument/2006/relationships/hyperlink" Target="https://www.runnr.in/delivery-partner-tandc.htm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indiacode.nic.in/handle/123456789/15793" TargetMode="External"/><Relationship Id="rId17" Type="http://schemas.openxmlformats.org/officeDocument/2006/relationships/hyperlink" Target="https://www.indiacode.nic.in/show-data?abv=CEN&amp;statehandle=123456789/1362&amp;actid=AC_CEN_6_0_00036_202036_1623221080799&amp;orderno=114&amp;orgactid=AC_CEN_6_0_00036_202036_1623221080799" TargetMode="External"/><Relationship Id="rId2" Type="http://schemas.openxmlformats.org/officeDocument/2006/relationships/numbering" Target="numbering.xml"/><Relationship Id="rId16" Type="http://schemas.openxmlformats.org/officeDocument/2006/relationships/hyperlink" Target="https://www.indiacode.nic.in/show-data?abv=CEN&amp;statehandle=123456789/1362&amp;actid=AC_CEN_6_0_00036_202036_1623221080799&amp;sectionId=54137&amp;sectionno=113&amp;orderno=113&amp;orgactid=AC_CEN_6_0_00036_202036_1623221080799" TargetMode="External"/><Relationship Id="rId20" Type="http://schemas.openxmlformats.org/officeDocument/2006/relationships/hyperlink" Target="https://www.pib.gov.in/www.pib.gov.in/Pressreleaseshare.aspx?PRID=209890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ioe.in/wp-content/uploads/2023/09/Gig_Workers_Bill_2023_1690274461.pdf" TargetMode="External"/><Relationship Id="rId5" Type="http://schemas.openxmlformats.org/officeDocument/2006/relationships/webSettings" Target="webSettings.xml"/><Relationship Id="rId15" Type="http://schemas.openxmlformats.org/officeDocument/2006/relationships/hyperlink" Target="https://www.indiacode.nic.in/show-data?abv=CEN&amp;statehandle=123456789/1362&amp;actid=AC_CEN_6_0_00036_202036_1623221080799&amp;sectionId=54026&amp;sectionno=2&amp;orderno=2&amp;orgactid=AC_CEN_6_0_00036_202036_1623221080799" TargetMode="External"/><Relationship Id="rId10" Type="http://schemas.openxmlformats.org/officeDocument/2006/relationships/hyperlink" Target="https://www.niti.gov.in/sites/default/files/2023-06/Policy_Brief_India%27s_Booming_Gig_and_Platform_Economy_27062022.pdf" TargetMode="External"/><Relationship Id="rId19" Type="http://schemas.openxmlformats.org/officeDocument/2006/relationships/hyperlink" Target="https://thewire.in/labour/the-plight-of-gig-workers-in-india" TargetMode="External"/><Relationship Id="rId4" Type="http://schemas.openxmlformats.org/officeDocument/2006/relationships/settings" Target="settings.xml"/><Relationship Id="rId9" Type="http://schemas.openxmlformats.org/officeDocument/2006/relationships/hyperlink" Target="https://labour.gov.in/sites/default/files/osh_gazette.pdf" TargetMode="External"/><Relationship Id="rId14" Type="http://schemas.openxmlformats.org/officeDocument/2006/relationships/hyperlink" Target="https://nonprofitquarterly.org/how-indias-gig-worker-unions-are-fighting-for-change/"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3205B1E1-D001-4F52-B92F-25D837A01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5673</TotalTime>
  <Pages>7</Pages>
  <Words>2651</Words>
  <Characters>16841</Characters>
  <Application>Microsoft Office Word</Application>
  <DocSecurity>0</DocSecurity>
  <Lines>230</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14</cp:revision>
  <dcterms:created xsi:type="dcterms:W3CDTF">2025-06-07T03:08:00Z</dcterms:created>
  <dcterms:modified xsi:type="dcterms:W3CDTF">2025-06-25T12:37:00Z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2d3a5df3-fc35-4cc9-847a-15d89f8e37f4</vt:lpwstr>
  </property>
  <property fmtid="{D5CDD505-2E9C-101B-9397-08002B2CF9AE}" pid="3" name="ZOTERO_PREF_1">
    <vt:lpwstr>&lt;data data-version="3" zotero-version="7.0.15"&gt;&lt;session id="b8axgYwn"/&gt;&lt;style id="http://www.zotero.org/styles/bluebook-law-review" hasBibliography="0" bibliographyStyleHasBeenSet="0"/&gt;&lt;prefs&gt;&lt;pref name="fieldType" value="Field"/&gt;&lt;pref name="automaticJour</vt:lpwstr>
  </property>
  <property fmtid="{D5CDD505-2E9C-101B-9397-08002B2CF9AE}" pid="4" name="ZOTERO_PREF_2">
    <vt:lpwstr>nalAbbreviations" value="true"/&gt;&lt;pref name="noteType" value="1"/&gt;&lt;/prefs&gt;&lt;/data&gt;</vt:lpwstr>
  </property>
</Properties>
</file>