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FE9B4" w14:textId="77777777" w:rsidR="00DD0123" w:rsidRDefault="00DD0123" w:rsidP="00EE17A2">
      <w:pPr>
        <w:pStyle w:val="TOCHeading"/>
        <w:pBdr>
          <w:bottom w:val="single" w:sz="18" w:space="1" w:color="auto"/>
        </w:pBdr>
        <w:spacing w:line="480" w:lineRule="auto"/>
        <w:jc w:val="center"/>
        <w:rPr>
          <w:rFonts w:asciiTheme="minorHAnsi" w:eastAsiaTheme="minorEastAsia" w:hAnsiTheme="minorHAnsi" w:cstheme="minorBidi"/>
          <w:color w:val="auto"/>
          <w:kern w:val="2"/>
          <w:sz w:val="24"/>
          <w:szCs w:val="24"/>
          <w:lang w:val="en-IN" w:eastAsia="zh-CN"/>
          <w14:ligatures w14:val="standardContextual"/>
        </w:rPr>
      </w:pPr>
    </w:p>
    <w:sdt>
      <w:sdtPr>
        <w:rPr>
          <w:rFonts w:asciiTheme="minorHAnsi" w:eastAsiaTheme="minorEastAsia" w:hAnsiTheme="minorHAnsi" w:cstheme="minorBidi"/>
          <w:color w:val="auto"/>
          <w:kern w:val="2"/>
          <w:sz w:val="24"/>
          <w:szCs w:val="24"/>
          <w:lang w:val="en-IN" w:eastAsia="zh-CN"/>
          <w14:ligatures w14:val="standardContextual"/>
        </w:rPr>
        <w:id w:val="-1529783998"/>
        <w:docPartObj>
          <w:docPartGallery w:val="Table of Contents"/>
          <w:docPartUnique/>
        </w:docPartObj>
      </w:sdtPr>
      <w:sdtEndPr>
        <w:rPr>
          <w:b/>
          <w:bCs/>
          <w:noProof/>
        </w:rPr>
      </w:sdtEndPr>
      <w:sdtContent>
        <w:p w14:paraId="13B41E31" w14:textId="4B93D502" w:rsidR="002028E2" w:rsidRDefault="00EE17A2" w:rsidP="00EE17A2">
          <w:pPr>
            <w:pStyle w:val="TOCHeading"/>
            <w:pBdr>
              <w:bottom w:val="single" w:sz="18" w:space="1" w:color="auto"/>
            </w:pBdr>
            <w:spacing w:line="480" w:lineRule="auto"/>
            <w:jc w:val="center"/>
            <w:rPr>
              <w:rStyle w:val="IntenseReference"/>
              <w:rFonts w:ascii="Times New Roman" w:hAnsi="Times New Roman" w:cs="Times New Roman"/>
              <w:color w:val="auto"/>
            </w:rPr>
          </w:pPr>
          <w:r w:rsidRPr="00EE17A2">
            <w:rPr>
              <w:rStyle w:val="IntenseReference"/>
              <w:rFonts w:ascii="Times New Roman" w:hAnsi="Times New Roman" w:cs="Times New Roman"/>
              <w:color w:val="auto"/>
            </w:rPr>
            <w:t>Table Of Content</w:t>
          </w:r>
        </w:p>
        <w:p w14:paraId="2B9E273C" w14:textId="77777777" w:rsidR="00EE17A2" w:rsidRPr="00EE17A2" w:rsidRDefault="00EE17A2" w:rsidP="00EE17A2">
          <w:pPr>
            <w:rPr>
              <w:lang w:val="en-US" w:eastAsia="en-US"/>
            </w:rPr>
          </w:pPr>
        </w:p>
        <w:p w14:paraId="5317D57D" w14:textId="1CC9D18A" w:rsidR="00EE17A2" w:rsidRPr="00EE17A2" w:rsidRDefault="002028E2" w:rsidP="00EE17A2">
          <w:pPr>
            <w:pStyle w:val="TOC1"/>
            <w:numPr>
              <w:ilvl w:val="0"/>
              <w:numId w:val="6"/>
            </w:numPr>
            <w:tabs>
              <w:tab w:val="right" w:leader="dot" w:pos="9016"/>
            </w:tabs>
            <w:spacing w:line="480" w:lineRule="auto"/>
            <w:jc w:val="both"/>
            <w:rPr>
              <w:rFonts w:ascii="Times New Roman" w:hAnsi="Times New Roman" w:cs="Times New Roman"/>
              <w:noProof/>
            </w:rPr>
          </w:pPr>
          <w:r w:rsidRPr="00EE17A2">
            <w:rPr>
              <w:rFonts w:ascii="Times New Roman" w:hAnsi="Times New Roman" w:cs="Times New Roman"/>
            </w:rPr>
            <w:fldChar w:fldCharType="begin"/>
          </w:r>
          <w:r w:rsidRPr="00EE17A2">
            <w:rPr>
              <w:rFonts w:ascii="Times New Roman" w:hAnsi="Times New Roman" w:cs="Times New Roman"/>
            </w:rPr>
            <w:instrText xml:space="preserve"> TOC \o "1-3" \h \z \u </w:instrText>
          </w:r>
          <w:r w:rsidRPr="00EE17A2">
            <w:rPr>
              <w:rFonts w:ascii="Times New Roman" w:hAnsi="Times New Roman" w:cs="Times New Roman"/>
            </w:rPr>
            <w:fldChar w:fldCharType="separate"/>
          </w:r>
          <w:hyperlink w:anchor="_Toc196504641" w:history="1">
            <w:r w:rsidR="00EE17A2" w:rsidRPr="00EE17A2">
              <w:rPr>
                <w:rStyle w:val="Hyperlink"/>
                <w:rFonts w:ascii="Times New Roman" w:hAnsi="Times New Roman" w:cs="Times New Roman"/>
                <w:noProof/>
              </w:rPr>
              <w:t>Introduction</w:t>
            </w:r>
            <w:r w:rsidR="00EE17A2" w:rsidRPr="00EE17A2">
              <w:rPr>
                <w:rFonts w:ascii="Times New Roman" w:hAnsi="Times New Roman" w:cs="Times New Roman"/>
                <w:noProof/>
                <w:webHidden/>
              </w:rPr>
              <w:tab/>
            </w:r>
            <w:r w:rsidR="00EE17A2" w:rsidRPr="00EE17A2">
              <w:rPr>
                <w:rFonts w:ascii="Times New Roman" w:hAnsi="Times New Roman" w:cs="Times New Roman"/>
                <w:noProof/>
                <w:webHidden/>
              </w:rPr>
              <w:fldChar w:fldCharType="begin"/>
            </w:r>
            <w:r w:rsidR="00EE17A2" w:rsidRPr="00EE17A2">
              <w:rPr>
                <w:rFonts w:ascii="Times New Roman" w:hAnsi="Times New Roman" w:cs="Times New Roman"/>
                <w:noProof/>
                <w:webHidden/>
              </w:rPr>
              <w:instrText xml:space="preserve"> PAGEREF _Toc196504641 \h </w:instrText>
            </w:r>
            <w:r w:rsidR="00EE17A2" w:rsidRPr="00EE17A2">
              <w:rPr>
                <w:rFonts w:ascii="Times New Roman" w:hAnsi="Times New Roman" w:cs="Times New Roman"/>
                <w:noProof/>
                <w:webHidden/>
              </w:rPr>
            </w:r>
            <w:r w:rsidR="00EE17A2" w:rsidRPr="00EE17A2">
              <w:rPr>
                <w:rFonts w:ascii="Times New Roman" w:hAnsi="Times New Roman" w:cs="Times New Roman"/>
                <w:noProof/>
                <w:webHidden/>
              </w:rPr>
              <w:fldChar w:fldCharType="separate"/>
            </w:r>
            <w:r w:rsidR="004F3ECE">
              <w:rPr>
                <w:rFonts w:ascii="Times New Roman" w:hAnsi="Times New Roman" w:cs="Times New Roman"/>
                <w:noProof/>
                <w:webHidden/>
              </w:rPr>
              <w:t>2</w:t>
            </w:r>
            <w:r w:rsidR="00EE17A2" w:rsidRPr="00EE17A2">
              <w:rPr>
                <w:rFonts w:ascii="Times New Roman" w:hAnsi="Times New Roman" w:cs="Times New Roman"/>
                <w:noProof/>
                <w:webHidden/>
              </w:rPr>
              <w:fldChar w:fldCharType="end"/>
            </w:r>
          </w:hyperlink>
        </w:p>
        <w:p w14:paraId="5465ED08" w14:textId="77F2F439"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2" w:history="1">
            <w:r w:rsidRPr="00EE17A2">
              <w:rPr>
                <w:rStyle w:val="Hyperlink"/>
                <w:rFonts w:ascii="Times New Roman" w:hAnsi="Times New Roman" w:cs="Times New Roman"/>
                <w:noProof/>
              </w:rPr>
              <w:t>What Is Pharmacovigilence?</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_Toc196504642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2</w:t>
            </w:r>
            <w:r w:rsidRPr="00EE17A2">
              <w:rPr>
                <w:rFonts w:ascii="Times New Roman" w:hAnsi="Times New Roman" w:cs="Times New Roman"/>
                <w:noProof/>
                <w:webHidden/>
              </w:rPr>
              <w:fldChar w:fldCharType="end"/>
            </w:r>
          </w:hyperlink>
        </w:p>
        <w:p w14:paraId="654336D4" w14:textId="3AA6E65D"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3" w:history="1">
            <w:r w:rsidRPr="00EE17A2">
              <w:rPr>
                <w:rStyle w:val="Hyperlink"/>
                <w:rFonts w:ascii="Times New Roman" w:hAnsi="Times New Roman" w:cs="Times New Roman"/>
                <w:noProof/>
              </w:rPr>
              <w:t>Pharmacovigilance Programme Of India (Pv</w:t>
            </w:r>
            <w:r>
              <w:rPr>
                <w:rStyle w:val="Hyperlink"/>
                <w:rFonts w:ascii="Times New Roman" w:hAnsi="Times New Roman" w:cs="Times New Roman"/>
                <w:noProof/>
              </w:rPr>
              <w:t>PI</w:t>
            </w:r>
            <w:r w:rsidRPr="00EE17A2">
              <w:rPr>
                <w:rStyle w:val="Hyperlink"/>
                <w:rFonts w:ascii="Times New Roman" w:hAnsi="Times New Roman" w:cs="Times New Roman"/>
                <w:noProof/>
              </w:rPr>
              <w:t>)</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_Toc196504643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3</w:t>
            </w:r>
            <w:r w:rsidRPr="00EE17A2">
              <w:rPr>
                <w:rFonts w:ascii="Times New Roman" w:hAnsi="Times New Roman" w:cs="Times New Roman"/>
                <w:noProof/>
                <w:webHidden/>
              </w:rPr>
              <w:fldChar w:fldCharType="end"/>
            </w:r>
          </w:hyperlink>
        </w:p>
        <w:p w14:paraId="5E9B4492" w14:textId="4A7A9EB9" w:rsidR="00EE17A2" w:rsidRPr="00EE17A2" w:rsidRDefault="00EE17A2" w:rsidP="00EE17A2">
          <w:pPr>
            <w:pStyle w:val="TOC2"/>
            <w:numPr>
              <w:ilvl w:val="0"/>
              <w:numId w:val="6"/>
            </w:numPr>
            <w:tabs>
              <w:tab w:val="right" w:leader="dot" w:pos="9016"/>
            </w:tabs>
            <w:spacing w:line="480" w:lineRule="auto"/>
            <w:jc w:val="both"/>
            <w:rPr>
              <w:rFonts w:ascii="Times New Roman" w:hAnsi="Times New Roman" w:cs="Times New Roman"/>
              <w:noProof/>
            </w:rPr>
          </w:pPr>
          <w:hyperlink w:anchor="_Toc196504644" w:history="1">
            <w:r w:rsidRPr="00EE17A2">
              <w:rPr>
                <w:rStyle w:val="Hyperlink"/>
                <w:rFonts w:ascii="Times New Roman" w:hAnsi="Times New Roman" w:cs="Times New Roman"/>
                <w:noProof/>
              </w:rPr>
              <w:t>Establishment Of A</w:t>
            </w:r>
            <w:r>
              <w:rPr>
                <w:rStyle w:val="Hyperlink"/>
                <w:rFonts w:ascii="Times New Roman" w:hAnsi="Times New Roman" w:cs="Times New Roman"/>
                <w:noProof/>
              </w:rPr>
              <w:t>MC</w:t>
            </w:r>
            <w:r w:rsidRPr="00EE17A2">
              <w:rPr>
                <w:rStyle w:val="Hyperlink"/>
                <w:rFonts w:ascii="Times New Roman" w:hAnsi="Times New Roman" w:cs="Times New Roman"/>
                <w:noProof/>
              </w:rPr>
              <w:t>s Under The Pv</w:t>
            </w:r>
            <w:r>
              <w:rPr>
                <w:rStyle w:val="Hyperlink"/>
                <w:rFonts w:ascii="Times New Roman" w:hAnsi="Times New Roman" w:cs="Times New Roman"/>
                <w:noProof/>
              </w:rPr>
              <w:t>PI</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_Toc196504644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4</w:t>
            </w:r>
            <w:r w:rsidRPr="00EE17A2">
              <w:rPr>
                <w:rFonts w:ascii="Times New Roman" w:hAnsi="Times New Roman" w:cs="Times New Roman"/>
                <w:noProof/>
                <w:webHidden/>
              </w:rPr>
              <w:fldChar w:fldCharType="end"/>
            </w:r>
          </w:hyperlink>
        </w:p>
        <w:p w14:paraId="05A281EA" w14:textId="60BDFC36"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5" w:history="1">
            <w:r w:rsidRPr="00EE17A2">
              <w:rPr>
                <w:rStyle w:val="Hyperlink"/>
                <w:rFonts w:ascii="Times New Roman" w:hAnsi="Times New Roman" w:cs="Times New Roman"/>
                <w:noProof/>
              </w:rPr>
              <w:t>New Drugs And Clinical Trials Rules, 2019</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_Toc196504645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5</w:t>
            </w:r>
            <w:r w:rsidRPr="00EE17A2">
              <w:rPr>
                <w:rFonts w:ascii="Times New Roman" w:hAnsi="Times New Roman" w:cs="Times New Roman"/>
                <w:noProof/>
                <w:webHidden/>
              </w:rPr>
              <w:fldChar w:fldCharType="end"/>
            </w:r>
          </w:hyperlink>
        </w:p>
        <w:p w14:paraId="465E9E90" w14:textId="4D403A70" w:rsidR="00EE17A2" w:rsidRPr="00EE17A2" w:rsidRDefault="00EE17A2" w:rsidP="00EE17A2">
          <w:pPr>
            <w:pStyle w:val="TOC2"/>
            <w:numPr>
              <w:ilvl w:val="0"/>
              <w:numId w:val="6"/>
            </w:numPr>
            <w:tabs>
              <w:tab w:val="right" w:leader="dot" w:pos="9016"/>
            </w:tabs>
            <w:spacing w:line="480" w:lineRule="auto"/>
            <w:jc w:val="both"/>
            <w:rPr>
              <w:rFonts w:ascii="Times New Roman" w:hAnsi="Times New Roman" w:cs="Times New Roman"/>
              <w:noProof/>
            </w:rPr>
          </w:pPr>
          <w:hyperlink w:anchor="_Toc196504646" w:history="1">
            <w:r w:rsidRPr="00EE17A2">
              <w:rPr>
                <w:rStyle w:val="Hyperlink"/>
                <w:rFonts w:ascii="Times New Roman" w:hAnsi="Times New Roman" w:cs="Times New Roman"/>
                <w:noProof/>
              </w:rPr>
              <w:t>Post-Marketing Surveillance Under N</w:t>
            </w:r>
            <w:r>
              <w:rPr>
                <w:rStyle w:val="Hyperlink"/>
                <w:rFonts w:ascii="Times New Roman" w:hAnsi="Times New Roman" w:cs="Times New Roman"/>
                <w:noProof/>
              </w:rPr>
              <w:t>DCTR</w:t>
            </w:r>
            <w:r w:rsidRPr="00EE17A2">
              <w:rPr>
                <w:rStyle w:val="Hyperlink"/>
                <w:rFonts w:ascii="Times New Roman" w:hAnsi="Times New Roman" w:cs="Times New Roman"/>
                <w:noProof/>
              </w:rPr>
              <w:t>, 2019</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_Toc196504646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6</w:t>
            </w:r>
            <w:r w:rsidRPr="00EE17A2">
              <w:rPr>
                <w:rFonts w:ascii="Times New Roman" w:hAnsi="Times New Roman" w:cs="Times New Roman"/>
                <w:noProof/>
                <w:webHidden/>
              </w:rPr>
              <w:fldChar w:fldCharType="end"/>
            </w:r>
          </w:hyperlink>
        </w:p>
        <w:p w14:paraId="36F5C8C3" w14:textId="3410A6A1"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7" w:history="1">
            <w:r w:rsidRPr="00EE17A2">
              <w:rPr>
                <w:rStyle w:val="Hyperlink"/>
                <w:rFonts w:ascii="Times New Roman" w:hAnsi="Times New Roman" w:cs="Times New Roman"/>
                <w:noProof/>
              </w:rPr>
              <w:t>What Does This Mean For Pharmcovigilence In India?</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_Toc196504647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7</w:t>
            </w:r>
            <w:r w:rsidRPr="00EE17A2">
              <w:rPr>
                <w:rFonts w:ascii="Times New Roman" w:hAnsi="Times New Roman" w:cs="Times New Roman"/>
                <w:noProof/>
                <w:webHidden/>
              </w:rPr>
              <w:fldChar w:fldCharType="end"/>
            </w:r>
          </w:hyperlink>
        </w:p>
        <w:p w14:paraId="0E23C180" w14:textId="7805AA0D"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8" w:history="1">
            <w:r w:rsidRPr="00EE17A2">
              <w:rPr>
                <w:rStyle w:val="Hyperlink"/>
                <w:rFonts w:ascii="Times New Roman" w:hAnsi="Times New Roman" w:cs="Times New Roman"/>
                <w:noProof/>
              </w:rPr>
              <w:t>Persistent Challenges In Drug Safety Despite Pre-Trial And Post-Marketing Regulations</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_Toc196504648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8</w:t>
            </w:r>
            <w:r w:rsidRPr="00EE17A2">
              <w:rPr>
                <w:rFonts w:ascii="Times New Roman" w:hAnsi="Times New Roman" w:cs="Times New Roman"/>
                <w:noProof/>
                <w:webHidden/>
              </w:rPr>
              <w:fldChar w:fldCharType="end"/>
            </w:r>
          </w:hyperlink>
        </w:p>
        <w:p w14:paraId="0CC30B1E" w14:textId="657C5C80"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49" w:history="1">
            <w:r w:rsidRPr="00EE17A2">
              <w:rPr>
                <w:rStyle w:val="Hyperlink"/>
                <w:rFonts w:ascii="Times New Roman" w:hAnsi="Times New Roman" w:cs="Times New Roman"/>
                <w:noProof/>
              </w:rPr>
              <w:t>Recommendations</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_Toc196504649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8</w:t>
            </w:r>
            <w:r w:rsidRPr="00EE17A2">
              <w:rPr>
                <w:rFonts w:ascii="Times New Roman" w:hAnsi="Times New Roman" w:cs="Times New Roman"/>
                <w:noProof/>
                <w:webHidden/>
              </w:rPr>
              <w:fldChar w:fldCharType="end"/>
            </w:r>
          </w:hyperlink>
        </w:p>
        <w:p w14:paraId="318E398B" w14:textId="5F005FC7" w:rsidR="00EE17A2" w:rsidRPr="00EE17A2" w:rsidRDefault="00EE17A2" w:rsidP="00EE17A2">
          <w:pPr>
            <w:pStyle w:val="TOC1"/>
            <w:numPr>
              <w:ilvl w:val="0"/>
              <w:numId w:val="6"/>
            </w:numPr>
            <w:tabs>
              <w:tab w:val="right" w:leader="dot" w:pos="9016"/>
            </w:tabs>
            <w:spacing w:line="480" w:lineRule="auto"/>
            <w:jc w:val="both"/>
            <w:rPr>
              <w:rFonts w:ascii="Times New Roman" w:hAnsi="Times New Roman" w:cs="Times New Roman"/>
              <w:noProof/>
            </w:rPr>
          </w:pPr>
          <w:hyperlink w:anchor="_Toc196504650" w:history="1">
            <w:r w:rsidRPr="00EE17A2">
              <w:rPr>
                <w:rStyle w:val="Hyperlink"/>
                <w:rFonts w:ascii="Times New Roman" w:hAnsi="Times New Roman" w:cs="Times New Roman"/>
                <w:noProof/>
              </w:rPr>
              <w:t>Conclusion</w:t>
            </w:r>
            <w:r w:rsidRPr="00EE17A2">
              <w:rPr>
                <w:rFonts w:ascii="Times New Roman" w:hAnsi="Times New Roman" w:cs="Times New Roman"/>
                <w:noProof/>
                <w:webHidden/>
              </w:rPr>
              <w:tab/>
            </w:r>
            <w:r w:rsidRPr="00EE17A2">
              <w:rPr>
                <w:rFonts w:ascii="Times New Roman" w:hAnsi="Times New Roman" w:cs="Times New Roman"/>
                <w:noProof/>
                <w:webHidden/>
              </w:rPr>
              <w:fldChar w:fldCharType="begin"/>
            </w:r>
            <w:r w:rsidRPr="00EE17A2">
              <w:rPr>
                <w:rFonts w:ascii="Times New Roman" w:hAnsi="Times New Roman" w:cs="Times New Roman"/>
                <w:noProof/>
                <w:webHidden/>
              </w:rPr>
              <w:instrText xml:space="preserve"> PAGEREF _Toc196504650 \h </w:instrText>
            </w:r>
            <w:r w:rsidRPr="00EE17A2">
              <w:rPr>
                <w:rFonts w:ascii="Times New Roman" w:hAnsi="Times New Roman" w:cs="Times New Roman"/>
                <w:noProof/>
                <w:webHidden/>
              </w:rPr>
            </w:r>
            <w:r w:rsidRPr="00EE17A2">
              <w:rPr>
                <w:rFonts w:ascii="Times New Roman" w:hAnsi="Times New Roman" w:cs="Times New Roman"/>
                <w:noProof/>
                <w:webHidden/>
              </w:rPr>
              <w:fldChar w:fldCharType="separate"/>
            </w:r>
            <w:r w:rsidR="004F3ECE">
              <w:rPr>
                <w:rFonts w:ascii="Times New Roman" w:hAnsi="Times New Roman" w:cs="Times New Roman"/>
                <w:noProof/>
                <w:webHidden/>
              </w:rPr>
              <w:t>9</w:t>
            </w:r>
            <w:r w:rsidRPr="00EE17A2">
              <w:rPr>
                <w:rFonts w:ascii="Times New Roman" w:hAnsi="Times New Roman" w:cs="Times New Roman"/>
                <w:noProof/>
                <w:webHidden/>
              </w:rPr>
              <w:fldChar w:fldCharType="end"/>
            </w:r>
          </w:hyperlink>
        </w:p>
        <w:p w14:paraId="7FF7026E" w14:textId="38425373" w:rsidR="002028E2" w:rsidRDefault="002028E2" w:rsidP="00EE17A2">
          <w:pPr>
            <w:spacing w:line="480" w:lineRule="auto"/>
          </w:pPr>
          <w:r w:rsidRPr="00EE17A2">
            <w:rPr>
              <w:rFonts w:ascii="Times New Roman" w:hAnsi="Times New Roman" w:cs="Times New Roman"/>
              <w:noProof/>
            </w:rPr>
            <w:fldChar w:fldCharType="end"/>
          </w:r>
        </w:p>
      </w:sdtContent>
    </w:sdt>
    <w:p w14:paraId="30DB7296" w14:textId="77777777" w:rsidR="002028E2" w:rsidRDefault="002028E2" w:rsidP="00B9400E">
      <w:pPr>
        <w:pStyle w:val="Title"/>
        <w:spacing w:line="360" w:lineRule="auto"/>
        <w:jc w:val="center"/>
        <w:rPr>
          <w:rStyle w:val="IntenseReference"/>
          <w:rFonts w:ascii="Times New Roman" w:hAnsi="Times New Roman" w:cs="Times New Roman"/>
          <w:color w:val="auto"/>
          <w:sz w:val="24"/>
          <w:szCs w:val="24"/>
        </w:rPr>
      </w:pPr>
    </w:p>
    <w:p w14:paraId="234ACFA3" w14:textId="77777777" w:rsidR="002028E2" w:rsidRDefault="002028E2">
      <w:pPr>
        <w:rPr>
          <w:rStyle w:val="IntenseReference"/>
          <w:rFonts w:ascii="Times New Roman" w:eastAsiaTheme="majorEastAsia" w:hAnsi="Times New Roman" w:cs="Times New Roman"/>
          <w:color w:val="auto"/>
          <w:kern w:val="28"/>
        </w:rPr>
      </w:pPr>
      <w:r>
        <w:rPr>
          <w:rStyle w:val="IntenseReference"/>
          <w:rFonts w:ascii="Times New Roman" w:hAnsi="Times New Roman" w:cs="Times New Roman"/>
          <w:color w:val="auto"/>
        </w:rPr>
        <w:br w:type="page"/>
      </w:r>
    </w:p>
    <w:p w14:paraId="21F3A5C6" w14:textId="6DC7C12D" w:rsidR="0042323B" w:rsidRPr="00B9400E" w:rsidRDefault="00B9400E" w:rsidP="00B9400E">
      <w:pPr>
        <w:pStyle w:val="Title"/>
        <w:spacing w:line="360" w:lineRule="auto"/>
        <w:jc w:val="center"/>
        <w:rPr>
          <w:rStyle w:val="IntenseReference"/>
          <w:rFonts w:ascii="Times New Roman" w:hAnsi="Times New Roman" w:cs="Times New Roman"/>
          <w:color w:val="auto"/>
          <w:sz w:val="24"/>
          <w:szCs w:val="24"/>
        </w:rPr>
      </w:pPr>
      <w:r w:rsidRPr="00B9400E">
        <w:rPr>
          <w:rStyle w:val="IntenseReference"/>
          <w:rFonts w:ascii="Times New Roman" w:hAnsi="Times New Roman" w:cs="Times New Roman"/>
          <w:color w:val="auto"/>
          <w:sz w:val="24"/>
          <w:szCs w:val="24"/>
        </w:rPr>
        <w:lastRenderedPageBreak/>
        <w:t>PHARMACOVIGILANCE IN INDIA: EVALUATING THE IMPACT OF THE NEW DRUGS AND CLINICAL TRIALS RULES, 2019</w:t>
      </w:r>
    </w:p>
    <w:p w14:paraId="16DEE1A2" w14:textId="24CD5948" w:rsidR="0040689C" w:rsidRPr="008919CB" w:rsidRDefault="00E06FE1" w:rsidP="008919CB">
      <w:pPr>
        <w:pStyle w:val="Heading1"/>
        <w:rPr>
          <w:rFonts w:ascii="Times New Roman" w:hAnsi="Times New Roman" w:cs="Times New Roman"/>
          <w:b/>
          <w:bCs/>
          <w:color w:val="auto"/>
          <w:sz w:val="24"/>
          <w:szCs w:val="24"/>
        </w:rPr>
      </w:pPr>
      <w:bookmarkStart w:id="0" w:name="_Toc196504641"/>
      <w:r w:rsidRPr="008919CB">
        <w:rPr>
          <w:rFonts w:ascii="Times New Roman" w:hAnsi="Times New Roman" w:cs="Times New Roman"/>
          <w:b/>
          <w:bCs/>
          <w:color w:val="auto"/>
          <w:sz w:val="24"/>
          <w:szCs w:val="24"/>
        </w:rPr>
        <w:t>INTRODUCTION</w:t>
      </w:r>
      <w:bookmarkEnd w:id="0"/>
      <w:r w:rsidRPr="008919CB">
        <w:rPr>
          <w:rFonts w:ascii="Times New Roman" w:hAnsi="Times New Roman" w:cs="Times New Roman"/>
          <w:b/>
          <w:bCs/>
          <w:color w:val="auto"/>
          <w:sz w:val="24"/>
          <w:szCs w:val="24"/>
        </w:rPr>
        <w:t xml:space="preserve"> </w:t>
      </w:r>
    </w:p>
    <w:p w14:paraId="762FB012" w14:textId="39671956" w:rsidR="008F155A" w:rsidRDefault="006A6450" w:rsidP="00323220">
      <w:pPr>
        <w:spacing w:line="360" w:lineRule="auto"/>
        <w:jc w:val="both"/>
        <w:rPr>
          <w:rFonts w:ascii="Times New Roman" w:hAnsi="Times New Roman" w:cs="Times New Roman"/>
        </w:rPr>
      </w:pPr>
      <w:r w:rsidRPr="006A6450">
        <w:rPr>
          <w:rFonts w:ascii="Times New Roman" w:hAnsi="Times New Roman" w:cs="Times New Roman"/>
        </w:rPr>
        <w:t xml:space="preserve">The pharmaceutical sector in India is </w:t>
      </w:r>
      <w:r w:rsidR="00A546DC">
        <w:rPr>
          <w:rFonts w:ascii="Times New Roman" w:hAnsi="Times New Roman" w:cs="Times New Roman"/>
        </w:rPr>
        <w:t>rapidly expanding</w:t>
      </w:r>
      <w:r w:rsidR="00B07379">
        <w:rPr>
          <w:rFonts w:ascii="Times New Roman" w:hAnsi="Times New Roman" w:cs="Times New Roman"/>
        </w:rPr>
        <w:t>,</w:t>
      </w:r>
      <w:r w:rsidRPr="006A6450">
        <w:rPr>
          <w:rFonts w:ascii="Times New Roman" w:hAnsi="Times New Roman" w:cs="Times New Roman"/>
        </w:rPr>
        <w:t xml:space="preserve"> currently worth about $50 billion and is expected to increase at a</w:t>
      </w:r>
      <w:r w:rsidR="00B07379">
        <w:rPr>
          <w:rFonts w:ascii="Times New Roman" w:hAnsi="Times New Roman" w:cs="Times New Roman"/>
        </w:rPr>
        <w:t xml:space="preserve"> rate of</w:t>
      </w:r>
      <w:r w:rsidR="00AF63DC">
        <w:rPr>
          <w:rFonts w:ascii="Times New Roman" w:hAnsi="Times New Roman" w:cs="Times New Roman"/>
        </w:rPr>
        <w:t xml:space="preserve"> </w:t>
      </w:r>
      <w:r w:rsidRPr="006A6450">
        <w:rPr>
          <w:rFonts w:ascii="Times New Roman" w:hAnsi="Times New Roman" w:cs="Times New Roman"/>
        </w:rPr>
        <w:t>10.7% annual</w:t>
      </w:r>
      <w:r w:rsidR="00AF63DC">
        <w:rPr>
          <w:rFonts w:ascii="Times New Roman" w:hAnsi="Times New Roman" w:cs="Times New Roman"/>
        </w:rPr>
        <w:t>ly</w:t>
      </w:r>
      <w:r w:rsidRPr="006A6450">
        <w:rPr>
          <w:rFonts w:ascii="Times New Roman" w:hAnsi="Times New Roman" w:cs="Times New Roman"/>
        </w:rPr>
        <w:t xml:space="preserve"> until 2030. </w:t>
      </w:r>
      <w:r w:rsidR="000A5D69">
        <w:rPr>
          <w:rFonts w:ascii="Times New Roman" w:hAnsi="Times New Roman" w:cs="Times New Roman"/>
        </w:rPr>
        <w:t>And b</w:t>
      </w:r>
      <w:r w:rsidRPr="006A6450">
        <w:rPr>
          <w:rFonts w:ascii="Times New Roman" w:hAnsi="Times New Roman" w:cs="Times New Roman"/>
        </w:rPr>
        <w:t>y 2047, the industry is predicted to be valued at $450 billion if it continues to grow</w:t>
      </w:r>
      <w:r w:rsidR="00221CAC" w:rsidRPr="00F632C8">
        <w:rPr>
          <w:rFonts w:ascii="Times New Roman" w:hAnsi="Times New Roman" w:cs="Times New Roman"/>
        </w:rPr>
        <w:t>.</w:t>
      </w:r>
      <w:r w:rsidR="008F155A">
        <w:rPr>
          <w:rStyle w:val="EndnoteReference"/>
          <w:rFonts w:ascii="Times New Roman" w:hAnsi="Times New Roman" w:cs="Times New Roman"/>
        </w:rPr>
        <w:endnoteReference w:id="1"/>
      </w:r>
      <w:r w:rsidR="008F155A" w:rsidRPr="006A6450">
        <w:rPr>
          <w:rFonts w:ascii="Times New Roman" w:hAnsi="Times New Roman" w:cs="Times New Roman"/>
        </w:rPr>
        <w:t xml:space="preserve"> </w:t>
      </w:r>
      <w:r w:rsidR="008F155A">
        <w:rPr>
          <w:rFonts w:ascii="Times New Roman" w:hAnsi="Times New Roman" w:cs="Times New Roman"/>
        </w:rPr>
        <w:t>The more growth the industry withstands, t</w:t>
      </w:r>
      <w:r w:rsidR="008F155A" w:rsidRPr="006A6450">
        <w:rPr>
          <w:rFonts w:ascii="Times New Roman" w:hAnsi="Times New Roman" w:cs="Times New Roman"/>
        </w:rPr>
        <w:t xml:space="preserve">he necessity for strict regulatory control </w:t>
      </w:r>
      <w:r w:rsidR="008F155A">
        <w:rPr>
          <w:rFonts w:ascii="Times New Roman" w:hAnsi="Times New Roman" w:cs="Times New Roman"/>
        </w:rPr>
        <w:t>increases</w:t>
      </w:r>
      <w:r w:rsidR="008F155A" w:rsidRPr="006A6450">
        <w:rPr>
          <w:rFonts w:ascii="Times New Roman" w:hAnsi="Times New Roman" w:cs="Times New Roman"/>
        </w:rPr>
        <w:t xml:space="preserve"> as </w:t>
      </w:r>
      <w:r w:rsidR="008F155A">
        <w:rPr>
          <w:rFonts w:ascii="Times New Roman" w:hAnsi="Times New Roman" w:cs="Times New Roman"/>
        </w:rPr>
        <w:t xml:space="preserve">new players enter the industry drawn by </w:t>
      </w:r>
      <w:r w:rsidR="008F155A" w:rsidRPr="006A6450">
        <w:rPr>
          <w:rFonts w:ascii="Times New Roman" w:hAnsi="Times New Roman" w:cs="Times New Roman"/>
        </w:rPr>
        <w:t>its profitability</w:t>
      </w:r>
      <w:r w:rsidR="008F155A">
        <w:rPr>
          <w:rFonts w:ascii="Times New Roman" w:hAnsi="Times New Roman" w:cs="Times New Roman"/>
        </w:rPr>
        <w:t xml:space="preserve">. </w:t>
      </w:r>
      <w:r w:rsidR="008F155A" w:rsidRPr="00D136C3">
        <w:rPr>
          <w:rFonts w:ascii="Times New Roman" w:hAnsi="Times New Roman" w:cs="Times New Roman"/>
        </w:rPr>
        <w:t xml:space="preserve">Although India has made notable regulatory advancements over the years, the enforcement of existing provisions remains inconsistent and, at times, inadequate. </w:t>
      </w:r>
      <w:r w:rsidR="008F155A">
        <w:rPr>
          <w:rFonts w:ascii="Times New Roman" w:hAnsi="Times New Roman" w:cs="Times New Roman"/>
        </w:rPr>
        <w:t>T</w:t>
      </w:r>
      <w:r w:rsidR="008F155A" w:rsidRPr="00D136C3">
        <w:rPr>
          <w:rFonts w:ascii="Times New Roman" w:hAnsi="Times New Roman" w:cs="Times New Roman"/>
        </w:rPr>
        <w:t xml:space="preserve">he implementation </w:t>
      </w:r>
      <w:r w:rsidR="008F155A">
        <w:rPr>
          <w:rFonts w:ascii="Times New Roman" w:hAnsi="Times New Roman" w:cs="Times New Roman"/>
        </w:rPr>
        <w:t xml:space="preserve">of the existing regulation </w:t>
      </w:r>
      <w:r w:rsidR="008F155A" w:rsidRPr="00D136C3">
        <w:rPr>
          <w:rFonts w:ascii="Times New Roman" w:hAnsi="Times New Roman" w:cs="Times New Roman"/>
        </w:rPr>
        <w:t>suffer</w:t>
      </w:r>
      <w:r w:rsidR="008F155A">
        <w:rPr>
          <w:rFonts w:ascii="Times New Roman" w:hAnsi="Times New Roman" w:cs="Times New Roman"/>
        </w:rPr>
        <w:t xml:space="preserve">s </w:t>
      </w:r>
      <w:r w:rsidR="008F155A" w:rsidRPr="00D136C3">
        <w:rPr>
          <w:rFonts w:ascii="Times New Roman" w:hAnsi="Times New Roman" w:cs="Times New Roman"/>
        </w:rPr>
        <w:t>due to factors such as fragmented oversight, overlapping jurisdictions, insufficient monitoring mechanisms</w:t>
      </w:r>
      <w:r w:rsidR="008F155A">
        <w:rPr>
          <w:rFonts w:ascii="Times New Roman" w:hAnsi="Times New Roman" w:cs="Times New Roman"/>
        </w:rPr>
        <w:t xml:space="preserve"> and lack of coordination among regulatory bodies</w:t>
      </w:r>
      <w:r w:rsidR="008F155A" w:rsidRPr="00D136C3">
        <w:rPr>
          <w:rFonts w:ascii="Times New Roman" w:hAnsi="Times New Roman" w:cs="Times New Roman"/>
        </w:rPr>
        <w:t xml:space="preserve">. </w:t>
      </w:r>
      <w:r w:rsidR="008F155A">
        <w:rPr>
          <w:rFonts w:ascii="Times New Roman" w:hAnsi="Times New Roman" w:cs="Times New Roman"/>
        </w:rPr>
        <w:t>Moreover, t</w:t>
      </w:r>
      <w:r w:rsidR="008F155A" w:rsidRPr="00D136C3">
        <w:rPr>
          <w:rFonts w:ascii="Times New Roman" w:hAnsi="Times New Roman" w:cs="Times New Roman"/>
        </w:rPr>
        <w:t xml:space="preserve">here </w:t>
      </w:r>
      <w:r w:rsidR="008F155A">
        <w:rPr>
          <w:rFonts w:ascii="Times New Roman" w:hAnsi="Times New Roman" w:cs="Times New Roman"/>
        </w:rPr>
        <w:t>is also a gap in</w:t>
      </w:r>
      <w:r w:rsidR="008F155A" w:rsidRPr="00D136C3">
        <w:rPr>
          <w:rFonts w:ascii="Times New Roman" w:hAnsi="Times New Roman" w:cs="Times New Roman"/>
        </w:rPr>
        <w:t xml:space="preserve"> </w:t>
      </w:r>
      <w:r w:rsidR="008F155A">
        <w:rPr>
          <w:rFonts w:ascii="Times New Roman" w:hAnsi="Times New Roman" w:cs="Times New Roman"/>
        </w:rPr>
        <w:t xml:space="preserve">ensuring </w:t>
      </w:r>
      <w:r w:rsidR="008F155A" w:rsidRPr="00D136C3">
        <w:rPr>
          <w:rFonts w:ascii="Times New Roman" w:hAnsi="Times New Roman" w:cs="Times New Roman"/>
        </w:rPr>
        <w:t>transparency, particularly in areas like drug manufacturing practices, clinical trial conduct, and post-marketing surveillance.</w:t>
      </w:r>
    </w:p>
    <w:p w14:paraId="4166680A" w14:textId="557ACC46" w:rsidR="000D4A00" w:rsidRDefault="008F155A" w:rsidP="00323220">
      <w:pPr>
        <w:spacing w:line="360" w:lineRule="auto"/>
        <w:jc w:val="both"/>
        <w:rPr>
          <w:rFonts w:ascii="Times New Roman" w:hAnsi="Times New Roman" w:cs="Times New Roman"/>
        </w:rPr>
      </w:pPr>
      <w:r>
        <w:rPr>
          <w:rFonts w:ascii="Times New Roman" w:hAnsi="Times New Roman" w:cs="Times New Roman"/>
        </w:rPr>
        <w:t xml:space="preserve">Such challenges </w:t>
      </w:r>
      <w:r w:rsidRPr="00D136C3">
        <w:rPr>
          <w:rFonts w:ascii="Times New Roman" w:hAnsi="Times New Roman" w:cs="Times New Roman"/>
        </w:rPr>
        <w:t xml:space="preserve">become particularly concerning in a rapidly expanding industry, </w:t>
      </w:r>
      <w:r>
        <w:rPr>
          <w:rFonts w:ascii="Times New Roman" w:hAnsi="Times New Roman" w:cs="Times New Roman"/>
        </w:rPr>
        <w:t>w</w:t>
      </w:r>
      <w:r w:rsidRPr="00D136C3">
        <w:rPr>
          <w:rFonts w:ascii="Times New Roman" w:hAnsi="Times New Roman" w:cs="Times New Roman"/>
        </w:rPr>
        <w:t>here patient safety and public health are at stake.</w:t>
      </w:r>
      <w:r>
        <w:rPr>
          <w:rFonts w:ascii="Times New Roman" w:hAnsi="Times New Roman" w:cs="Times New Roman"/>
        </w:rPr>
        <w:t xml:space="preserve"> One of the major risks in such an industry is the occurrence of </w:t>
      </w:r>
      <w:r w:rsidRPr="004066B8">
        <w:rPr>
          <w:rFonts w:ascii="Times New Roman" w:hAnsi="Times New Roman" w:cs="Times New Roman"/>
          <w:i/>
          <w:iCs/>
        </w:rPr>
        <w:t xml:space="preserve">Adverse Drug Reactions </w:t>
      </w:r>
      <w:r>
        <w:rPr>
          <w:rFonts w:ascii="Times New Roman" w:hAnsi="Times New Roman" w:cs="Times New Roman"/>
        </w:rPr>
        <w:t xml:space="preserve">(ADRs) </w:t>
      </w:r>
      <w:r w:rsidRPr="009561F2">
        <w:rPr>
          <w:rFonts w:ascii="Times New Roman" w:hAnsi="Times New Roman" w:cs="Times New Roman"/>
        </w:rPr>
        <w:t>to medicines</w:t>
      </w:r>
      <w:r>
        <w:rPr>
          <w:rFonts w:ascii="Times New Roman" w:hAnsi="Times New Roman" w:cs="Times New Roman"/>
        </w:rPr>
        <w:t>,</w:t>
      </w:r>
      <w:r w:rsidRPr="009561F2">
        <w:rPr>
          <w:rFonts w:ascii="Times New Roman" w:hAnsi="Times New Roman" w:cs="Times New Roman"/>
        </w:rPr>
        <w:t xml:space="preserve"> </w:t>
      </w:r>
      <w:r>
        <w:rPr>
          <w:rFonts w:ascii="Times New Roman" w:hAnsi="Times New Roman" w:cs="Times New Roman"/>
        </w:rPr>
        <w:t>which has become a</w:t>
      </w:r>
      <w:r w:rsidRPr="009561F2">
        <w:rPr>
          <w:rFonts w:ascii="Times New Roman" w:hAnsi="Times New Roman" w:cs="Times New Roman"/>
        </w:rPr>
        <w:t xml:space="preserve"> common</w:t>
      </w:r>
      <w:r>
        <w:rPr>
          <w:rFonts w:ascii="Times New Roman" w:hAnsi="Times New Roman" w:cs="Times New Roman"/>
        </w:rPr>
        <w:t xml:space="preserve"> </w:t>
      </w:r>
      <w:r w:rsidRPr="009561F2">
        <w:rPr>
          <w:rFonts w:ascii="Times New Roman" w:hAnsi="Times New Roman" w:cs="Times New Roman"/>
        </w:rPr>
        <w:t>cause of illness, disability and even death. In some countries, adverse drug reactions rank among the top 10 leading causes of mortality.</w:t>
      </w:r>
      <w:r>
        <w:rPr>
          <w:rStyle w:val="EndnoteReference"/>
          <w:rFonts w:ascii="Times New Roman" w:hAnsi="Times New Roman" w:cs="Times New Roman"/>
        </w:rPr>
        <w:endnoteReference w:id="2"/>
      </w:r>
      <w:r>
        <w:rPr>
          <w:rFonts w:ascii="Times New Roman" w:hAnsi="Times New Roman" w:cs="Times New Roman"/>
        </w:rPr>
        <w:t xml:space="preserve"> </w:t>
      </w:r>
      <w:r>
        <w:rPr>
          <w:rStyle w:val="EndnoteReference"/>
          <w:rFonts w:ascii="Times New Roman" w:hAnsi="Times New Roman" w:cs="Times New Roman"/>
        </w:rPr>
        <w:endnoteReference w:id="3"/>
      </w:r>
      <w:r w:rsidRPr="009561F2">
        <w:rPr>
          <w:rFonts w:ascii="Times New Roman" w:hAnsi="Times New Roman" w:cs="Times New Roman"/>
        </w:rPr>
        <w:t xml:space="preserve"> </w:t>
      </w:r>
      <w:r>
        <w:rPr>
          <w:rFonts w:ascii="Times New Roman" w:hAnsi="Times New Roman" w:cs="Times New Roman"/>
        </w:rPr>
        <w:t>Even d</w:t>
      </w:r>
      <w:r w:rsidRPr="00B12BD4">
        <w:rPr>
          <w:rFonts w:ascii="Times New Roman" w:hAnsi="Times New Roman" w:cs="Times New Roman"/>
        </w:rPr>
        <w:t xml:space="preserve">rugs that successfully reach the market </w:t>
      </w:r>
      <w:r>
        <w:rPr>
          <w:rFonts w:ascii="Times New Roman" w:hAnsi="Times New Roman" w:cs="Times New Roman"/>
        </w:rPr>
        <w:t>after undergoing</w:t>
      </w:r>
      <w:r w:rsidRPr="00B12BD4">
        <w:rPr>
          <w:rFonts w:ascii="Times New Roman" w:hAnsi="Times New Roman" w:cs="Times New Roman"/>
        </w:rPr>
        <w:t xml:space="preserve"> pre-approval trials cannot identify all potential risks that may emerge when medications are used in broader, more diverse populations</w:t>
      </w:r>
      <w:r>
        <w:rPr>
          <w:rFonts w:ascii="Times New Roman" w:hAnsi="Times New Roman" w:cs="Times New Roman"/>
        </w:rPr>
        <w:t>.</w:t>
      </w:r>
      <w:r>
        <w:rPr>
          <w:rStyle w:val="EndnoteReference"/>
          <w:rFonts w:ascii="Times New Roman" w:hAnsi="Times New Roman" w:cs="Times New Roman"/>
        </w:rPr>
        <w:endnoteReference w:id="4"/>
      </w:r>
      <w:r>
        <w:rPr>
          <w:rFonts w:ascii="Times New Roman" w:hAnsi="Times New Roman" w:cs="Times New Roman"/>
        </w:rPr>
        <w:t xml:space="preserve"> </w:t>
      </w:r>
      <w:r w:rsidR="00DA7396">
        <w:rPr>
          <w:rFonts w:ascii="Times New Roman" w:hAnsi="Times New Roman" w:cs="Times New Roman"/>
        </w:rPr>
        <w:t>Therefore, i</w:t>
      </w:r>
      <w:r w:rsidR="000465ED" w:rsidRPr="009561F2">
        <w:rPr>
          <w:rFonts w:ascii="Times New Roman" w:hAnsi="Times New Roman" w:cs="Times New Roman"/>
        </w:rPr>
        <w:t xml:space="preserve">n order to </w:t>
      </w:r>
      <w:r w:rsidR="007313EC">
        <w:rPr>
          <w:rFonts w:ascii="Times New Roman" w:hAnsi="Times New Roman" w:cs="Times New Roman"/>
        </w:rPr>
        <w:t xml:space="preserve">mitigate the </w:t>
      </w:r>
      <w:r w:rsidR="000465ED" w:rsidRPr="009561F2">
        <w:rPr>
          <w:rFonts w:ascii="Times New Roman" w:hAnsi="Times New Roman" w:cs="Times New Roman"/>
        </w:rPr>
        <w:t xml:space="preserve">harm </w:t>
      </w:r>
      <w:r w:rsidR="0039594E">
        <w:rPr>
          <w:rFonts w:ascii="Times New Roman" w:hAnsi="Times New Roman" w:cs="Times New Roman"/>
        </w:rPr>
        <w:t>from medication</w:t>
      </w:r>
      <w:r w:rsidR="00D903A5">
        <w:rPr>
          <w:rFonts w:ascii="Times New Roman" w:hAnsi="Times New Roman" w:cs="Times New Roman"/>
        </w:rPr>
        <w:t>s,</w:t>
      </w:r>
      <w:r w:rsidR="000465ED" w:rsidRPr="009561F2">
        <w:rPr>
          <w:rFonts w:ascii="Times New Roman" w:hAnsi="Times New Roman" w:cs="Times New Roman"/>
        </w:rPr>
        <w:t xml:space="preserve"> and </w:t>
      </w:r>
      <w:r w:rsidR="00D903A5">
        <w:rPr>
          <w:rFonts w:ascii="Times New Roman" w:hAnsi="Times New Roman" w:cs="Times New Roman"/>
        </w:rPr>
        <w:t>i</w:t>
      </w:r>
      <w:r w:rsidR="000465ED" w:rsidRPr="009561F2">
        <w:rPr>
          <w:rFonts w:ascii="Times New Roman" w:hAnsi="Times New Roman" w:cs="Times New Roman"/>
        </w:rPr>
        <w:t>mprove public health, mechanisms</w:t>
      </w:r>
      <w:r w:rsidR="00E410DF">
        <w:rPr>
          <w:rFonts w:ascii="Times New Roman" w:hAnsi="Times New Roman" w:cs="Times New Roman"/>
        </w:rPr>
        <w:t xml:space="preserve"> to periodically</w:t>
      </w:r>
      <w:r w:rsidR="000465ED" w:rsidRPr="009561F2">
        <w:rPr>
          <w:rFonts w:ascii="Times New Roman" w:hAnsi="Times New Roman" w:cs="Times New Roman"/>
        </w:rPr>
        <w:t xml:space="preserve"> </w:t>
      </w:r>
      <w:r w:rsidR="00320408">
        <w:rPr>
          <w:rFonts w:ascii="Times New Roman" w:hAnsi="Times New Roman" w:cs="Times New Roman"/>
        </w:rPr>
        <w:t xml:space="preserve">monitor and </w:t>
      </w:r>
      <w:r w:rsidR="000465ED" w:rsidRPr="009561F2">
        <w:rPr>
          <w:rFonts w:ascii="Times New Roman" w:hAnsi="Times New Roman" w:cs="Times New Roman"/>
        </w:rPr>
        <w:t>evaluat</w:t>
      </w:r>
      <w:r w:rsidR="00E410DF">
        <w:rPr>
          <w:rFonts w:ascii="Times New Roman" w:hAnsi="Times New Roman" w:cs="Times New Roman"/>
        </w:rPr>
        <w:t>e</w:t>
      </w:r>
      <w:r w:rsidR="000465ED" w:rsidRPr="009561F2">
        <w:rPr>
          <w:rFonts w:ascii="Times New Roman" w:hAnsi="Times New Roman" w:cs="Times New Roman"/>
        </w:rPr>
        <w:t xml:space="preserve"> the safety of medicines </w:t>
      </w:r>
      <w:r w:rsidR="00C20690">
        <w:rPr>
          <w:rFonts w:ascii="Times New Roman" w:hAnsi="Times New Roman" w:cs="Times New Roman"/>
        </w:rPr>
        <w:t>is</w:t>
      </w:r>
      <w:r w:rsidR="000465ED" w:rsidRPr="009561F2">
        <w:rPr>
          <w:rFonts w:ascii="Times New Roman" w:hAnsi="Times New Roman" w:cs="Times New Roman"/>
        </w:rPr>
        <w:t xml:space="preserve"> vital.</w:t>
      </w:r>
    </w:p>
    <w:p w14:paraId="37DD60A8" w14:textId="51DB013F" w:rsidR="00E06FE1" w:rsidRPr="008919CB" w:rsidRDefault="00E06FE1" w:rsidP="008919CB">
      <w:pPr>
        <w:pStyle w:val="Heading1"/>
        <w:rPr>
          <w:rFonts w:ascii="Times New Roman" w:hAnsi="Times New Roman" w:cs="Times New Roman"/>
          <w:b/>
          <w:bCs/>
          <w:color w:val="auto"/>
          <w:sz w:val="24"/>
          <w:szCs w:val="24"/>
        </w:rPr>
      </w:pPr>
      <w:bookmarkStart w:id="1" w:name="_Toc196504642"/>
      <w:r w:rsidRPr="008919CB">
        <w:rPr>
          <w:rFonts w:ascii="Times New Roman" w:hAnsi="Times New Roman" w:cs="Times New Roman"/>
          <w:b/>
          <w:bCs/>
          <w:color w:val="auto"/>
          <w:sz w:val="24"/>
          <w:szCs w:val="24"/>
        </w:rPr>
        <w:t>WHAT IS PHARMACOVIGILENCE?</w:t>
      </w:r>
      <w:bookmarkEnd w:id="1"/>
      <w:r w:rsidRPr="008919CB">
        <w:rPr>
          <w:rFonts w:ascii="Times New Roman" w:hAnsi="Times New Roman" w:cs="Times New Roman"/>
          <w:b/>
          <w:bCs/>
          <w:color w:val="auto"/>
          <w:sz w:val="24"/>
          <w:szCs w:val="24"/>
        </w:rPr>
        <w:t xml:space="preserve"> </w:t>
      </w:r>
    </w:p>
    <w:p w14:paraId="1B47CA4E" w14:textId="39EB501F" w:rsidR="00634253" w:rsidRPr="00141DB7" w:rsidRDefault="009561F2" w:rsidP="00323220">
      <w:pPr>
        <w:spacing w:line="360" w:lineRule="auto"/>
        <w:jc w:val="both"/>
        <w:rPr>
          <w:rFonts w:ascii="Times New Roman" w:hAnsi="Times New Roman" w:cs="Times New Roman"/>
        </w:rPr>
      </w:pPr>
      <w:r w:rsidRPr="009561F2">
        <w:rPr>
          <w:rFonts w:ascii="Times New Roman" w:hAnsi="Times New Roman" w:cs="Times New Roman"/>
        </w:rPr>
        <w:t xml:space="preserve">Pharmacovigilance is defined by the World Health Organization as </w:t>
      </w:r>
      <w:r w:rsidR="00612E20">
        <w:rPr>
          <w:rFonts w:ascii="Times New Roman" w:hAnsi="Times New Roman" w:cs="Times New Roman"/>
        </w:rPr>
        <w:t>“</w:t>
      </w:r>
      <w:r w:rsidRPr="009561F2">
        <w:rPr>
          <w:rFonts w:ascii="Times New Roman" w:hAnsi="Times New Roman" w:cs="Times New Roman"/>
        </w:rPr>
        <w:t>the science and activities relating to the detection, assessment, understanding and prevention of adverse effects or any other drug-related problem</w:t>
      </w:r>
      <w:r w:rsidR="00612E20">
        <w:rPr>
          <w:rFonts w:ascii="Times New Roman" w:hAnsi="Times New Roman" w:cs="Times New Roman"/>
        </w:rPr>
        <w:t>.”</w:t>
      </w:r>
      <w:r w:rsidR="008F155A">
        <w:rPr>
          <w:rStyle w:val="EndnoteReference"/>
          <w:rFonts w:ascii="Times New Roman" w:hAnsi="Times New Roman" w:cs="Times New Roman"/>
        </w:rPr>
        <w:endnoteReference w:id="5"/>
      </w:r>
      <w:r w:rsidR="008F155A" w:rsidRPr="009561F2">
        <w:rPr>
          <w:rFonts w:ascii="Times New Roman" w:hAnsi="Times New Roman" w:cs="Times New Roman"/>
        </w:rPr>
        <w:t xml:space="preserve"> </w:t>
      </w:r>
      <w:r w:rsidR="00634253">
        <w:rPr>
          <w:rFonts w:ascii="Times New Roman" w:hAnsi="Times New Roman" w:cs="Times New Roman"/>
        </w:rPr>
        <w:t xml:space="preserve">It involves identifying risks, mitigating harm and </w:t>
      </w:r>
      <w:r w:rsidR="00634253" w:rsidRPr="00141DB7">
        <w:rPr>
          <w:rFonts w:ascii="Times New Roman" w:hAnsi="Times New Roman" w:cs="Times New Roman"/>
        </w:rPr>
        <w:t>ensu</w:t>
      </w:r>
      <w:r w:rsidR="00141DB7" w:rsidRPr="00141DB7">
        <w:rPr>
          <w:rFonts w:ascii="Times New Roman" w:hAnsi="Times New Roman" w:cs="Times New Roman"/>
        </w:rPr>
        <w:t>ring the overall benefit-risk balance of</w:t>
      </w:r>
      <w:r w:rsidR="00417C54">
        <w:rPr>
          <w:rFonts w:ascii="Times New Roman" w:hAnsi="Times New Roman" w:cs="Times New Roman"/>
        </w:rPr>
        <w:t xml:space="preserve"> a certain</w:t>
      </w:r>
      <w:r w:rsidR="00141DB7" w:rsidRPr="00141DB7">
        <w:rPr>
          <w:rFonts w:ascii="Times New Roman" w:hAnsi="Times New Roman" w:cs="Times New Roman"/>
        </w:rPr>
        <w:t xml:space="preserve"> medication</w:t>
      </w:r>
      <w:r w:rsidR="002A7072">
        <w:rPr>
          <w:rFonts w:ascii="Times New Roman" w:hAnsi="Times New Roman" w:cs="Times New Roman"/>
        </w:rPr>
        <w:t>,</w:t>
      </w:r>
      <w:r w:rsidR="00141DB7" w:rsidRPr="00141DB7">
        <w:rPr>
          <w:rFonts w:ascii="Times New Roman" w:hAnsi="Times New Roman" w:cs="Times New Roman"/>
        </w:rPr>
        <w:t xml:space="preserve"> remains favourable throughout </w:t>
      </w:r>
      <w:r w:rsidR="00247350">
        <w:rPr>
          <w:rFonts w:ascii="Times New Roman" w:hAnsi="Times New Roman" w:cs="Times New Roman"/>
        </w:rPr>
        <w:t xml:space="preserve">its </w:t>
      </w:r>
      <w:r w:rsidR="00141DB7" w:rsidRPr="00141DB7">
        <w:rPr>
          <w:rFonts w:ascii="Times New Roman" w:hAnsi="Times New Roman" w:cs="Times New Roman"/>
        </w:rPr>
        <w:t>lifecycle.</w:t>
      </w:r>
    </w:p>
    <w:p w14:paraId="528E06D4" w14:textId="04C5AC5A" w:rsidR="008F155A" w:rsidRDefault="00A238A8" w:rsidP="00323220">
      <w:pPr>
        <w:spacing w:line="360" w:lineRule="auto"/>
        <w:jc w:val="both"/>
        <w:rPr>
          <w:rFonts w:ascii="Times New Roman" w:hAnsi="Times New Roman" w:cs="Times New Roman"/>
        </w:rPr>
      </w:pPr>
      <w:r>
        <w:rPr>
          <w:rFonts w:ascii="Times New Roman" w:hAnsi="Times New Roman" w:cs="Times New Roman"/>
        </w:rPr>
        <w:t xml:space="preserve">It </w:t>
      </w:r>
      <w:r w:rsidR="009561F2" w:rsidRPr="009561F2">
        <w:rPr>
          <w:rFonts w:ascii="Times New Roman" w:hAnsi="Times New Roman" w:cs="Times New Roman"/>
        </w:rPr>
        <w:t>plays a</w:t>
      </w:r>
      <w:r w:rsidR="0097470B">
        <w:rPr>
          <w:rFonts w:ascii="Times New Roman" w:hAnsi="Times New Roman" w:cs="Times New Roman"/>
        </w:rPr>
        <w:t xml:space="preserve">n important </w:t>
      </w:r>
      <w:r w:rsidR="009561F2" w:rsidRPr="009561F2">
        <w:rPr>
          <w:rFonts w:ascii="Times New Roman" w:hAnsi="Times New Roman" w:cs="Times New Roman"/>
        </w:rPr>
        <w:t xml:space="preserve">role in ensuring that </w:t>
      </w:r>
      <w:r w:rsidR="00C704EE">
        <w:rPr>
          <w:rFonts w:ascii="Times New Roman" w:hAnsi="Times New Roman" w:cs="Times New Roman"/>
        </w:rPr>
        <w:t>the stakeholders</w:t>
      </w:r>
      <w:r w:rsidR="00247350">
        <w:rPr>
          <w:rFonts w:ascii="Times New Roman" w:hAnsi="Times New Roman" w:cs="Times New Roman"/>
        </w:rPr>
        <w:t>, such as Marketing Authorization Holders</w:t>
      </w:r>
      <w:r w:rsidR="009561F2" w:rsidRPr="009561F2">
        <w:rPr>
          <w:rFonts w:ascii="Times New Roman" w:hAnsi="Times New Roman" w:cs="Times New Roman"/>
        </w:rPr>
        <w:t xml:space="preserve">, </w:t>
      </w:r>
      <w:r w:rsidR="00247350">
        <w:rPr>
          <w:rFonts w:ascii="Times New Roman" w:hAnsi="Times New Roman" w:cs="Times New Roman"/>
        </w:rPr>
        <w:t xml:space="preserve">Doctors and patients, </w:t>
      </w:r>
      <w:r w:rsidR="009561F2" w:rsidRPr="009561F2">
        <w:rPr>
          <w:rFonts w:ascii="Times New Roman" w:hAnsi="Times New Roman" w:cs="Times New Roman"/>
        </w:rPr>
        <w:t>have</w:t>
      </w:r>
      <w:r w:rsidR="00C07E62">
        <w:rPr>
          <w:rFonts w:ascii="Times New Roman" w:hAnsi="Times New Roman" w:cs="Times New Roman"/>
        </w:rPr>
        <w:t xml:space="preserve"> sufficient</w:t>
      </w:r>
      <w:r w:rsidR="009561F2" w:rsidRPr="009561F2">
        <w:rPr>
          <w:rFonts w:ascii="Times New Roman" w:hAnsi="Times New Roman" w:cs="Times New Roman"/>
        </w:rPr>
        <w:t xml:space="preserve"> information to make </w:t>
      </w:r>
      <w:r w:rsidR="00BE1FB8">
        <w:rPr>
          <w:rFonts w:ascii="Times New Roman" w:hAnsi="Times New Roman" w:cs="Times New Roman"/>
        </w:rPr>
        <w:t xml:space="preserve">aware </w:t>
      </w:r>
      <w:r w:rsidR="009561F2" w:rsidRPr="009561F2">
        <w:rPr>
          <w:rFonts w:ascii="Times New Roman" w:hAnsi="Times New Roman" w:cs="Times New Roman"/>
        </w:rPr>
        <w:t>decision</w:t>
      </w:r>
      <w:r w:rsidR="003C74F9">
        <w:rPr>
          <w:rFonts w:ascii="Times New Roman" w:hAnsi="Times New Roman" w:cs="Times New Roman"/>
        </w:rPr>
        <w:t>s</w:t>
      </w:r>
      <w:r w:rsidR="009561F2" w:rsidRPr="009561F2">
        <w:rPr>
          <w:rFonts w:ascii="Times New Roman" w:hAnsi="Times New Roman" w:cs="Times New Roman"/>
        </w:rPr>
        <w:t xml:space="preserve"> when it </w:t>
      </w:r>
      <w:r w:rsidR="009561F2" w:rsidRPr="009561F2">
        <w:rPr>
          <w:rFonts w:ascii="Times New Roman" w:hAnsi="Times New Roman" w:cs="Times New Roman"/>
        </w:rPr>
        <w:lastRenderedPageBreak/>
        <w:t>comes to choosing a drug for treatment</w:t>
      </w:r>
      <w:r w:rsidR="008F155A">
        <w:rPr>
          <w:rStyle w:val="EndnoteReference"/>
          <w:rFonts w:ascii="Times New Roman" w:hAnsi="Times New Roman" w:cs="Times New Roman"/>
        </w:rPr>
        <w:endnoteReference w:id="6"/>
      </w:r>
      <w:r w:rsidR="008F155A">
        <w:rPr>
          <w:rFonts w:ascii="Times New Roman" w:hAnsi="Times New Roman" w:cs="Times New Roman"/>
        </w:rPr>
        <w:t>, and proactively respond to safety issues to strengthen the publics</w:t>
      </w:r>
      <w:r w:rsidR="00DD0123">
        <w:rPr>
          <w:rFonts w:ascii="Times New Roman" w:hAnsi="Times New Roman" w:cs="Times New Roman"/>
        </w:rPr>
        <w:t>’</w:t>
      </w:r>
      <w:r w:rsidR="008F155A">
        <w:rPr>
          <w:rFonts w:ascii="Times New Roman" w:hAnsi="Times New Roman" w:cs="Times New Roman"/>
        </w:rPr>
        <w:t xml:space="preserve"> trust in the healthcare system. </w:t>
      </w:r>
      <w:r w:rsidR="008F155A" w:rsidRPr="009561F2">
        <w:rPr>
          <w:rFonts w:ascii="Times New Roman" w:hAnsi="Times New Roman" w:cs="Times New Roman"/>
        </w:rPr>
        <w:t xml:space="preserve"> </w:t>
      </w:r>
    </w:p>
    <w:p w14:paraId="352D17D0" w14:textId="0DE56480" w:rsidR="008F155A" w:rsidRPr="008919CB" w:rsidRDefault="008F155A" w:rsidP="008919CB">
      <w:pPr>
        <w:pStyle w:val="Heading1"/>
        <w:jc w:val="both"/>
        <w:rPr>
          <w:rFonts w:ascii="Times New Roman" w:hAnsi="Times New Roman" w:cs="Times New Roman"/>
          <w:b/>
          <w:bCs/>
          <w:color w:val="auto"/>
          <w:sz w:val="24"/>
          <w:szCs w:val="24"/>
        </w:rPr>
      </w:pPr>
      <w:r w:rsidRPr="001B7079">
        <w:t> </w:t>
      </w:r>
      <w:bookmarkStart w:id="2" w:name="_Toc196504643"/>
      <w:r w:rsidRPr="008919CB">
        <w:rPr>
          <w:rFonts w:ascii="Times New Roman" w:hAnsi="Times New Roman" w:cs="Times New Roman"/>
          <w:b/>
          <w:bCs/>
          <w:color w:val="auto"/>
          <w:sz w:val="24"/>
          <w:szCs w:val="24"/>
        </w:rPr>
        <w:t>PHARMACOVIGILANCE PROGRAMME OF INDIA (</w:t>
      </w:r>
      <w:proofErr w:type="spellStart"/>
      <w:r w:rsidRPr="008919CB">
        <w:rPr>
          <w:rFonts w:ascii="Times New Roman" w:hAnsi="Times New Roman" w:cs="Times New Roman"/>
          <w:b/>
          <w:bCs/>
          <w:color w:val="auto"/>
          <w:sz w:val="24"/>
          <w:szCs w:val="24"/>
        </w:rPr>
        <w:t>PvPI</w:t>
      </w:r>
      <w:proofErr w:type="spellEnd"/>
      <w:r w:rsidRPr="008919CB">
        <w:rPr>
          <w:rFonts w:ascii="Times New Roman" w:hAnsi="Times New Roman" w:cs="Times New Roman"/>
          <w:b/>
          <w:bCs/>
          <w:color w:val="auto"/>
          <w:sz w:val="24"/>
          <w:szCs w:val="24"/>
        </w:rPr>
        <w:t>)</w:t>
      </w:r>
      <w:bookmarkEnd w:id="2"/>
    </w:p>
    <w:p w14:paraId="6113A5B4" w14:textId="22F11E5D" w:rsidR="008F155A" w:rsidRDefault="008F155A" w:rsidP="00323220">
      <w:pPr>
        <w:spacing w:line="360" w:lineRule="auto"/>
        <w:jc w:val="both"/>
        <w:rPr>
          <w:rFonts w:ascii="Times New Roman" w:hAnsi="Times New Roman" w:cs="Times New Roman"/>
        </w:rPr>
      </w:pPr>
      <w:r w:rsidRPr="00F30183">
        <w:rPr>
          <w:rFonts w:ascii="Times New Roman" w:hAnsi="Times New Roman" w:cs="Times New Roman"/>
        </w:rPr>
        <w:t xml:space="preserve">The </w:t>
      </w:r>
      <w:r w:rsidRPr="00F30183">
        <w:rPr>
          <w:rFonts w:ascii="Times New Roman" w:hAnsi="Times New Roman" w:cs="Times New Roman"/>
          <w:i/>
          <w:iCs/>
        </w:rPr>
        <w:t>Pharmacovigilance Programme of India</w:t>
      </w:r>
      <w:r w:rsidRPr="00F30183">
        <w:rPr>
          <w:rFonts w:ascii="Times New Roman" w:hAnsi="Times New Roman" w:cs="Times New Roman"/>
        </w:rPr>
        <w:t xml:space="preserve"> (</w:t>
      </w:r>
      <w:proofErr w:type="spellStart"/>
      <w:r w:rsidRPr="00F30183">
        <w:rPr>
          <w:rFonts w:ascii="Times New Roman" w:hAnsi="Times New Roman" w:cs="Times New Roman"/>
        </w:rPr>
        <w:t>PvPI</w:t>
      </w:r>
      <w:proofErr w:type="spellEnd"/>
      <w:r w:rsidRPr="00F30183">
        <w:rPr>
          <w:rFonts w:ascii="Times New Roman" w:hAnsi="Times New Roman" w:cs="Times New Roman"/>
        </w:rPr>
        <w:t xml:space="preserve">), launched in </w:t>
      </w:r>
      <w:r>
        <w:rPr>
          <w:rFonts w:ascii="Times New Roman" w:hAnsi="Times New Roman" w:cs="Times New Roman"/>
        </w:rPr>
        <w:t xml:space="preserve">July </w:t>
      </w:r>
      <w:r w:rsidRPr="00F30183">
        <w:rPr>
          <w:rFonts w:ascii="Times New Roman" w:hAnsi="Times New Roman" w:cs="Times New Roman"/>
        </w:rPr>
        <w:t xml:space="preserve">2010 </w:t>
      </w:r>
      <w:r>
        <w:rPr>
          <w:rFonts w:ascii="Times New Roman" w:hAnsi="Times New Roman" w:cs="Times New Roman"/>
        </w:rPr>
        <w:t>by</w:t>
      </w:r>
      <w:r w:rsidRPr="00F30183">
        <w:rPr>
          <w:rFonts w:ascii="Times New Roman" w:hAnsi="Times New Roman" w:cs="Times New Roman"/>
        </w:rPr>
        <w:t xml:space="preserve"> the Ministry of Health and Family Welfare, aims to monitor the safety of drugs.</w:t>
      </w:r>
      <w:r>
        <w:rPr>
          <w:rFonts w:ascii="Times New Roman" w:hAnsi="Times New Roman" w:cs="Times New Roman"/>
        </w:rPr>
        <w:t xml:space="preserve"> </w:t>
      </w:r>
      <w:r w:rsidRPr="006822E9">
        <w:rPr>
          <w:rFonts w:ascii="Times New Roman" w:hAnsi="Times New Roman" w:cs="Times New Roman"/>
        </w:rPr>
        <w:t xml:space="preserve">It was initiated under the aegis of the Central Drugs Standard Control Organisation (CDSCO), which functions as </w:t>
      </w:r>
      <w:r>
        <w:rPr>
          <w:rFonts w:ascii="Times New Roman" w:hAnsi="Times New Roman" w:cs="Times New Roman"/>
        </w:rPr>
        <w:t xml:space="preserve">the </w:t>
      </w:r>
      <w:r w:rsidRPr="006822E9">
        <w:rPr>
          <w:rFonts w:ascii="Times New Roman" w:hAnsi="Times New Roman" w:cs="Times New Roman"/>
        </w:rPr>
        <w:t>national regulatory authority for pharmaceuticals and medical devices.</w:t>
      </w:r>
      <w:r>
        <w:rPr>
          <w:rFonts w:ascii="Times New Roman" w:hAnsi="Times New Roman" w:cs="Times New Roman"/>
        </w:rPr>
        <w:t xml:space="preserve"> </w:t>
      </w:r>
      <w:r w:rsidRPr="00A51697">
        <w:rPr>
          <w:rFonts w:ascii="Times New Roman" w:hAnsi="Times New Roman" w:cs="Times New Roman"/>
        </w:rPr>
        <w:t xml:space="preserve">The establishment of </w:t>
      </w:r>
      <w:proofErr w:type="spellStart"/>
      <w:r w:rsidRPr="00A51697">
        <w:rPr>
          <w:rFonts w:ascii="Times New Roman" w:hAnsi="Times New Roman" w:cs="Times New Roman"/>
        </w:rPr>
        <w:t>PvPI</w:t>
      </w:r>
      <w:proofErr w:type="spellEnd"/>
      <w:r w:rsidRPr="00A51697">
        <w:rPr>
          <w:rFonts w:ascii="Times New Roman" w:hAnsi="Times New Roman" w:cs="Times New Roman"/>
        </w:rPr>
        <w:t xml:space="preserve"> </w:t>
      </w:r>
      <w:r>
        <w:rPr>
          <w:rFonts w:ascii="Times New Roman" w:hAnsi="Times New Roman" w:cs="Times New Roman"/>
        </w:rPr>
        <w:t>was a significant step taken by the Government of India to align</w:t>
      </w:r>
      <w:r w:rsidRPr="00A51697">
        <w:rPr>
          <w:rFonts w:ascii="Times New Roman" w:hAnsi="Times New Roman" w:cs="Times New Roman"/>
        </w:rPr>
        <w:t xml:space="preserve"> India</w:t>
      </w:r>
      <w:r>
        <w:rPr>
          <w:rFonts w:ascii="Times New Roman" w:hAnsi="Times New Roman" w:cs="Times New Roman"/>
        </w:rPr>
        <w:t>’</w:t>
      </w:r>
      <w:r w:rsidRPr="00A51697">
        <w:rPr>
          <w:rFonts w:ascii="Times New Roman" w:hAnsi="Times New Roman" w:cs="Times New Roman"/>
        </w:rPr>
        <w:t>s drug safety monitoring systems with international pharmacovigilance standards and practices.</w:t>
      </w:r>
      <w:r>
        <w:rPr>
          <w:rFonts w:ascii="Times New Roman" w:hAnsi="Times New Roman" w:cs="Times New Roman"/>
        </w:rPr>
        <w:t xml:space="preserve"> </w:t>
      </w:r>
      <w:r w:rsidRPr="00D52FEA">
        <w:rPr>
          <w:rFonts w:ascii="Times New Roman" w:hAnsi="Times New Roman" w:cs="Times New Roman"/>
        </w:rPr>
        <w:t>The programme aim</w:t>
      </w:r>
      <w:r>
        <w:rPr>
          <w:rFonts w:ascii="Times New Roman" w:hAnsi="Times New Roman" w:cs="Times New Roman"/>
        </w:rPr>
        <w:t xml:space="preserve">s </w:t>
      </w:r>
      <w:r w:rsidRPr="00D52FEA">
        <w:rPr>
          <w:rFonts w:ascii="Times New Roman" w:hAnsi="Times New Roman" w:cs="Times New Roman"/>
        </w:rPr>
        <w:t xml:space="preserve">to provide </w:t>
      </w:r>
      <w:r>
        <w:rPr>
          <w:rFonts w:ascii="Times New Roman" w:hAnsi="Times New Roman" w:cs="Times New Roman"/>
        </w:rPr>
        <w:t>a</w:t>
      </w:r>
      <w:r w:rsidRPr="00D52FEA">
        <w:rPr>
          <w:rFonts w:ascii="Times New Roman" w:hAnsi="Times New Roman" w:cs="Times New Roman"/>
        </w:rPr>
        <w:t xml:space="preserve"> </w:t>
      </w:r>
      <w:r>
        <w:rPr>
          <w:rFonts w:ascii="Times New Roman" w:hAnsi="Times New Roman" w:cs="Times New Roman"/>
        </w:rPr>
        <w:t xml:space="preserve">structured and consistent </w:t>
      </w:r>
      <w:r w:rsidRPr="00D52FEA">
        <w:rPr>
          <w:rFonts w:ascii="Times New Roman" w:hAnsi="Times New Roman" w:cs="Times New Roman"/>
        </w:rPr>
        <w:t>approach to the detection, assessment, and prevention of ADRs and other drug-related problems across all regions of India.</w:t>
      </w:r>
    </w:p>
    <w:p w14:paraId="7FE28CCE" w14:textId="55D970C7" w:rsidR="008F155A" w:rsidRDefault="008F155A" w:rsidP="00323220">
      <w:pPr>
        <w:spacing w:line="360" w:lineRule="auto"/>
        <w:jc w:val="both"/>
        <w:rPr>
          <w:rFonts w:ascii="Times New Roman" w:hAnsi="Times New Roman" w:cs="Times New Roman"/>
        </w:rPr>
      </w:pPr>
      <w:r w:rsidRPr="009C7864">
        <w:rPr>
          <w:rFonts w:ascii="Times New Roman" w:hAnsi="Times New Roman" w:cs="Times New Roman"/>
        </w:rPr>
        <w:t xml:space="preserve">Initially, </w:t>
      </w:r>
      <w:proofErr w:type="spellStart"/>
      <w:r w:rsidRPr="009C7864">
        <w:rPr>
          <w:rFonts w:ascii="Times New Roman" w:hAnsi="Times New Roman" w:cs="Times New Roman"/>
        </w:rPr>
        <w:t>PvPI</w:t>
      </w:r>
      <w:proofErr w:type="spellEnd"/>
      <w:r w:rsidRPr="009C7864">
        <w:rPr>
          <w:rFonts w:ascii="Times New Roman" w:hAnsi="Times New Roman" w:cs="Times New Roman"/>
        </w:rPr>
        <w:t xml:space="preserve"> was coordinated by the </w:t>
      </w:r>
      <w:proofErr w:type="gramStart"/>
      <w:r w:rsidRPr="009C7864">
        <w:rPr>
          <w:rFonts w:ascii="Times New Roman" w:hAnsi="Times New Roman" w:cs="Times New Roman"/>
        </w:rPr>
        <w:t>All</w:t>
      </w:r>
      <w:r>
        <w:rPr>
          <w:rFonts w:ascii="Times New Roman" w:hAnsi="Times New Roman" w:cs="Times New Roman"/>
        </w:rPr>
        <w:t xml:space="preserve"> </w:t>
      </w:r>
      <w:r w:rsidRPr="009C7864">
        <w:rPr>
          <w:rFonts w:ascii="Times New Roman" w:hAnsi="Times New Roman" w:cs="Times New Roman"/>
        </w:rPr>
        <w:t>India</w:t>
      </w:r>
      <w:proofErr w:type="gramEnd"/>
      <w:r w:rsidRPr="009C7864">
        <w:rPr>
          <w:rFonts w:ascii="Times New Roman" w:hAnsi="Times New Roman" w:cs="Times New Roman"/>
        </w:rPr>
        <w:t xml:space="preserve"> Institute of Medical Sciences (AIIMS), New Delhi, but the responsibility was later </w:t>
      </w:r>
      <w:r>
        <w:rPr>
          <w:rFonts w:ascii="Times New Roman" w:hAnsi="Times New Roman" w:cs="Times New Roman"/>
        </w:rPr>
        <w:t>taken up by</w:t>
      </w:r>
      <w:r w:rsidRPr="009C7864">
        <w:rPr>
          <w:rFonts w:ascii="Times New Roman" w:hAnsi="Times New Roman" w:cs="Times New Roman"/>
        </w:rPr>
        <w:t xml:space="preserve"> Indian Pharmacopoeia Commission (IPC) in</w:t>
      </w:r>
      <w:r>
        <w:rPr>
          <w:rFonts w:ascii="Times New Roman" w:hAnsi="Times New Roman" w:cs="Times New Roman"/>
        </w:rPr>
        <w:t xml:space="preserve"> </w:t>
      </w:r>
      <w:r w:rsidRPr="009C7864">
        <w:rPr>
          <w:rFonts w:ascii="Times New Roman" w:hAnsi="Times New Roman" w:cs="Times New Roman"/>
        </w:rPr>
        <w:t xml:space="preserve">Ghaziabad, which continues to serve as the National Coordinating Centre (NCC) for the programme. The IPC is an autonomous institution under the Ministry of Health and Family Welfare, and its role </w:t>
      </w:r>
      <w:r>
        <w:rPr>
          <w:rFonts w:ascii="Times New Roman" w:hAnsi="Times New Roman" w:cs="Times New Roman"/>
        </w:rPr>
        <w:t>is to</w:t>
      </w:r>
      <w:r w:rsidRPr="009C7864">
        <w:rPr>
          <w:rFonts w:ascii="Times New Roman" w:hAnsi="Times New Roman" w:cs="Times New Roman"/>
        </w:rPr>
        <w:t xml:space="preserve"> manag</w:t>
      </w:r>
      <w:r>
        <w:rPr>
          <w:rFonts w:ascii="Times New Roman" w:hAnsi="Times New Roman" w:cs="Times New Roman"/>
        </w:rPr>
        <w:t>e</w:t>
      </w:r>
      <w:r w:rsidRPr="009C7864">
        <w:rPr>
          <w:rFonts w:ascii="Times New Roman" w:hAnsi="Times New Roman" w:cs="Times New Roman"/>
        </w:rPr>
        <w:t xml:space="preserve"> operations</w:t>
      </w:r>
      <w:r>
        <w:rPr>
          <w:rFonts w:ascii="Times New Roman" w:hAnsi="Times New Roman" w:cs="Times New Roman"/>
        </w:rPr>
        <w:t xml:space="preserve"> of ADR monitoring centres</w:t>
      </w:r>
      <w:r w:rsidRPr="009C7864">
        <w:rPr>
          <w:rFonts w:ascii="Times New Roman" w:hAnsi="Times New Roman" w:cs="Times New Roman"/>
        </w:rPr>
        <w:t>, analy</w:t>
      </w:r>
      <w:r>
        <w:rPr>
          <w:rFonts w:ascii="Times New Roman" w:hAnsi="Times New Roman" w:cs="Times New Roman"/>
        </w:rPr>
        <w:t>se</w:t>
      </w:r>
      <w:r w:rsidRPr="009C7864">
        <w:rPr>
          <w:rFonts w:ascii="Times New Roman" w:hAnsi="Times New Roman" w:cs="Times New Roman"/>
        </w:rPr>
        <w:t xml:space="preserve"> reports, issu</w:t>
      </w:r>
      <w:r>
        <w:rPr>
          <w:rFonts w:ascii="Times New Roman" w:hAnsi="Times New Roman" w:cs="Times New Roman"/>
        </w:rPr>
        <w:t>e</w:t>
      </w:r>
      <w:r w:rsidRPr="009C7864">
        <w:rPr>
          <w:rFonts w:ascii="Times New Roman" w:hAnsi="Times New Roman" w:cs="Times New Roman"/>
        </w:rPr>
        <w:t xml:space="preserve"> safety alerts, and</w:t>
      </w:r>
      <w:r>
        <w:rPr>
          <w:rFonts w:ascii="Times New Roman" w:hAnsi="Times New Roman" w:cs="Times New Roman"/>
        </w:rPr>
        <w:t xml:space="preserve"> ensure</w:t>
      </w:r>
      <w:r w:rsidRPr="009C7864">
        <w:rPr>
          <w:rFonts w:ascii="Times New Roman" w:hAnsi="Times New Roman" w:cs="Times New Roman"/>
        </w:rPr>
        <w:t xml:space="preserve"> coordinat</w:t>
      </w:r>
      <w:r>
        <w:rPr>
          <w:rFonts w:ascii="Times New Roman" w:hAnsi="Times New Roman" w:cs="Times New Roman"/>
        </w:rPr>
        <w:t xml:space="preserve">ion </w:t>
      </w:r>
      <w:r w:rsidRPr="009C7864">
        <w:rPr>
          <w:rFonts w:ascii="Times New Roman" w:hAnsi="Times New Roman" w:cs="Times New Roman"/>
        </w:rPr>
        <w:t>among various stakeholders.</w:t>
      </w:r>
    </w:p>
    <w:p w14:paraId="5C54EDDD" w14:textId="1B56A3A8" w:rsidR="00924764" w:rsidRDefault="008F155A" w:rsidP="00323220">
      <w:pPr>
        <w:spacing w:line="360" w:lineRule="auto"/>
        <w:jc w:val="both"/>
        <w:rPr>
          <w:rFonts w:ascii="Times New Roman" w:hAnsi="Times New Roman" w:cs="Times New Roman"/>
        </w:rPr>
      </w:pPr>
      <w:r w:rsidRPr="00803140">
        <w:rPr>
          <w:rFonts w:ascii="Times New Roman" w:hAnsi="Times New Roman" w:cs="Times New Roman"/>
        </w:rPr>
        <w:t>The programme mandates pharmaceutical companies</w:t>
      </w:r>
      <w:r>
        <w:rPr>
          <w:rFonts w:ascii="Times New Roman" w:hAnsi="Times New Roman" w:cs="Times New Roman"/>
        </w:rPr>
        <w:t xml:space="preserve">, that is, the </w:t>
      </w:r>
      <w:r w:rsidRPr="00803140">
        <w:rPr>
          <w:rFonts w:ascii="Times New Roman" w:hAnsi="Times New Roman" w:cs="Times New Roman"/>
        </w:rPr>
        <w:t>Marketing Authorization Holders</w:t>
      </w:r>
      <w:r>
        <w:rPr>
          <w:rFonts w:ascii="Times New Roman" w:hAnsi="Times New Roman" w:cs="Times New Roman"/>
        </w:rPr>
        <w:t>,</w:t>
      </w:r>
      <w:r w:rsidRPr="00803140">
        <w:rPr>
          <w:rFonts w:ascii="Times New Roman" w:hAnsi="Times New Roman" w:cs="Times New Roman"/>
        </w:rPr>
        <w:t xml:space="preserve"> to report any known or suspected ADRs and </w:t>
      </w:r>
      <w:r w:rsidRPr="00803140">
        <w:rPr>
          <w:rFonts w:ascii="Times New Roman" w:hAnsi="Times New Roman" w:cs="Times New Roman"/>
          <w:i/>
          <w:iCs/>
        </w:rPr>
        <w:t>periodic safety update reports</w:t>
      </w:r>
      <w:r w:rsidRPr="00803140">
        <w:rPr>
          <w:rFonts w:ascii="Times New Roman" w:hAnsi="Times New Roman" w:cs="Times New Roman"/>
        </w:rPr>
        <w:t xml:space="preserve"> (PSURs), </w:t>
      </w:r>
      <w:r>
        <w:rPr>
          <w:rFonts w:ascii="Times New Roman" w:hAnsi="Times New Roman" w:cs="Times New Roman"/>
        </w:rPr>
        <w:t>to enhance</w:t>
      </w:r>
      <w:r w:rsidRPr="00803140">
        <w:rPr>
          <w:rFonts w:ascii="Times New Roman" w:hAnsi="Times New Roman" w:cs="Times New Roman"/>
        </w:rPr>
        <w:t xml:space="preserve"> regulatory oversight of post-marketing surveillance.</w:t>
      </w:r>
      <w:r>
        <w:rPr>
          <w:rStyle w:val="EndnoteReference"/>
          <w:rFonts w:ascii="Times New Roman" w:hAnsi="Times New Roman" w:cs="Times New Roman"/>
        </w:rPr>
        <w:endnoteReference w:id="7"/>
      </w:r>
      <w:r w:rsidRPr="00803140">
        <w:rPr>
          <w:rFonts w:ascii="Times New Roman" w:hAnsi="Times New Roman" w:cs="Times New Roman"/>
        </w:rPr>
        <w:t xml:space="preserve"> </w:t>
      </w:r>
      <w:proofErr w:type="spellStart"/>
      <w:r w:rsidRPr="00803140">
        <w:rPr>
          <w:rFonts w:ascii="Times New Roman" w:hAnsi="Times New Roman" w:cs="Times New Roman"/>
        </w:rPr>
        <w:t>PvPI</w:t>
      </w:r>
      <w:proofErr w:type="spellEnd"/>
      <w:r w:rsidRPr="00803140">
        <w:rPr>
          <w:rFonts w:ascii="Times New Roman" w:hAnsi="Times New Roman" w:cs="Times New Roman"/>
        </w:rPr>
        <w:t xml:space="preserve"> also collaborates with other national initiatives like the </w:t>
      </w:r>
      <w:proofErr w:type="spellStart"/>
      <w:r w:rsidRPr="00803140">
        <w:rPr>
          <w:rFonts w:ascii="Times New Roman" w:hAnsi="Times New Roman" w:cs="Times New Roman"/>
          <w:i/>
          <w:iCs/>
        </w:rPr>
        <w:t>Materiovigilance</w:t>
      </w:r>
      <w:proofErr w:type="spellEnd"/>
      <w:r w:rsidRPr="00803140">
        <w:rPr>
          <w:rFonts w:ascii="Times New Roman" w:hAnsi="Times New Roman" w:cs="Times New Roman"/>
          <w:i/>
          <w:iCs/>
        </w:rPr>
        <w:t xml:space="preserve"> Programme of India</w:t>
      </w:r>
      <w:r w:rsidRPr="00803140">
        <w:rPr>
          <w:rFonts w:ascii="Times New Roman" w:hAnsi="Times New Roman" w:cs="Times New Roman"/>
        </w:rPr>
        <w:t xml:space="preserve"> (</w:t>
      </w:r>
      <w:proofErr w:type="spellStart"/>
      <w:r w:rsidRPr="00803140">
        <w:rPr>
          <w:rFonts w:ascii="Times New Roman" w:hAnsi="Times New Roman" w:cs="Times New Roman"/>
        </w:rPr>
        <w:t>MvPI</w:t>
      </w:r>
      <w:proofErr w:type="spellEnd"/>
      <w:r w:rsidRPr="00803140">
        <w:rPr>
          <w:rFonts w:ascii="Times New Roman" w:hAnsi="Times New Roman" w:cs="Times New Roman"/>
        </w:rPr>
        <w:t>)</w:t>
      </w:r>
      <w:r>
        <w:rPr>
          <w:rStyle w:val="EndnoteReference"/>
          <w:rFonts w:ascii="Times New Roman" w:hAnsi="Times New Roman" w:cs="Times New Roman"/>
        </w:rPr>
        <w:endnoteReference w:id="8"/>
      </w:r>
      <w:r>
        <w:rPr>
          <w:rFonts w:ascii="Times New Roman" w:hAnsi="Times New Roman" w:cs="Times New Roman"/>
        </w:rPr>
        <w:t xml:space="preserve"> </w:t>
      </w:r>
      <w:r w:rsidR="00C53CE2">
        <w:rPr>
          <w:rFonts w:ascii="Times New Roman" w:hAnsi="Times New Roman" w:cs="Times New Roman"/>
        </w:rPr>
        <w:t>introduced under the</w:t>
      </w:r>
      <w:r w:rsidR="00F6035D" w:rsidRPr="006524DA">
        <w:rPr>
          <w:rFonts w:ascii="Times New Roman" w:hAnsi="Times New Roman" w:cs="Times New Roman"/>
        </w:rPr>
        <w:t xml:space="preserve"> Drugs Technical Advisory Board (DTAB)</w:t>
      </w:r>
      <w:r w:rsidR="003F7733">
        <w:rPr>
          <w:rFonts w:ascii="Times New Roman" w:hAnsi="Times New Roman" w:cs="Times New Roman"/>
        </w:rPr>
        <w:t xml:space="preserve"> </w:t>
      </w:r>
      <w:r w:rsidR="004B64DF">
        <w:rPr>
          <w:rFonts w:ascii="Times New Roman" w:hAnsi="Times New Roman" w:cs="Times New Roman"/>
        </w:rPr>
        <w:t xml:space="preserve">by the Health Ministry </w:t>
      </w:r>
      <w:r w:rsidR="003F7733">
        <w:rPr>
          <w:rFonts w:ascii="Times New Roman" w:hAnsi="Times New Roman" w:cs="Times New Roman"/>
        </w:rPr>
        <w:t>in 2015</w:t>
      </w:r>
      <w:r w:rsidR="00F6035D" w:rsidRPr="006524DA">
        <w:rPr>
          <w:rFonts w:ascii="Times New Roman" w:hAnsi="Times New Roman" w:cs="Times New Roman"/>
        </w:rPr>
        <w:t xml:space="preserve">. </w:t>
      </w:r>
      <w:r w:rsidR="004B64DF">
        <w:rPr>
          <w:rFonts w:ascii="Times New Roman" w:hAnsi="Times New Roman" w:cs="Times New Roman"/>
        </w:rPr>
        <w:t xml:space="preserve">It </w:t>
      </w:r>
      <w:r w:rsidR="00ED30A3">
        <w:rPr>
          <w:rFonts w:ascii="Times New Roman" w:hAnsi="Times New Roman" w:cs="Times New Roman"/>
        </w:rPr>
        <w:t xml:space="preserve">is </w:t>
      </w:r>
      <w:r w:rsidR="004B35F3">
        <w:rPr>
          <w:rFonts w:ascii="Times New Roman" w:hAnsi="Times New Roman" w:cs="Times New Roman"/>
        </w:rPr>
        <w:t xml:space="preserve">purposed to </w:t>
      </w:r>
      <w:r w:rsidR="00F6035D" w:rsidRPr="006524DA">
        <w:rPr>
          <w:rFonts w:ascii="Times New Roman" w:hAnsi="Times New Roman" w:cs="Times New Roman"/>
        </w:rPr>
        <w:t xml:space="preserve">monitor adverse events </w:t>
      </w:r>
      <w:r w:rsidR="004B35F3">
        <w:rPr>
          <w:rFonts w:ascii="Times New Roman" w:hAnsi="Times New Roman" w:cs="Times New Roman"/>
        </w:rPr>
        <w:t>associated with medical devices</w:t>
      </w:r>
      <w:r w:rsidR="00885CA1">
        <w:rPr>
          <w:rFonts w:ascii="Times New Roman" w:hAnsi="Times New Roman" w:cs="Times New Roman"/>
        </w:rPr>
        <w:t xml:space="preserve">, as they realised the need to </w:t>
      </w:r>
      <w:r w:rsidR="009604EB">
        <w:rPr>
          <w:rFonts w:ascii="Times New Roman" w:hAnsi="Times New Roman" w:cs="Times New Roman"/>
        </w:rPr>
        <w:t>establish regulatory mechanisms for medical devices</w:t>
      </w:r>
      <w:r w:rsidR="004B35F3">
        <w:rPr>
          <w:rFonts w:ascii="Times New Roman" w:hAnsi="Times New Roman" w:cs="Times New Roman"/>
        </w:rPr>
        <w:t xml:space="preserve">. </w:t>
      </w:r>
    </w:p>
    <w:p w14:paraId="26442422" w14:textId="7569F7C9" w:rsidR="003D785D" w:rsidRDefault="003D785D" w:rsidP="00323220">
      <w:pPr>
        <w:spacing w:line="360" w:lineRule="auto"/>
        <w:jc w:val="both"/>
        <w:rPr>
          <w:rFonts w:ascii="Times New Roman" w:hAnsi="Times New Roman" w:cs="Times New Roman"/>
        </w:rPr>
      </w:pPr>
      <w:proofErr w:type="spellStart"/>
      <w:r w:rsidRPr="003D785D">
        <w:rPr>
          <w:rFonts w:ascii="Times New Roman" w:hAnsi="Times New Roman" w:cs="Times New Roman"/>
        </w:rPr>
        <w:t>PvPI</w:t>
      </w:r>
      <w:proofErr w:type="spellEnd"/>
      <w:r w:rsidRPr="003D785D">
        <w:rPr>
          <w:rFonts w:ascii="Times New Roman" w:hAnsi="Times New Roman" w:cs="Times New Roman"/>
        </w:rPr>
        <w:t xml:space="preserve"> functions under Standard Operating Procedures and guidelines derived from globally recogni</w:t>
      </w:r>
      <w:r>
        <w:rPr>
          <w:rFonts w:ascii="Times New Roman" w:hAnsi="Times New Roman" w:cs="Times New Roman"/>
        </w:rPr>
        <w:t>s</w:t>
      </w:r>
      <w:r w:rsidRPr="003D785D">
        <w:rPr>
          <w:rFonts w:ascii="Times New Roman" w:hAnsi="Times New Roman" w:cs="Times New Roman"/>
        </w:rPr>
        <w:t xml:space="preserve">ed regulatory </w:t>
      </w:r>
      <w:r>
        <w:rPr>
          <w:rFonts w:ascii="Times New Roman" w:hAnsi="Times New Roman" w:cs="Times New Roman"/>
        </w:rPr>
        <w:t>framework</w:t>
      </w:r>
      <w:r w:rsidRPr="003D785D">
        <w:rPr>
          <w:rFonts w:ascii="Times New Roman" w:hAnsi="Times New Roman" w:cs="Times New Roman"/>
        </w:rPr>
        <w:t xml:space="preserve">, </w:t>
      </w:r>
      <w:r w:rsidR="00994BAC">
        <w:rPr>
          <w:rFonts w:ascii="Times New Roman" w:hAnsi="Times New Roman" w:cs="Times New Roman"/>
        </w:rPr>
        <w:t xml:space="preserve">primarily by the </w:t>
      </w:r>
      <w:r w:rsidRPr="003D785D">
        <w:rPr>
          <w:rFonts w:ascii="Times New Roman" w:hAnsi="Times New Roman" w:cs="Times New Roman"/>
        </w:rPr>
        <w:t xml:space="preserve">European Medicines Agency (EMA) and </w:t>
      </w:r>
      <w:r w:rsidR="00F92728" w:rsidRPr="00F92728">
        <w:rPr>
          <w:rFonts w:ascii="Times New Roman" w:hAnsi="Times New Roman" w:cs="Times New Roman"/>
        </w:rPr>
        <w:t xml:space="preserve">World Health Organization's Uppsala Monitoring Centre </w:t>
      </w:r>
      <w:r w:rsidR="00F92728">
        <w:rPr>
          <w:rFonts w:ascii="Times New Roman" w:hAnsi="Times New Roman" w:cs="Times New Roman"/>
        </w:rPr>
        <w:t>(</w:t>
      </w:r>
      <w:r w:rsidRPr="003D785D">
        <w:rPr>
          <w:rFonts w:ascii="Times New Roman" w:hAnsi="Times New Roman" w:cs="Times New Roman"/>
        </w:rPr>
        <w:t>WHO-UMC</w:t>
      </w:r>
      <w:r w:rsidR="00F92728">
        <w:rPr>
          <w:rFonts w:ascii="Times New Roman" w:hAnsi="Times New Roman" w:cs="Times New Roman"/>
        </w:rPr>
        <w:t>)</w:t>
      </w:r>
      <w:r w:rsidRPr="003D785D">
        <w:rPr>
          <w:rFonts w:ascii="Times New Roman" w:hAnsi="Times New Roman" w:cs="Times New Roman"/>
        </w:rPr>
        <w:t xml:space="preserve">. </w:t>
      </w:r>
      <w:r w:rsidR="00541280">
        <w:rPr>
          <w:rFonts w:ascii="Times New Roman" w:hAnsi="Times New Roman" w:cs="Times New Roman"/>
        </w:rPr>
        <w:t xml:space="preserve">This is to ensure </w:t>
      </w:r>
      <w:r w:rsidRPr="003D785D">
        <w:rPr>
          <w:rFonts w:ascii="Times New Roman" w:hAnsi="Times New Roman" w:cs="Times New Roman"/>
        </w:rPr>
        <w:t xml:space="preserve">quality, consistency, and scientific rigor of data collection and risk assessment, </w:t>
      </w:r>
      <w:r w:rsidR="00A0457B">
        <w:rPr>
          <w:rFonts w:ascii="Times New Roman" w:hAnsi="Times New Roman" w:cs="Times New Roman"/>
        </w:rPr>
        <w:t>so that</w:t>
      </w:r>
      <w:r w:rsidRPr="003D785D">
        <w:rPr>
          <w:rFonts w:ascii="Times New Roman" w:hAnsi="Times New Roman" w:cs="Times New Roman"/>
        </w:rPr>
        <w:t xml:space="preserve"> regulatory authorities</w:t>
      </w:r>
      <w:r w:rsidR="00A0457B">
        <w:rPr>
          <w:rFonts w:ascii="Times New Roman" w:hAnsi="Times New Roman" w:cs="Times New Roman"/>
        </w:rPr>
        <w:t xml:space="preserve"> can</w:t>
      </w:r>
      <w:r w:rsidRPr="003D785D">
        <w:rPr>
          <w:rFonts w:ascii="Times New Roman" w:hAnsi="Times New Roman" w:cs="Times New Roman"/>
        </w:rPr>
        <w:t xml:space="preserve"> take timely actions such as issuing safety advisories,</w:t>
      </w:r>
      <w:r w:rsidR="00A0457B">
        <w:rPr>
          <w:rFonts w:ascii="Times New Roman" w:hAnsi="Times New Roman" w:cs="Times New Roman"/>
        </w:rPr>
        <w:t xml:space="preserve"> and</w:t>
      </w:r>
      <w:r w:rsidRPr="003D785D">
        <w:rPr>
          <w:rFonts w:ascii="Times New Roman" w:hAnsi="Times New Roman" w:cs="Times New Roman"/>
        </w:rPr>
        <w:t xml:space="preserve"> withdrawing unsafe drugs</w:t>
      </w:r>
      <w:r w:rsidR="00B54CF6">
        <w:rPr>
          <w:rFonts w:ascii="Times New Roman" w:hAnsi="Times New Roman" w:cs="Times New Roman"/>
        </w:rPr>
        <w:t xml:space="preserve"> from the markets</w:t>
      </w:r>
      <w:r w:rsidR="00282E83">
        <w:rPr>
          <w:rFonts w:ascii="Times New Roman" w:hAnsi="Times New Roman" w:cs="Times New Roman"/>
        </w:rPr>
        <w:t>.</w:t>
      </w:r>
    </w:p>
    <w:p w14:paraId="3E48F82B" w14:textId="42E80B6D" w:rsidR="008F155A" w:rsidRDefault="0016616B" w:rsidP="00323220">
      <w:pPr>
        <w:spacing w:line="360" w:lineRule="auto"/>
        <w:jc w:val="both"/>
        <w:rPr>
          <w:rFonts w:ascii="Times New Roman" w:hAnsi="Times New Roman" w:cs="Times New Roman"/>
        </w:rPr>
      </w:pPr>
      <w:r w:rsidRPr="0016616B">
        <w:rPr>
          <w:rFonts w:ascii="Times New Roman" w:hAnsi="Times New Roman" w:cs="Times New Roman"/>
        </w:rPr>
        <w:lastRenderedPageBreak/>
        <w:t xml:space="preserve">In addition to its </w:t>
      </w:r>
      <w:r>
        <w:rPr>
          <w:rFonts w:ascii="Times New Roman" w:hAnsi="Times New Roman" w:cs="Times New Roman"/>
        </w:rPr>
        <w:t>regulatory</w:t>
      </w:r>
      <w:r w:rsidRPr="0016616B">
        <w:rPr>
          <w:rFonts w:ascii="Times New Roman" w:hAnsi="Times New Roman" w:cs="Times New Roman"/>
        </w:rPr>
        <w:t xml:space="preserve"> functions, </w:t>
      </w:r>
      <w:proofErr w:type="spellStart"/>
      <w:r w:rsidRPr="0016616B">
        <w:rPr>
          <w:rFonts w:ascii="Times New Roman" w:hAnsi="Times New Roman" w:cs="Times New Roman"/>
        </w:rPr>
        <w:t>PvPI</w:t>
      </w:r>
      <w:proofErr w:type="spellEnd"/>
      <w:r w:rsidRPr="0016616B">
        <w:rPr>
          <w:rFonts w:ascii="Times New Roman" w:hAnsi="Times New Roman" w:cs="Times New Roman"/>
        </w:rPr>
        <w:t xml:space="preserve"> also plays a vital role in capacity building and public awareness. It regularly conducts training workshops</w:t>
      </w:r>
      <w:r w:rsidR="00D93D30">
        <w:rPr>
          <w:rFonts w:ascii="Times New Roman" w:hAnsi="Times New Roman" w:cs="Times New Roman"/>
        </w:rPr>
        <w:t xml:space="preserve"> and </w:t>
      </w:r>
      <w:r w:rsidRPr="0016616B">
        <w:rPr>
          <w:rFonts w:ascii="Times New Roman" w:hAnsi="Times New Roman" w:cs="Times New Roman"/>
        </w:rPr>
        <w:t>seminars</w:t>
      </w:r>
      <w:r w:rsidR="00D93D30">
        <w:rPr>
          <w:rFonts w:ascii="Times New Roman" w:hAnsi="Times New Roman" w:cs="Times New Roman"/>
        </w:rPr>
        <w:t xml:space="preserve"> </w:t>
      </w:r>
      <w:r w:rsidRPr="0016616B">
        <w:rPr>
          <w:rFonts w:ascii="Times New Roman" w:hAnsi="Times New Roman" w:cs="Times New Roman"/>
        </w:rPr>
        <w:t xml:space="preserve">for healthcare professionals to </w:t>
      </w:r>
      <w:r w:rsidR="00876B3C">
        <w:rPr>
          <w:rFonts w:ascii="Times New Roman" w:hAnsi="Times New Roman" w:cs="Times New Roman"/>
        </w:rPr>
        <w:t>inculcate</w:t>
      </w:r>
      <w:r w:rsidRPr="0016616B">
        <w:rPr>
          <w:rFonts w:ascii="Times New Roman" w:hAnsi="Times New Roman" w:cs="Times New Roman"/>
        </w:rPr>
        <w:t xml:space="preserve"> a culture of vigilance and reporting</w:t>
      </w:r>
      <w:r w:rsidR="006E78D3">
        <w:rPr>
          <w:rFonts w:ascii="Times New Roman" w:hAnsi="Times New Roman" w:cs="Times New Roman"/>
        </w:rPr>
        <w:t xml:space="preserve"> of potential adverse reactions</w:t>
      </w:r>
      <w:r w:rsidRPr="0016616B">
        <w:rPr>
          <w:rFonts w:ascii="Times New Roman" w:hAnsi="Times New Roman" w:cs="Times New Roman"/>
        </w:rPr>
        <w:t>.</w:t>
      </w:r>
      <w:r w:rsidR="00FA3F5D">
        <w:rPr>
          <w:rFonts w:ascii="Times New Roman" w:hAnsi="Times New Roman" w:cs="Times New Roman"/>
        </w:rPr>
        <w:t xml:space="preserve"> Moreover,</w:t>
      </w:r>
      <w:r w:rsidRPr="0016616B">
        <w:rPr>
          <w:rFonts w:ascii="Times New Roman" w:hAnsi="Times New Roman" w:cs="Times New Roman"/>
        </w:rPr>
        <w:t xml:space="preserve"> </w:t>
      </w:r>
      <w:proofErr w:type="spellStart"/>
      <w:r w:rsidRPr="0016616B">
        <w:rPr>
          <w:rFonts w:ascii="Times New Roman" w:hAnsi="Times New Roman" w:cs="Times New Roman"/>
        </w:rPr>
        <w:t>PvPI</w:t>
      </w:r>
      <w:proofErr w:type="spellEnd"/>
      <w:r w:rsidRPr="0016616B">
        <w:rPr>
          <w:rFonts w:ascii="Times New Roman" w:hAnsi="Times New Roman" w:cs="Times New Roman"/>
        </w:rPr>
        <w:t xml:space="preserve"> also encourages direct patient reporting of ADRs through PvPI’s toll-free helpline (1800-180-3024) </w:t>
      </w:r>
      <w:r w:rsidR="00B03EE3">
        <w:rPr>
          <w:rFonts w:ascii="Times New Roman" w:hAnsi="Times New Roman" w:cs="Times New Roman"/>
        </w:rPr>
        <w:t>or its</w:t>
      </w:r>
      <w:r w:rsidRPr="0016616B">
        <w:rPr>
          <w:rFonts w:ascii="Times New Roman" w:hAnsi="Times New Roman" w:cs="Times New Roman"/>
        </w:rPr>
        <w:t xml:space="preserve"> mobile app</w:t>
      </w:r>
      <w:r w:rsidR="00B03EE3">
        <w:rPr>
          <w:rFonts w:ascii="Times New Roman" w:hAnsi="Times New Roman" w:cs="Times New Roman"/>
        </w:rPr>
        <w:t>lication</w:t>
      </w:r>
      <w:r w:rsidRPr="0016616B">
        <w:rPr>
          <w:rFonts w:ascii="Times New Roman" w:hAnsi="Times New Roman" w:cs="Times New Roman"/>
        </w:rPr>
        <w:t>.</w:t>
      </w:r>
      <w:r w:rsidR="008F155A">
        <w:rPr>
          <w:rStyle w:val="EndnoteReference"/>
          <w:rFonts w:ascii="Times New Roman" w:hAnsi="Times New Roman" w:cs="Times New Roman"/>
        </w:rPr>
        <w:endnoteReference w:id="9"/>
      </w:r>
    </w:p>
    <w:p w14:paraId="7B811397" w14:textId="3FB69B97" w:rsidR="00716EEC" w:rsidRPr="0009604F" w:rsidRDefault="0009604F" w:rsidP="00C379F3">
      <w:pPr>
        <w:pStyle w:val="Heading2"/>
        <w:spacing w:line="360" w:lineRule="auto"/>
        <w:jc w:val="both"/>
        <w:rPr>
          <w:rFonts w:ascii="Times New Roman" w:hAnsi="Times New Roman" w:cs="Times New Roman"/>
          <w:b/>
          <w:bCs/>
          <w:color w:val="auto"/>
          <w:sz w:val="24"/>
          <w:szCs w:val="24"/>
        </w:rPr>
      </w:pPr>
      <w:bookmarkStart w:id="3" w:name="_Toc196504644"/>
      <w:r w:rsidRPr="0009604F">
        <w:rPr>
          <w:rFonts w:ascii="Times New Roman" w:hAnsi="Times New Roman" w:cs="Times New Roman"/>
          <w:b/>
          <w:bCs/>
          <w:color w:val="auto"/>
          <w:sz w:val="24"/>
          <w:szCs w:val="24"/>
        </w:rPr>
        <w:t xml:space="preserve">ESTABLISHMENT OF AMCS UNDER THE </w:t>
      </w:r>
      <w:proofErr w:type="spellStart"/>
      <w:r w:rsidRPr="0009604F">
        <w:rPr>
          <w:rFonts w:ascii="Times New Roman" w:hAnsi="Times New Roman" w:cs="Times New Roman"/>
          <w:b/>
          <w:bCs/>
          <w:color w:val="auto"/>
          <w:sz w:val="24"/>
          <w:szCs w:val="24"/>
        </w:rPr>
        <w:t>P</w:t>
      </w:r>
      <w:r>
        <w:rPr>
          <w:rFonts w:ascii="Times New Roman" w:hAnsi="Times New Roman" w:cs="Times New Roman"/>
          <w:b/>
          <w:bCs/>
          <w:color w:val="auto"/>
          <w:sz w:val="24"/>
          <w:szCs w:val="24"/>
        </w:rPr>
        <w:t>v</w:t>
      </w:r>
      <w:r w:rsidRPr="0009604F">
        <w:rPr>
          <w:rFonts w:ascii="Times New Roman" w:hAnsi="Times New Roman" w:cs="Times New Roman"/>
          <w:b/>
          <w:bCs/>
          <w:color w:val="auto"/>
          <w:sz w:val="24"/>
          <w:szCs w:val="24"/>
        </w:rPr>
        <w:t>PI</w:t>
      </w:r>
      <w:bookmarkEnd w:id="3"/>
      <w:proofErr w:type="spellEnd"/>
    </w:p>
    <w:p w14:paraId="237F1BF4" w14:textId="76D881DE" w:rsidR="00576777" w:rsidRPr="00576777" w:rsidRDefault="00F269A6" w:rsidP="00C379F3">
      <w:pPr>
        <w:spacing w:line="360" w:lineRule="auto"/>
        <w:jc w:val="both"/>
        <w:rPr>
          <w:rFonts w:ascii="Times New Roman" w:hAnsi="Times New Roman" w:cs="Times New Roman"/>
        </w:rPr>
      </w:pPr>
      <w:r>
        <w:rPr>
          <w:rFonts w:ascii="Times New Roman" w:hAnsi="Times New Roman" w:cs="Times New Roman"/>
        </w:rPr>
        <w:t xml:space="preserve">Under the </w:t>
      </w:r>
      <w:proofErr w:type="spellStart"/>
      <w:r w:rsidR="00576777" w:rsidRPr="00576777">
        <w:rPr>
          <w:rFonts w:ascii="Times New Roman" w:hAnsi="Times New Roman" w:cs="Times New Roman"/>
        </w:rPr>
        <w:t>PvPI</w:t>
      </w:r>
      <w:proofErr w:type="spellEnd"/>
      <w:r>
        <w:rPr>
          <w:rFonts w:ascii="Times New Roman" w:hAnsi="Times New Roman" w:cs="Times New Roman"/>
        </w:rPr>
        <w:t xml:space="preserve">, </w:t>
      </w:r>
      <w:r w:rsidR="00576777" w:rsidRPr="00576777">
        <w:rPr>
          <w:rFonts w:ascii="Times New Roman" w:hAnsi="Times New Roman" w:cs="Times New Roman"/>
        </w:rPr>
        <w:t>Adverse Drug Reaction Monitoring Centres (AMCs)</w:t>
      </w:r>
      <w:r>
        <w:rPr>
          <w:rFonts w:ascii="Times New Roman" w:hAnsi="Times New Roman" w:cs="Times New Roman"/>
        </w:rPr>
        <w:t xml:space="preserve"> were established </w:t>
      </w:r>
      <w:r w:rsidR="006B0F4A" w:rsidRPr="00D763CC">
        <w:rPr>
          <w:rFonts w:ascii="Times New Roman" w:hAnsi="Times New Roman" w:cs="Times New Roman"/>
        </w:rPr>
        <w:t>in medical colleges and hospitals, private hospitals, centr</w:t>
      </w:r>
      <w:r w:rsidR="00DB112A">
        <w:rPr>
          <w:rFonts w:ascii="Times New Roman" w:hAnsi="Times New Roman" w:cs="Times New Roman"/>
        </w:rPr>
        <w:t>e</w:t>
      </w:r>
      <w:r w:rsidR="006B0F4A" w:rsidRPr="00D763CC">
        <w:rPr>
          <w:rFonts w:ascii="Times New Roman" w:hAnsi="Times New Roman" w:cs="Times New Roman"/>
        </w:rPr>
        <w:t xml:space="preserve">s running public health programs, and autonomous institutes approved by the Medical Council of India. </w:t>
      </w:r>
      <w:r w:rsidR="00576777" w:rsidRPr="00576777">
        <w:rPr>
          <w:rFonts w:ascii="Times New Roman" w:hAnsi="Times New Roman" w:cs="Times New Roman"/>
        </w:rPr>
        <w:t xml:space="preserve">These AMCs </w:t>
      </w:r>
      <w:r w:rsidR="00C31455">
        <w:rPr>
          <w:rFonts w:ascii="Times New Roman" w:hAnsi="Times New Roman" w:cs="Times New Roman"/>
        </w:rPr>
        <w:t>are responsible</w:t>
      </w:r>
      <w:r w:rsidR="00576777" w:rsidRPr="00576777">
        <w:rPr>
          <w:rFonts w:ascii="Times New Roman" w:hAnsi="Times New Roman" w:cs="Times New Roman"/>
        </w:rPr>
        <w:t xml:space="preserve"> for the systematic collection, assessment, and forwarding of ADR reports</w:t>
      </w:r>
      <w:r w:rsidR="00A42038">
        <w:rPr>
          <w:rFonts w:ascii="Times New Roman" w:hAnsi="Times New Roman" w:cs="Times New Roman"/>
        </w:rPr>
        <w:t xml:space="preserve"> to the NCC. </w:t>
      </w:r>
    </w:p>
    <w:p w14:paraId="5DE751BB" w14:textId="32E3541E" w:rsidR="00576777" w:rsidRPr="00576777" w:rsidRDefault="00576777" w:rsidP="00C379F3">
      <w:pPr>
        <w:spacing w:line="360" w:lineRule="auto"/>
        <w:jc w:val="both"/>
        <w:rPr>
          <w:rFonts w:ascii="Times New Roman" w:hAnsi="Times New Roman" w:cs="Times New Roman"/>
        </w:rPr>
      </w:pPr>
      <w:r w:rsidRPr="00576777">
        <w:rPr>
          <w:rFonts w:ascii="Times New Roman" w:hAnsi="Times New Roman" w:cs="Times New Roman"/>
        </w:rPr>
        <w:t xml:space="preserve">In its initial phase, </w:t>
      </w:r>
      <w:proofErr w:type="spellStart"/>
      <w:r w:rsidRPr="00576777">
        <w:rPr>
          <w:rFonts w:ascii="Times New Roman" w:hAnsi="Times New Roman" w:cs="Times New Roman"/>
        </w:rPr>
        <w:t>PvPI</w:t>
      </w:r>
      <w:proofErr w:type="spellEnd"/>
      <w:r w:rsidRPr="00576777">
        <w:rPr>
          <w:rFonts w:ascii="Times New Roman" w:hAnsi="Times New Roman" w:cs="Times New Roman"/>
        </w:rPr>
        <w:t xml:space="preserve"> began </w:t>
      </w:r>
      <w:r w:rsidR="00B728C0">
        <w:rPr>
          <w:rFonts w:ascii="Times New Roman" w:hAnsi="Times New Roman" w:cs="Times New Roman"/>
        </w:rPr>
        <w:t>by</w:t>
      </w:r>
      <w:r w:rsidRPr="00576777">
        <w:rPr>
          <w:rFonts w:ascii="Times New Roman" w:hAnsi="Times New Roman" w:cs="Times New Roman"/>
        </w:rPr>
        <w:t xml:space="preserve"> </w:t>
      </w:r>
      <w:r w:rsidR="00DB112A">
        <w:rPr>
          <w:rFonts w:ascii="Times New Roman" w:hAnsi="Times New Roman" w:cs="Times New Roman"/>
        </w:rPr>
        <w:t xml:space="preserve">setting up </w:t>
      </w:r>
      <w:r w:rsidRPr="00576777">
        <w:rPr>
          <w:rFonts w:ascii="Times New Roman" w:hAnsi="Times New Roman" w:cs="Times New Roman"/>
        </w:rPr>
        <w:t xml:space="preserve">40 AMCs across </w:t>
      </w:r>
      <w:r w:rsidR="00DB112A">
        <w:rPr>
          <w:rFonts w:ascii="Times New Roman" w:hAnsi="Times New Roman" w:cs="Times New Roman"/>
        </w:rPr>
        <w:t>various</w:t>
      </w:r>
      <w:r w:rsidRPr="00576777">
        <w:rPr>
          <w:rFonts w:ascii="Times New Roman" w:hAnsi="Times New Roman" w:cs="Times New Roman"/>
        </w:rPr>
        <w:t xml:space="preserve"> regions of India. This number has steadily increased over time, reaching 701 functioning AMCs as of 2022–23. Each AMC is staffed with trained personnel, </w:t>
      </w:r>
      <w:r w:rsidR="003843E4">
        <w:rPr>
          <w:rFonts w:ascii="Times New Roman" w:hAnsi="Times New Roman" w:cs="Times New Roman"/>
        </w:rPr>
        <w:t xml:space="preserve">which includes </w:t>
      </w:r>
      <w:r w:rsidRPr="00576777">
        <w:rPr>
          <w:rFonts w:ascii="Times New Roman" w:hAnsi="Times New Roman" w:cs="Times New Roman"/>
        </w:rPr>
        <w:t xml:space="preserve">clinicians, pharmacists, and pharmacovigilance support staff. These individuals are equipped with expertise in ADR identification, pharmacovigilance methodologies, and causality analysis, enabling them to assess the quality and relevance of reports effectively. For instance, AIIMS Bhopal was </w:t>
      </w:r>
      <w:r w:rsidR="00BA760A">
        <w:rPr>
          <w:rFonts w:ascii="Times New Roman" w:hAnsi="Times New Roman" w:cs="Times New Roman"/>
        </w:rPr>
        <w:t>became a part of the</w:t>
      </w:r>
      <w:r w:rsidRPr="00576777">
        <w:rPr>
          <w:rFonts w:ascii="Times New Roman" w:hAnsi="Times New Roman" w:cs="Times New Roman"/>
        </w:rPr>
        <w:t xml:space="preserve"> </w:t>
      </w:r>
      <w:proofErr w:type="spellStart"/>
      <w:r w:rsidRPr="00576777">
        <w:rPr>
          <w:rFonts w:ascii="Times New Roman" w:hAnsi="Times New Roman" w:cs="Times New Roman"/>
        </w:rPr>
        <w:t>PvPI</w:t>
      </w:r>
      <w:proofErr w:type="spellEnd"/>
      <w:r w:rsidRPr="00576777">
        <w:rPr>
          <w:rFonts w:ascii="Times New Roman" w:hAnsi="Times New Roman" w:cs="Times New Roman"/>
        </w:rPr>
        <w:t xml:space="preserve"> network in March 2014, and it now serves as a regional centre for pharmacovigilance in central India, </w:t>
      </w:r>
      <w:r w:rsidR="00D53053">
        <w:rPr>
          <w:rFonts w:ascii="Times New Roman" w:hAnsi="Times New Roman" w:cs="Times New Roman"/>
        </w:rPr>
        <w:t>and is responsible for providing</w:t>
      </w:r>
      <w:r w:rsidRPr="00576777">
        <w:rPr>
          <w:rFonts w:ascii="Times New Roman" w:hAnsi="Times New Roman" w:cs="Times New Roman"/>
        </w:rPr>
        <w:t xml:space="preserve"> critical ADR monitoring services to patients in the region.</w:t>
      </w:r>
    </w:p>
    <w:p w14:paraId="7A2FFD9B" w14:textId="650E54C4" w:rsidR="00576777" w:rsidRPr="00576777" w:rsidRDefault="00F36590" w:rsidP="00C379F3">
      <w:pPr>
        <w:spacing w:line="360" w:lineRule="auto"/>
        <w:jc w:val="both"/>
        <w:rPr>
          <w:rFonts w:ascii="Times New Roman" w:hAnsi="Times New Roman" w:cs="Times New Roman"/>
        </w:rPr>
      </w:pPr>
      <w:r>
        <w:rPr>
          <w:rFonts w:ascii="Times New Roman" w:hAnsi="Times New Roman" w:cs="Times New Roman"/>
        </w:rPr>
        <w:t>All the</w:t>
      </w:r>
      <w:r w:rsidR="00576777" w:rsidRPr="00576777">
        <w:rPr>
          <w:rFonts w:ascii="Times New Roman" w:hAnsi="Times New Roman" w:cs="Times New Roman"/>
        </w:rPr>
        <w:t xml:space="preserve"> AMCs </w:t>
      </w:r>
      <w:r>
        <w:rPr>
          <w:rFonts w:ascii="Times New Roman" w:hAnsi="Times New Roman" w:cs="Times New Roman"/>
        </w:rPr>
        <w:t xml:space="preserve">across India </w:t>
      </w:r>
      <w:r w:rsidR="00576777" w:rsidRPr="00576777">
        <w:rPr>
          <w:rFonts w:ascii="Times New Roman" w:hAnsi="Times New Roman" w:cs="Times New Roman"/>
        </w:rPr>
        <w:t xml:space="preserve">follow uniform protocols for the collection, documentation, and assessment of ADRs. This standardization ensures consistency in data quality, which is crucial for drawing reliable conclusions from pharmacovigilance activities. </w:t>
      </w:r>
      <w:r w:rsidR="00BA5BD5">
        <w:rPr>
          <w:rFonts w:ascii="Times New Roman" w:hAnsi="Times New Roman" w:cs="Times New Roman"/>
        </w:rPr>
        <w:t>Moreover, these centres act</w:t>
      </w:r>
      <w:r w:rsidR="00576777" w:rsidRPr="00576777">
        <w:rPr>
          <w:rFonts w:ascii="Times New Roman" w:hAnsi="Times New Roman" w:cs="Times New Roman"/>
        </w:rPr>
        <w:t xml:space="preserve"> as both data collection hubs and analytical centres, </w:t>
      </w:r>
      <w:r w:rsidR="00BA5BD5">
        <w:rPr>
          <w:rFonts w:ascii="Times New Roman" w:hAnsi="Times New Roman" w:cs="Times New Roman"/>
        </w:rPr>
        <w:t xml:space="preserve">only </w:t>
      </w:r>
      <w:r w:rsidR="00576777" w:rsidRPr="00576777">
        <w:rPr>
          <w:rFonts w:ascii="Times New Roman" w:hAnsi="Times New Roman" w:cs="Times New Roman"/>
        </w:rPr>
        <w:t>feeding verified reports into the national database maintained by the Indian Pharmacopoeia Commission.</w:t>
      </w:r>
    </w:p>
    <w:p w14:paraId="1E212FBA" w14:textId="1A4BBF96" w:rsidR="00576777" w:rsidRPr="00576777" w:rsidRDefault="00576777" w:rsidP="00C379F3">
      <w:pPr>
        <w:spacing w:line="360" w:lineRule="auto"/>
        <w:jc w:val="both"/>
        <w:rPr>
          <w:rFonts w:ascii="Times New Roman" w:hAnsi="Times New Roman" w:cs="Times New Roman"/>
        </w:rPr>
      </w:pPr>
      <w:r w:rsidRPr="00576777">
        <w:rPr>
          <w:rFonts w:ascii="Times New Roman" w:hAnsi="Times New Roman" w:cs="Times New Roman"/>
        </w:rPr>
        <w:t>To encourage greater participation</w:t>
      </w:r>
      <w:r w:rsidR="008F2C10">
        <w:rPr>
          <w:rFonts w:ascii="Times New Roman" w:hAnsi="Times New Roman" w:cs="Times New Roman"/>
        </w:rPr>
        <w:t xml:space="preserve"> and to make the process of reporting less </w:t>
      </w:r>
      <w:r w:rsidR="00321DFA">
        <w:rPr>
          <w:rFonts w:ascii="Times New Roman" w:hAnsi="Times New Roman" w:cs="Times New Roman"/>
        </w:rPr>
        <w:t>hectic</w:t>
      </w:r>
      <w:r w:rsidRPr="00576777">
        <w:rPr>
          <w:rFonts w:ascii="Times New Roman" w:hAnsi="Times New Roman" w:cs="Times New Roman"/>
        </w:rPr>
        <w:t xml:space="preserve">, AMCs offer multiple channels for ADR submission. Healthcare professionals and patients can submit reports via telephone hotlines, email communications, and paper-based forms. These forms are widely distributed across hospital settings, including AMC desks, outpatient department registration counters, clinical wards, and pharmacy counters, to ensure easy and convenient access. </w:t>
      </w:r>
    </w:p>
    <w:p w14:paraId="425E0029" w14:textId="378EB798" w:rsidR="00656E8C" w:rsidRDefault="00576777" w:rsidP="003C53AF">
      <w:pPr>
        <w:spacing w:line="360" w:lineRule="auto"/>
        <w:jc w:val="both"/>
        <w:rPr>
          <w:rFonts w:ascii="Times New Roman" w:hAnsi="Times New Roman" w:cs="Times New Roman"/>
        </w:rPr>
      </w:pPr>
      <w:r w:rsidRPr="00576777">
        <w:rPr>
          <w:rFonts w:ascii="Times New Roman" w:hAnsi="Times New Roman" w:cs="Times New Roman"/>
        </w:rPr>
        <w:lastRenderedPageBreak/>
        <w:t xml:space="preserve">PvPI’s </w:t>
      </w:r>
      <w:r w:rsidR="00393B5E">
        <w:rPr>
          <w:rFonts w:ascii="Times New Roman" w:hAnsi="Times New Roman" w:cs="Times New Roman"/>
        </w:rPr>
        <w:t>strategy for expansion and capacity building</w:t>
      </w:r>
      <w:r w:rsidRPr="00576777">
        <w:rPr>
          <w:rFonts w:ascii="Times New Roman" w:hAnsi="Times New Roman" w:cs="Times New Roman"/>
        </w:rPr>
        <w:t xml:space="preserve"> </w:t>
      </w:r>
      <w:r w:rsidR="00393B5E">
        <w:rPr>
          <w:rFonts w:ascii="Times New Roman" w:hAnsi="Times New Roman" w:cs="Times New Roman"/>
        </w:rPr>
        <w:t>of</w:t>
      </w:r>
      <w:r w:rsidRPr="00576777">
        <w:rPr>
          <w:rFonts w:ascii="Times New Roman" w:hAnsi="Times New Roman" w:cs="Times New Roman"/>
        </w:rPr>
        <w:t xml:space="preserve"> AMCs is based on a need-based approach, focusing on regions and medical disciplines with previously identified pharmacovigilance coverage gaps. This targeted expansion ensures that resources are utilized optimally to improve ADR monitoring in underserved areas. The programme</w:t>
      </w:r>
      <w:r w:rsidR="00C379F3">
        <w:rPr>
          <w:rFonts w:ascii="Times New Roman" w:hAnsi="Times New Roman" w:cs="Times New Roman"/>
        </w:rPr>
        <w:t xml:space="preserve"> also</w:t>
      </w:r>
      <w:r w:rsidRPr="00576777">
        <w:rPr>
          <w:rFonts w:ascii="Times New Roman" w:hAnsi="Times New Roman" w:cs="Times New Roman"/>
        </w:rPr>
        <w:t xml:space="preserve"> places a particular emphasis on enrolling institutions from rural, tribal, and low-resource settings, as well as from high-risk specialties such as oncology, cardiology, and </w:t>
      </w:r>
      <w:proofErr w:type="spellStart"/>
      <w:r w:rsidRPr="00576777">
        <w:rPr>
          <w:rFonts w:ascii="Times New Roman" w:hAnsi="Times New Roman" w:cs="Times New Roman"/>
        </w:rPr>
        <w:t>pediatrics</w:t>
      </w:r>
      <w:proofErr w:type="spellEnd"/>
      <w:r w:rsidRPr="00576777">
        <w:rPr>
          <w:rFonts w:ascii="Times New Roman" w:hAnsi="Times New Roman" w:cs="Times New Roman"/>
        </w:rPr>
        <w:t>, where medication safety concerns are particularly acute.</w:t>
      </w:r>
      <w:r w:rsidR="00C379F3">
        <w:rPr>
          <w:rFonts w:ascii="Times New Roman" w:hAnsi="Times New Roman" w:cs="Times New Roman"/>
        </w:rPr>
        <w:t xml:space="preserve"> </w:t>
      </w:r>
      <w:r w:rsidRPr="00576777">
        <w:rPr>
          <w:rFonts w:ascii="Times New Roman" w:hAnsi="Times New Roman" w:cs="Times New Roman"/>
        </w:rPr>
        <w:t xml:space="preserve">Overall, the structured establishment and operational efficiency of AMCs under </w:t>
      </w:r>
      <w:proofErr w:type="spellStart"/>
      <w:r w:rsidRPr="00576777">
        <w:rPr>
          <w:rFonts w:ascii="Times New Roman" w:hAnsi="Times New Roman" w:cs="Times New Roman"/>
        </w:rPr>
        <w:t>PvPI</w:t>
      </w:r>
      <w:proofErr w:type="spellEnd"/>
      <w:r w:rsidRPr="00576777">
        <w:rPr>
          <w:rFonts w:ascii="Times New Roman" w:hAnsi="Times New Roman" w:cs="Times New Roman"/>
        </w:rPr>
        <w:t xml:space="preserve"> play a pivotal role in enhancing drug safety in India.</w:t>
      </w:r>
    </w:p>
    <w:p w14:paraId="52B44BC1" w14:textId="30AC0B62" w:rsidR="00656E8C" w:rsidRPr="003C53AF" w:rsidRDefault="00656E8C" w:rsidP="003C53AF">
      <w:pPr>
        <w:pStyle w:val="Heading1"/>
        <w:rPr>
          <w:rFonts w:ascii="Times New Roman" w:hAnsi="Times New Roman" w:cs="Times New Roman"/>
          <w:b/>
          <w:bCs/>
          <w:sz w:val="24"/>
          <w:szCs w:val="24"/>
        </w:rPr>
      </w:pPr>
      <w:r w:rsidRPr="00656E8C">
        <w:t> </w:t>
      </w:r>
      <w:bookmarkStart w:id="4" w:name="_Toc196504645"/>
      <w:r w:rsidR="003C53AF" w:rsidRPr="003C53AF">
        <w:rPr>
          <w:rFonts w:ascii="Times New Roman" w:hAnsi="Times New Roman" w:cs="Times New Roman"/>
          <w:b/>
          <w:bCs/>
          <w:color w:val="auto"/>
          <w:sz w:val="24"/>
          <w:szCs w:val="24"/>
        </w:rPr>
        <w:t>NEW DRUGS AND CLINICAL TRIALS RULES, 2019</w:t>
      </w:r>
      <w:bookmarkEnd w:id="4"/>
      <w:r w:rsidR="003C53AF" w:rsidRPr="003C53AF">
        <w:rPr>
          <w:rFonts w:ascii="Times New Roman" w:hAnsi="Times New Roman" w:cs="Times New Roman"/>
          <w:b/>
          <w:bCs/>
          <w:color w:val="auto"/>
          <w:sz w:val="24"/>
          <w:szCs w:val="24"/>
        </w:rPr>
        <w:t xml:space="preserve"> </w:t>
      </w:r>
    </w:p>
    <w:p w14:paraId="7AC7C74C" w14:textId="64713B97" w:rsidR="003C53AF" w:rsidRDefault="00B73DE1" w:rsidP="00121735">
      <w:pPr>
        <w:spacing w:line="360" w:lineRule="auto"/>
        <w:jc w:val="both"/>
        <w:rPr>
          <w:rFonts w:ascii="Times New Roman" w:hAnsi="Times New Roman" w:cs="Times New Roman"/>
        </w:rPr>
      </w:pPr>
      <w:r>
        <w:rPr>
          <w:rFonts w:ascii="Times New Roman" w:hAnsi="Times New Roman" w:cs="Times New Roman"/>
        </w:rPr>
        <w:t>P</w:t>
      </w:r>
      <w:r w:rsidR="000D7DB4" w:rsidRPr="000D7DB4">
        <w:rPr>
          <w:rFonts w:ascii="Times New Roman" w:hAnsi="Times New Roman" w:cs="Times New Roman"/>
        </w:rPr>
        <w:t>rior to 2019, India’s clinical trial landscape was governed by Part XA and Schedule Y of the Drugs and Cosmetics Rules, 1945, which presented numerous regulatory challenges</w:t>
      </w:r>
      <w:r w:rsidR="00EC7FD4">
        <w:rPr>
          <w:rFonts w:ascii="Times New Roman" w:hAnsi="Times New Roman" w:cs="Times New Roman"/>
        </w:rPr>
        <w:t xml:space="preserve"> such as </w:t>
      </w:r>
      <w:r w:rsidR="000D7DB4" w:rsidRPr="000D7DB4">
        <w:rPr>
          <w:rFonts w:ascii="Times New Roman" w:hAnsi="Times New Roman" w:cs="Times New Roman"/>
        </w:rPr>
        <w:t>prolonged approval timelines, inconsistent requirements, and the absence of streamlined digital processes, all of which deterred both domestic and multinational sponsors from conducting trials in India</w:t>
      </w:r>
      <w:r>
        <w:rPr>
          <w:rFonts w:ascii="Times New Roman" w:hAnsi="Times New Roman" w:cs="Times New Roman"/>
        </w:rPr>
        <w:t>.</w:t>
      </w:r>
      <w:r w:rsidR="00AA571B">
        <w:rPr>
          <w:rFonts w:ascii="Times New Roman" w:hAnsi="Times New Roman" w:cs="Times New Roman"/>
        </w:rPr>
        <w:t xml:space="preserve"> </w:t>
      </w:r>
      <w:r w:rsidR="000D7DB4" w:rsidRPr="000D7DB4">
        <w:rPr>
          <w:rFonts w:ascii="Times New Roman" w:hAnsi="Times New Roman" w:cs="Times New Roman"/>
        </w:rPr>
        <w:t xml:space="preserve">To address these shortcomings, the </w:t>
      </w:r>
      <w:r w:rsidR="000D7DB4" w:rsidRPr="004912E3">
        <w:rPr>
          <w:rFonts w:ascii="Times New Roman" w:hAnsi="Times New Roman" w:cs="Times New Roman"/>
          <w:i/>
          <w:iCs/>
        </w:rPr>
        <w:t>New Drugs and Clinical Trials Rules</w:t>
      </w:r>
      <w:r w:rsidR="000D7DB4" w:rsidRPr="000D7DB4">
        <w:rPr>
          <w:rFonts w:ascii="Times New Roman" w:hAnsi="Times New Roman" w:cs="Times New Roman"/>
        </w:rPr>
        <w:t xml:space="preserve"> (NDCTR), 2019 w</w:t>
      </w:r>
      <w:r w:rsidR="00C06F8E">
        <w:rPr>
          <w:rFonts w:ascii="Times New Roman" w:hAnsi="Times New Roman" w:cs="Times New Roman"/>
        </w:rPr>
        <w:t xml:space="preserve">as </w:t>
      </w:r>
      <w:r w:rsidR="000D7DB4" w:rsidRPr="000D7DB4">
        <w:rPr>
          <w:rFonts w:ascii="Times New Roman" w:hAnsi="Times New Roman" w:cs="Times New Roman"/>
        </w:rPr>
        <w:t>introduced by the Ministry of Health and Family Welfare (</w:t>
      </w:r>
      <w:proofErr w:type="spellStart"/>
      <w:r w:rsidR="000D7DB4" w:rsidRPr="000D7DB4">
        <w:rPr>
          <w:rFonts w:ascii="Times New Roman" w:hAnsi="Times New Roman" w:cs="Times New Roman"/>
        </w:rPr>
        <w:t>MoHFW</w:t>
      </w:r>
      <w:proofErr w:type="spellEnd"/>
      <w:r w:rsidR="000D7DB4" w:rsidRPr="000D7DB4">
        <w:rPr>
          <w:rFonts w:ascii="Times New Roman" w:hAnsi="Times New Roman" w:cs="Times New Roman"/>
        </w:rPr>
        <w:t xml:space="preserve">). These rules consolidated and </w:t>
      </w:r>
      <w:r w:rsidR="0009117D">
        <w:rPr>
          <w:rFonts w:ascii="Times New Roman" w:hAnsi="Times New Roman" w:cs="Times New Roman"/>
        </w:rPr>
        <w:t xml:space="preserve">updated the </w:t>
      </w:r>
      <w:r w:rsidR="000D7DB4" w:rsidRPr="000D7DB4">
        <w:rPr>
          <w:rFonts w:ascii="Times New Roman" w:hAnsi="Times New Roman" w:cs="Times New Roman"/>
        </w:rPr>
        <w:t xml:space="preserve">provisions related to drug approvals, clinical trials, bioavailability/bioequivalence studies, and post-marketing surveillance under a single, comprehensive regulatory framework governed </w:t>
      </w:r>
      <w:r w:rsidR="00990752">
        <w:rPr>
          <w:rFonts w:ascii="Times New Roman" w:hAnsi="Times New Roman" w:cs="Times New Roman"/>
        </w:rPr>
        <w:t xml:space="preserve">under </w:t>
      </w:r>
      <w:r w:rsidR="000D7DB4" w:rsidRPr="000D7DB4">
        <w:rPr>
          <w:rFonts w:ascii="Times New Roman" w:hAnsi="Times New Roman" w:cs="Times New Roman"/>
        </w:rPr>
        <w:t>the Drugs and Cosmetics Act, 1940</w:t>
      </w:r>
      <w:r w:rsidR="00990752">
        <w:rPr>
          <w:rFonts w:ascii="Times New Roman" w:hAnsi="Times New Roman" w:cs="Times New Roman"/>
        </w:rPr>
        <w:t>.</w:t>
      </w:r>
    </w:p>
    <w:p w14:paraId="5FABC130" w14:textId="72387690" w:rsidR="00A87E56" w:rsidRDefault="00F40F21" w:rsidP="00D614B3">
      <w:pPr>
        <w:spacing w:line="360" w:lineRule="auto"/>
        <w:jc w:val="both"/>
        <w:rPr>
          <w:rFonts w:ascii="Times New Roman" w:hAnsi="Times New Roman" w:cs="Times New Roman"/>
        </w:rPr>
      </w:pPr>
      <w:r w:rsidRPr="00F40F21">
        <w:rPr>
          <w:rFonts w:ascii="Times New Roman" w:hAnsi="Times New Roman" w:cs="Times New Roman"/>
        </w:rPr>
        <w:t xml:space="preserve">Rule 2(d) </w:t>
      </w:r>
      <w:r w:rsidR="007464FD">
        <w:rPr>
          <w:rFonts w:ascii="Times New Roman" w:hAnsi="Times New Roman" w:cs="Times New Roman"/>
        </w:rPr>
        <w:t>of the NDCTR defines “</w:t>
      </w:r>
      <w:r w:rsidR="007464FD" w:rsidRPr="00A87E56">
        <w:rPr>
          <w:rFonts w:ascii="Times New Roman" w:hAnsi="Times New Roman" w:cs="Times New Roman"/>
          <w:i/>
          <w:iCs/>
        </w:rPr>
        <w:t>Adverse event</w:t>
      </w:r>
      <w:r w:rsidR="007464FD">
        <w:rPr>
          <w:rFonts w:ascii="Times New Roman" w:hAnsi="Times New Roman" w:cs="Times New Roman"/>
        </w:rPr>
        <w:t xml:space="preserve">” </w:t>
      </w:r>
      <w:r w:rsidR="00C03476">
        <w:rPr>
          <w:rFonts w:ascii="Times New Roman" w:hAnsi="Times New Roman" w:cs="Times New Roman"/>
        </w:rPr>
        <w:t xml:space="preserve">as </w:t>
      </w:r>
      <w:r w:rsidRPr="00F40F21">
        <w:rPr>
          <w:rFonts w:ascii="Times New Roman" w:hAnsi="Times New Roman" w:cs="Times New Roman"/>
        </w:rPr>
        <w:t xml:space="preserve">any </w:t>
      </w:r>
      <w:r w:rsidR="00A87E56" w:rsidRPr="00A87E56">
        <w:rPr>
          <w:rFonts w:ascii="Times New Roman" w:hAnsi="Times New Roman" w:cs="Times New Roman"/>
        </w:rPr>
        <w:t xml:space="preserve">untoward medical occurrence in a patient or clinical trial subject who has been administered an investigational drug or pharmaceutical product. This includes symptoms, diseases, or abnormal laboratory findings, irrespective of whether the event is causally related to the treatment. Importantly, the rules mandate that compensation must be provided to trial subjects in the event of such adverse occurrences, </w:t>
      </w:r>
      <w:r w:rsidR="00FB74B3">
        <w:rPr>
          <w:rFonts w:ascii="Times New Roman" w:hAnsi="Times New Roman" w:cs="Times New Roman"/>
        </w:rPr>
        <w:t>in order to ensure</w:t>
      </w:r>
      <w:r w:rsidR="00A87E56" w:rsidRPr="00A87E56">
        <w:rPr>
          <w:rFonts w:ascii="Times New Roman" w:hAnsi="Times New Roman" w:cs="Times New Roman"/>
        </w:rPr>
        <w:t xml:space="preserve"> ethical conduct of clinical research.</w:t>
      </w:r>
    </w:p>
    <w:p w14:paraId="00928D06" w14:textId="7188D691" w:rsidR="004409A4" w:rsidRDefault="004409A4" w:rsidP="00D614B3">
      <w:pPr>
        <w:spacing w:line="360" w:lineRule="auto"/>
        <w:jc w:val="both"/>
        <w:rPr>
          <w:rFonts w:ascii="Times New Roman" w:hAnsi="Times New Roman" w:cs="Times New Roman"/>
        </w:rPr>
      </w:pPr>
      <w:r w:rsidRPr="004409A4">
        <w:rPr>
          <w:rFonts w:ascii="Times New Roman" w:hAnsi="Times New Roman" w:cs="Times New Roman"/>
        </w:rPr>
        <w:t xml:space="preserve">The Central Licensing Authority (CLA), as designated under Section 3 of the NDCTR, is the </w:t>
      </w:r>
      <w:r>
        <w:rPr>
          <w:rFonts w:ascii="Times New Roman" w:hAnsi="Times New Roman" w:cs="Times New Roman"/>
        </w:rPr>
        <w:t xml:space="preserve">primary </w:t>
      </w:r>
      <w:r w:rsidRPr="004409A4">
        <w:rPr>
          <w:rFonts w:ascii="Times New Roman" w:hAnsi="Times New Roman" w:cs="Times New Roman"/>
        </w:rPr>
        <w:t>regulatory authority responsible for issuing licenses and approvals under the new</w:t>
      </w:r>
      <w:r w:rsidR="00102FC4">
        <w:rPr>
          <w:rFonts w:ascii="Times New Roman" w:hAnsi="Times New Roman" w:cs="Times New Roman"/>
        </w:rPr>
        <w:t xml:space="preserve"> 2019</w:t>
      </w:r>
      <w:r w:rsidRPr="004409A4">
        <w:rPr>
          <w:rFonts w:ascii="Times New Roman" w:hAnsi="Times New Roman" w:cs="Times New Roman"/>
        </w:rPr>
        <w:t xml:space="preserve"> rules. The CLA role is </w:t>
      </w:r>
      <w:r w:rsidR="00102FC4">
        <w:rPr>
          <w:rFonts w:ascii="Times New Roman" w:hAnsi="Times New Roman" w:cs="Times New Roman"/>
        </w:rPr>
        <w:t xml:space="preserve">carried out </w:t>
      </w:r>
      <w:r w:rsidRPr="004409A4">
        <w:rPr>
          <w:rFonts w:ascii="Times New Roman" w:hAnsi="Times New Roman" w:cs="Times New Roman"/>
        </w:rPr>
        <w:t>by the Drugs Controller General of India (DCGI), who is appointed by the Central Government. The CLA oversees various regulatory functions</w:t>
      </w:r>
      <w:r w:rsidR="007131B6">
        <w:rPr>
          <w:rFonts w:ascii="Times New Roman" w:hAnsi="Times New Roman" w:cs="Times New Roman"/>
        </w:rPr>
        <w:t xml:space="preserve"> such as </w:t>
      </w:r>
      <w:r w:rsidRPr="004409A4">
        <w:rPr>
          <w:rFonts w:ascii="Times New Roman" w:hAnsi="Times New Roman" w:cs="Times New Roman"/>
        </w:rPr>
        <w:t>granting permissions for clinical trials, manufacturing and importing new drugs, and monitoring compliance across stakeholders involved in drug development and research.</w:t>
      </w:r>
    </w:p>
    <w:p w14:paraId="6E63A009" w14:textId="6B8F39EA" w:rsidR="003C53AF" w:rsidRDefault="000D5CD0" w:rsidP="00EE5BFF">
      <w:pPr>
        <w:spacing w:line="360" w:lineRule="auto"/>
        <w:jc w:val="both"/>
        <w:rPr>
          <w:rFonts w:ascii="Times New Roman" w:hAnsi="Times New Roman" w:cs="Times New Roman"/>
        </w:rPr>
      </w:pPr>
      <w:r w:rsidRPr="000D5CD0">
        <w:rPr>
          <w:rFonts w:ascii="Times New Roman" w:hAnsi="Times New Roman" w:cs="Times New Roman"/>
        </w:rPr>
        <w:lastRenderedPageBreak/>
        <w:t>Ethics Committees play a central role in ensuring the ethical conduct of clinical trials under the NDCTR.</w:t>
      </w:r>
      <w:r w:rsidR="005A1E28">
        <w:rPr>
          <w:rStyle w:val="EndnoteReference"/>
          <w:rFonts w:ascii="Times New Roman" w:hAnsi="Times New Roman" w:cs="Times New Roman"/>
        </w:rPr>
        <w:endnoteReference w:id="10"/>
      </w:r>
      <w:r w:rsidRPr="000D5CD0">
        <w:rPr>
          <w:rFonts w:ascii="Times New Roman" w:hAnsi="Times New Roman" w:cs="Times New Roman"/>
        </w:rPr>
        <w:t xml:space="preserve"> Any institution or sponsor intending to conduct clinical trials, BA/BE studies, or biomedical research must establish an EC and register it with the CLA. The validity of such registration is five years</w:t>
      </w:r>
      <w:r w:rsidR="00EE5BFF">
        <w:rPr>
          <w:rFonts w:ascii="Times New Roman" w:hAnsi="Times New Roman" w:cs="Times New Roman"/>
        </w:rPr>
        <w:t xml:space="preserve"> and a</w:t>
      </w:r>
      <w:r w:rsidRPr="000D5CD0">
        <w:rPr>
          <w:rFonts w:ascii="Times New Roman" w:hAnsi="Times New Roman" w:cs="Times New Roman"/>
        </w:rPr>
        <w:t xml:space="preserve"> trial can only be initiated after obtaining approval from the registered EC. In the event of a </w:t>
      </w:r>
      <w:r w:rsidRPr="00EE5BFF">
        <w:rPr>
          <w:rFonts w:ascii="Times New Roman" w:hAnsi="Times New Roman" w:cs="Times New Roman"/>
          <w:i/>
          <w:iCs/>
        </w:rPr>
        <w:t>serious adverse event</w:t>
      </w:r>
      <w:r w:rsidRPr="000D5CD0">
        <w:rPr>
          <w:rFonts w:ascii="Times New Roman" w:hAnsi="Times New Roman" w:cs="Times New Roman"/>
        </w:rPr>
        <w:t xml:space="preserve"> (SAE), the EC is mandated to evaluate all pertinent documentation and forward a detailed report to the CLA, ensuring transparency in conduct. </w:t>
      </w:r>
    </w:p>
    <w:p w14:paraId="4E73FEE7" w14:textId="457BC384" w:rsidR="00D54B17" w:rsidRPr="00D54B17" w:rsidRDefault="005458E3" w:rsidP="00D54B17">
      <w:pPr>
        <w:spacing w:line="360" w:lineRule="auto"/>
        <w:jc w:val="both"/>
        <w:rPr>
          <w:rFonts w:ascii="Times New Roman" w:hAnsi="Times New Roman" w:cs="Times New Roman"/>
        </w:rPr>
      </w:pPr>
      <w:r w:rsidRPr="005458E3">
        <w:rPr>
          <w:rFonts w:ascii="Times New Roman" w:hAnsi="Times New Roman" w:cs="Times New Roman"/>
        </w:rPr>
        <w:t>Another reform introduced under the NDCTR is the “</w:t>
      </w:r>
      <w:r w:rsidRPr="005458E3">
        <w:rPr>
          <w:rFonts w:ascii="Times New Roman" w:hAnsi="Times New Roman" w:cs="Times New Roman"/>
          <w:i/>
          <w:iCs/>
        </w:rPr>
        <w:t>Deemed Approval</w:t>
      </w:r>
      <w:r w:rsidRPr="005458E3">
        <w:rPr>
          <w:rFonts w:ascii="Times New Roman" w:hAnsi="Times New Roman" w:cs="Times New Roman"/>
        </w:rPr>
        <w:t>” mechanism</w:t>
      </w:r>
      <w:r w:rsidR="00097873">
        <w:rPr>
          <w:rFonts w:ascii="Times New Roman" w:hAnsi="Times New Roman" w:cs="Times New Roman"/>
        </w:rPr>
        <w:t xml:space="preserve"> </w:t>
      </w:r>
      <w:r>
        <w:rPr>
          <w:rFonts w:ascii="Times New Roman" w:hAnsi="Times New Roman" w:cs="Times New Roman"/>
        </w:rPr>
        <w:t xml:space="preserve">under </w:t>
      </w:r>
      <w:r w:rsidRPr="005458E3">
        <w:rPr>
          <w:rFonts w:ascii="Times New Roman" w:hAnsi="Times New Roman" w:cs="Times New Roman"/>
        </w:rPr>
        <w:t>Rule 23. In the case of drugs developed in India</w:t>
      </w:r>
      <w:r w:rsidR="00097873">
        <w:rPr>
          <w:rFonts w:ascii="Times New Roman" w:hAnsi="Times New Roman" w:cs="Times New Roman"/>
        </w:rPr>
        <w:t xml:space="preserve">, </w:t>
      </w:r>
      <w:r w:rsidRPr="005458E3">
        <w:rPr>
          <w:rFonts w:ascii="Times New Roman" w:hAnsi="Times New Roman" w:cs="Times New Roman"/>
        </w:rPr>
        <w:t xml:space="preserve">particularly when </w:t>
      </w:r>
      <w:r w:rsidR="00097873">
        <w:rPr>
          <w:rFonts w:ascii="Times New Roman" w:hAnsi="Times New Roman" w:cs="Times New Roman"/>
        </w:rPr>
        <w:t xml:space="preserve">the drug is </w:t>
      </w:r>
      <w:r w:rsidRPr="005458E3">
        <w:rPr>
          <w:rFonts w:ascii="Times New Roman" w:hAnsi="Times New Roman" w:cs="Times New Roman"/>
        </w:rPr>
        <w:t xml:space="preserve">intended </w:t>
      </w:r>
      <w:r w:rsidR="00097873">
        <w:rPr>
          <w:rFonts w:ascii="Times New Roman" w:hAnsi="Times New Roman" w:cs="Times New Roman"/>
        </w:rPr>
        <w:t xml:space="preserve">to be </w:t>
      </w:r>
      <w:r w:rsidRPr="005458E3">
        <w:rPr>
          <w:rFonts w:ascii="Times New Roman" w:hAnsi="Times New Roman" w:cs="Times New Roman"/>
        </w:rPr>
        <w:t>manufacture</w:t>
      </w:r>
      <w:r w:rsidR="00097873">
        <w:rPr>
          <w:rFonts w:ascii="Times New Roman" w:hAnsi="Times New Roman" w:cs="Times New Roman"/>
        </w:rPr>
        <w:t>d</w:t>
      </w:r>
      <w:r w:rsidRPr="005458E3">
        <w:rPr>
          <w:rFonts w:ascii="Times New Roman" w:hAnsi="Times New Roman" w:cs="Times New Roman"/>
        </w:rPr>
        <w:t xml:space="preserve"> and market</w:t>
      </w:r>
      <w:r w:rsidR="00097873">
        <w:rPr>
          <w:rFonts w:ascii="Times New Roman" w:hAnsi="Times New Roman" w:cs="Times New Roman"/>
        </w:rPr>
        <w:t>ed</w:t>
      </w:r>
      <w:r w:rsidRPr="005458E3">
        <w:rPr>
          <w:rFonts w:ascii="Times New Roman" w:hAnsi="Times New Roman" w:cs="Times New Roman"/>
        </w:rPr>
        <w:t xml:space="preserve"> domestically</w:t>
      </w:r>
      <w:r w:rsidR="00097873">
        <w:rPr>
          <w:rFonts w:ascii="Times New Roman" w:hAnsi="Times New Roman" w:cs="Times New Roman"/>
        </w:rPr>
        <w:t xml:space="preserve">, </w:t>
      </w:r>
      <w:r w:rsidRPr="005458E3">
        <w:rPr>
          <w:rFonts w:ascii="Times New Roman" w:hAnsi="Times New Roman" w:cs="Times New Roman"/>
        </w:rPr>
        <w:t xml:space="preserve">applications for permission to initiate clinical trials must be processed by the CLA within 30 working days. If the applicant does not receive any communication within this period, the clinical trial is deemed to have received approval. </w:t>
      </w:r>
      <w:r w:rsidR="00D54B17" w:rsidRPr="00D54B17">
        <w:rPr>
          <w:rFonts w:ascii="Times New Roman" w:hAnsi="Times New Roman" w:cs="Times New Roman"/>
        </w:rPr>
        <w:t>Once granted, such permission remains valid for a period of three years. The rules also lay down specific conditions concerning labelling</w:t>
      </w:r>
      <w:r w:rsidR="00E403BE">
        <w:rPr>
          <w:rStyle w:val="EndnoteReference"/>
          <w:rFonts w:ascii="Times New Roman" w:hAnsi="Times New Roman" w:cs="Times New Roman"/>
        </w:rPr>
        <w:endnoteReference w:id="11"/>
      </w:r>
      <w:r w:rsidR="00D54B17" w:rsidRPr="00D54B17">
        <w:rPr>
          <w:rFonts w:ascii="Times New Roman" w:hAnsi="Times New Roman" w:cs="Times New Roman"/>
        </w:rPr>
        <w:t xml:space="preserve"> and documentation, thereby ensuring traceability and quality assurance of investigational products throughout the study period. This helps maintain Good Manufacturing Practices standards during </w:t>
      </w:r>
      <w:r w:rsidR="007328EB">
        <w:rPr>
          <w:rFonts w:ascii="Times New Roman" w:hAnsi="Times New Roman" w:cs="Times New Roman"/>
        </w:rPr>
        <w:t xml:space="preserve">the </w:t>
      </w:r>
      <w:r w:rsidR="00D54B17" w:rsidRPr="00D54B17">
        <w:rPr>
          <w:rFonts w:ascii="Times New Roman" w:hAnsi="Times New Roman" w:cs="Times New Roman"/>
        </w:rPr>
        <w:t>early</w:t>
      </w:r>
      <w:r w:rsidR="007328EB">
        <w:rPr>
          <w:rFonts w:ascii="Times New Roman" w:hAnsi="Times New Roman" w:cs="Times New Roman"/>
        </w:rPr>
        <w:t xml:space="preserve"> </w:t>
      </w:r>
      <w:r w:rsidR="00D54B17" w:rsidRPr="00D54B17">
        <w:rPr>
          <w:rFonts w:ascii="Times New Roman" w:hAnsi="Times New Roman" w:cs="Times New Roman"/>
        </w:rPr>
        <w:t>stage</w:t>
      </w:r>
      <w:r w:rsidR="007328EB">
        <w:rPr>
          <w:rFonts w:ascii="Times New Roman" w:hAnsi="Times New Roman" w:cs="Times New Roman"/>
        </w:rPr>
        <w:t>s</w:t>
      </w:r>
      <w:r w:rsidR="00D54B17" w:rsidRPr="00D54B17">
        <w:rPr>
          <w:rFonts w:ascii="Times New Roman" w:hAnsi="Times New Roman" w:cs="Times New Roman"/>
        </w:rPr>
        <w:t xml:space="preserve"> </w:t>
      </w:r>
      <w:r w:rsidR="00AD24CF">
        <w:rPr>
          <w:rFonts w:ascii="Times New Roman" w:hAnsi="Times New Roman" w:cs="Times New Roman"/>
        </w:rPr>
        <w:t xml:space="preserve">of </w:t>
      </w:r>
      <w:r w:rsidR="00D54B17" w:rsidRPr="00D54B17">
        <w:rPr>
          <w:rFonts w:ascii="Times New Roman" w:hAnsi="Times New Roman" w:cs="Times New Roman"/>
        </w:rPr>
        <w:t>product development</w:t>
      </w:r>
      <w:r w:rsidR="00AD24CF">
        <w:rPr>
          <w:rFonts w:ascii="Times New Roman" w:hAnsi="Times New Roman" w:cs="Times New Roman"/>
        </w:rPr>
        <w:t>.</w:t>
      </w:r>
    </w:p>
    <w:p w14:paraId="11332BBA" w14:textId="1825BC25" w:rsidR="003C33B8" w:rsidRDefault="00D54B17" w:rsidP="008A5658">
      <w:pPr>
        <w:spacing w:line="360" w:lineRule="auto"/>
        <w:jc w:val="both"/>
        <w:rPr>
          <w:rFonts w:ascii="Times New Roman" w:hAnsi="Times New Roman" w:cs="Times New Roman"/>
        </w:rPr>
      </w:pPr>
      <w:r w:rsidRPr="00D54B17">
        <w:rPr>
          <w:rFonts w:ascii="Times New Roman" w:hAnsi="Times New Roman" w:cs="Times New Roman"/>
        </w:rPr>
        <w:t xml:space="preserve">In </w:t>
      </w:r>
      <w:r w:rsidR="006D5168">
        <w:rPr>
          <w:rFonts w:ascii="Times New Roman" w:hAnsi="Times New Roman" w:cs="Times New Roman"/>
        </w:rPr>
        <w:t>short,</w:t>
      </w:r>
      <w:r w:rsidRPr="00D54B17">
        <w:rPr>
          <w:rFonts w:ascii="Times New Roman" w:hAnsi="Times New Roman" w:cs="Times New Roman"/>
        </w:rPr>
        <w:t xml:space="preserve"> the NDCTR 2019 </w:t>
      </w:r>
      <w:r w:rsidR="006D5168">
        <w:rPr>
          <w:rFonts w:ascii="Times New Roman" w:hAnsi="Times New Roman" w:cs="Times New Roman"/>
        </w:rPr>
        <w:t>is</w:t>
      </w:r>
      <w:r w:rsidRPr="00D54B17">
        <w:rPr>
          <w:rFonts w:ascii="Times New Roman" w:hAnsi="Times New Roman" w:cs="Times New Roman"/>
        </w:rPr>
        <w:t xml:space="preserve"> a transformative shift in India’s regulatory approach to drug development and clinical research. Th</w:t>
      </w:r>
      <w:r w:rsidR="002F1A36">
        <w:rPr>
          <w:rFonts w:ascii="Times New Roman" w:hAnsi="Times New Roman" w:cs="Times New Roman"/>
        </w:rPr>
        <w:t xml:space="preserve">is </w:t>
      </w:r>
      <w:r w:rsidRPr="00D54B17">
        <w:rPr>
          <w:rFonts w:ascii="Times New Roman" w:hAnsi="Times New Roman" w:cs="Times New Roman"/>
        </w:rPr>
        <w:t xml:space="preserve">not only benefit sponsors by reducing uncertainty </w:t>
      </w:r>
      <w:r w:rsidR="006D5168">
        <w:rPr>
          <w:rFonts w:ascii="Times New Roman" w:hAnsi="Times New Roman" w:cs="Times New Roman"/>
        </w:rPr>
        <w:t xml:space="preserve">in the approval process </w:t>
      </w:r>
      <w:r w:rsidRPr="00D54B17">
        <w:rPr>
          <w:rFonts w:ascii="Times New Roman" w:hAnsi="Times New Roman" w:cs="Times New Roman"/>
        </w:rPr>
        <w:t>but also safeguard the interests of research participants by embedding principles of patient safety, ethics, and accountability at every stage of drug development.</w:t>
      </w:r>
    </w:p>
    <w:p w14:paraId="5C7019F5" w14:textId="77C1D0FF" w:rsidR="003D5FAF" w:rsidRPr="00960EDB" w:rsidRDefault="00960EDB" w:rsidP="00960EDB">
      <w:pPr>
        <w:pStyle w:val="Heading2"/>
        <w:rPr>
          <w:rFonts w:ascii="Times New Roman" w:hAnsi="Times New Roman" w:cs="Times New Roman"/>
          <w:b/>
          <w:bCs/>
          <w:color w:val="auto"/>
          <w:sz w:val="24"/>
          <w:szCs w:val="24"/>
        </w:rPr>
      </w:pPr>
      <w:bookmarkStart w:id="5" w:name="_Toc196504646"/>
      <w:r w:rsidRPr="00960EDB">
        <w:rPr>
          <w:rFonts w:ascii="Times New Roman" w:hAnsi="Times New Roman" w:cs="Times New Roman"/>
          <w:b/>
          <w:bCs/>
          <w:color w:val="auto"/>
          <w:sz w:val="24"/>
          <w:szCs w:val="24"/>
        </w:rPr>
        <w:t>POST-MARKETING SURVEILLANCE UNDER NDCTR, 2019</w:t>
      </w:r>
      <w:bookmarkEnd w:id="5"/>
    </w:p>
    <w:p w14:paraId="5BFCAA7C" w14:textId="77777777" w:rsidR="00051FA5" w:rsidRDefault="00C96347" w:rsidP="00051FA5">
      <w:pPr>
        <w:tabs>
          <w:tab w:val="num" w:pos="720"/>
          <w:tab w:val="num" w:pos="1440"/>
        </w:tabs>
        <w:spacing w:line="360" w:lineRule="auto"/>
        <w:jc w:val="both"/>
        <w:rPr>
          <w:rFonts w:ascii="Times New Roman" w:hAnsi="Times New Roman" w:cs="Times New Roman"/>
        </w:rPr>
      </w:pPr>
      <w:r>
        <w:rPr>
          <w:rFonts w:ascii="Times New Roman" w:hAnsi="Times New Roman" w:cs="Times New Roman"/>
        </w:rPr>
        <w:t>T</w:t>
      </w:r>
      <w:r w:rsidR="003D5FAF" w:rsidRPr="003D5FAF">
        <w:rPr>
          <w:rFonts w:ascii="Times New Roman" w:hAnsi="Times New Roman" w:cs="Times New Roman"/>
        </w:rPr>
        <w:t xml:space="preserve">he NDCTR, 2019 now </w:t>
      </w:r>
      <w:r w:rsidR="009A29CB">
        <w:rPr>
          <w:rFonts w:ascii="Times New Roman" w:hAnsi="Times New Roman" w:cs="Times New Roman"/>
        </w:rPr>
        <w:t xml:space="preserve">provides for </w:t>
      </w:r>
      <w:r w:rsidR="003D5FAF" w:rsidRPr="003D5FAF">
        <w:rPr>
          <w:rFonts w:ascii="Times New Roman" w:hAnsi="Times New Roman" w:cs="Times New Roman"/>
          <w:b/>
          <w:bCs/>
          <w:i/>
          <w:iCs/>
        </w:rPr>
        <w:t>Phase IV Clinical Trials</w:t>
      </w:r>
      <w:r w:rsidR="009A29CB">
        <w:rPr>
          <w:rFonts w:ascii="Times New Roman" w:hAnsi="Times New Roman" w:cs="Times New Roman"/>
        </w:rPr>
        <w:t xml:space="preserve">. </w:t>
      </w:r>
      <w:r w:rsidR="003D5FAF" w:rsidRPr="003D5FAF">
        <w:rPr>
          <w:rFonts w:ascii="Times New Roman" w:hAnsi="Times New Roman" w:cs="Times New Roman"/>
        </w:rPr>
        <w:t xml:space="preserve">These are studies conducted to further assess the safety, efficacy, and optimal use of a drug after it has been approved. </w:t>
      </w:r>
    </w:p>
    <w:p w14:paraId="5933ED63" w14:textId="4D71CCC4" w:rsidR="008E2B84" w:rsidRPr="00466966" w:rsidRDefault="004032B6" w:rsidP="00051FA5">
      <w:pPr>
        <w:tabs>
          <w:tab w:val="num" w:pos="720"/>
          <w:tab w:val="num" w:pos="1440"/>
        </w:tabs>
        <w:spacing w:line="360" w:lineRule="auto"/>
        <w:jc w:val="both"/>
        <w:rPr>
          <w:rStyle w:val="SubtleReference"/>
          <w:rFonts w:ascii="Times New Roman" w:hAnsi="Times New Roman" w:cs="Times New Roman"/>
          <w:b/>
          <w:bCs/>
          <w:color w:val="auto"/>
        </w:rPr>
      </w:pPr>
      <w:r w:rsidRPr="00466966">
        <w:rPr>
          <w:rStyle w:val="SubtleReference"/>
          <w:rFonts w:ascii="Times New Roman" w:hAnsi="Times New Roman" w:cs="Times New Roman"/>
          <w:b/>
          <w:bCs/>
          <w:color w:val="auto"/>
        </w:rPr>
        <w:t>it includes</w:t>
      </w:r>
      <w:r w:rsidR="008F155A" w:rsidRPr="008F155A">
        <w:rPr>
          <w:rStyle w:val="EndnoteReference"/>
          <w:rFonts w:ascii="Times New Roman" w:hAnsi="Times New Roman" w:cs="Times New Roman"/>
          <w:b/>
          <w:bCs/>
          <w:i/>
          <w:iCs/>
          <w:smallCaps/>
        </w:rPr>
        <w:endnoteReference w:id="12"/>
      </w:r>
      <w:r w:rsidR="008F155A" w:rsidRPr="00466966">
        <w:rPr>
          <w:rStyle w:val="SubtleReference"/>
          <w:rFonts w:ascii="Times New Roman" w:hAnsi="Times New Roman" w:cs="Times New Roman"/>
          <w:b/>
          <w:bCs/>
          <w:color w:val="auto"/>
        </w:rPr>
        <w:t>:</w:t>
      </w:r>
      <w:r w:rsidRPr="00466966">
        <w:rPr>
          <w:rStyle w:val="SubtleReference"/>
          <w:rFonts w:ascii="Times New Roman" w:hAnsi="Times New Roman" w:cs="Times New Roman"/>
          <w:b/>
          <w:bCs/>
          <w:color w:val="auto"/>
        </w:rPr>
        <w:t xml:space="preserve"> </w:t>
      </w:r>
    </w:p>
    <w:p w14:paraId="195E38C6" w14:textId="5E0D683B" w:rsidR="008E2B84" w:rsidRPr="008E2B84" w:rsidRDefault="008E2B84" w:rsidP="00551CAD">
      <w:pPr>
        <w:pStyle w:val="ListParagraph"/>
        <w:numPr>
          <w:ilvl w:val="0"/>
          <w:numId w:val="4"/>
        </w:numPr>
        <w:spacing w:line="360" w:lineRule="auto"/>
        <w:jc w:val="both"/>
        <w:rPr>
          <w:rFonts w:ascii="Times New Roman" w:hAnsi="Times New Roman" w:cs="Times New Roman"/>
        </w:rPr>
      </w:pPr>
      <w:r w:rsidRPr="008E2B84">
        <w:rPr>
          <w:rFonts w:ascii="Times New Roman" w:hAnsi="Times New Roman" w:cs="Times New Roman"/>
          <w:i/>
          <w:iCs/>
        </w:rPr>
        <w:t>Phase IV (</w:t>
      </w:r>
      <w:proofErr w:type="gramStart"/>
      <w:r w:rsidRPr="008E2B84">
        <w:rPr>
          <w:rFonts w:ascii="Times New Roman" w:hAnsi="Times New Roman" w:cs="Times New Roman"/>
          <w:i/>
          <w:iCs/>
        </w:rPr>
        <w:t>Post-marketing</w:t>
      </w:r>
      <w:proofErr w:type="gramEnd"/>
      <w:r w:rsidRPr="008E2B84">
        <w:rPr>
          <w:rFonts w:ascii="Times New Roman" w:hAnsi="Times New Roman" w:cs="Times New Roman"/>
          <w:i/>
          <w:iCs/>
        </w:rPr>
        <w:t>) trials</w:t>
      </w:r>
      <w:r>
        <w:rPr>
          <w:rFonts w:ascii="Times New Roman" w:hAnsi="Times New Roman" w:cs="Times New Roman"/>
          <w:i/>
          <w:iCs/>
        </w:rPr>
        <w:t xml:space="preserve">: </w:t>
      </w:r>
      <w:r w:rsidRPr="008E2B84">
        <w:rPr>
          <w:rFonts w:ascii="Times New Roman" w:hAnsi="Times New Roman" w:cs="Times New Roman"/>
        </w:rPr>
        <w:t xml:space="preserve">They are conducted after a drug is approved and </w:t>
      </w:r>
      <w:r w:rsidR="003745D5">
        <w:rPr>
          <w:rFonts w:ascii="Times New Roman" w:hAnsi="Times New Roman" w:cs="Times New Roman"/>
        </w:rPr>
        <w:t xml:space="preserve">is </w:t>
      </w:r>
      <w:r w:rsidRPr="008E2B84">
        <w:rPr>
          <w:rFonts w:ascii="Times New Roman" w:hAnsi="Times New Roman" w:cs="Times New Roman"/>
        </w:rPr>
        <w:t xml:space="preserve">designed to further evaluate its safety, drug-drug interactions, dose-response, and overall effectiveness under real-world conditions. These trials are carried out according to an approved protocol that includes defined scientific objectives, inclusion and exclusion criteria, and safety and efficacy assessments. </w:t>
      </w:r>
    </w:p>
    <w:p w14:paraId="5563170C" w14:textId="7D85382F" w:rsidR="00551CAD" w:rsidRPr="00551CAD" w:rsidRDefault="00551CAD" w:rsidP="00551CAD">
      <w:pPr>
        <w:pStyle w:val="ListParagraph"/>
        <w:numPr>
          <w:ilvl w:val="0"/>
          <w:numId w:val="4"/>
        </w:numPr>
        <w:spacing w:line="360" w:lineRule="auto"/>
        <w:jc w:val="both"/>
        <w:rPr>
          <w:rFonts w:ascii="Times New Roman" w:hAnsi="Times New Roman" w:cs="Times New Roman"/>
        </w:rPr>
      </w:pPr>
      <w:r w:rsidRPr="00B65FE0">
        <w:rPr>
          <w:rFonts w:ascii="Times New Roman" w:hAnsi="Times New Roman" w:cs="Times New Roman"/>
          <w:i/>
          <w:iCs/>
        </w:rPr>
        <w:t>Periodic Safety Update Reports</w:t>
      </w:r>
      <w:r w:rsidRPr="00551CAD">
        <w:rPr>
          <w:rFonts w:ascii="Times New Roman" w:hAnsi="Times New Roman" w:cs="Times New Roman"/>
        </w:rPr>
        <w:t xml:space="preserve"> (PSURs)</w:t>
      </w:r>
      <w:r w:rsidR="00B65FE0">
        <w:rPr>
          <w:rFonts w:ascii="Times New Roman" w:hAnsi="Times New Roman" w:cs="Times New Roman"/>
        </w:rPr>
        <w:t>: Submission of PSURs</w:t>
      </w:r>
      <w:r w:rsidRPr="00551CAD">
        <w:rPr>
          <w:rFonts w:ascii="Times New Roman" w:hAnsi="Times New Roman" w:cs="Times New Roman"/>
        </w:rPr>
        <w:t xml:space="preserve"> every six months for the first two years and annually for the next two years.</w:t>
      </w:r>
      <w:r w:rsidR="0004540C">
        <w:rPr>
          <w:rFonts w:ascii="Times New Roman" w:hAnsi="Times New Roman" w:cs="Times New Roman"/>
        </w:rPr>
        <w:t xml:space="preserve"> </w:t>
      </w:r>
      <w:r w:rsidR="0004540C" w:rsidRPr="0004540C">
        <w:rPr>
          <w:rFonts w:ascii="Times New Roman" w:hAnsi="Times New Roman" w:cs="Times New Roman"/>
        </w:rPr>
        <w:t xml:space="preserve">PSURs contain detailed safety information about a drug, including the identification of potential risks, the benefit-risk </w:t>
      </w:r>
      <w:r w:rsidR="0004540C" w:rsidRPr="0004540C">
        <w:rPr>
          <w:rFonts w:ascii="Times New Roman" w:hAnsi="Times New Roman" w:cs="Times New Roman"/>
        </w:rPr>
        <w:lastRenderedPageBreak/>
        <w:t>assessment, and any measures taken to mitigate risks. The PSURs provide ongoing monitoring of the drug’s safety profile and allow the regulatory authorities to take timely action if necessary.</w:t>
      </w:r>
    </w:p>
    <w:p w14:paraId="7B7FABEB" w14:textId="3406EFD1" w:rsidR="003D5FAF" w:rsidRPr="003D5FAF" w:rsidRDefault="003D5FAF" w:rsidP="00175C53">
      <w:pPr>
        <w:pStyle w:val="ListParagraph"/>
        <w:numPr>
          <w:ilvl w:val="0"/>
          <w:numId w:val="4"/>
        </w:numPr>
        <w:spacing w:line="360" w:lineRule="auto"/>
        <w:jc w:val="both"/>
        <w:rPr>
          <w:rFonts w:ascii="Times New Roman" w:hAnsi="Times New Roman" w:cs="Times New Roman"/>
        </w:rPr>
      </w:pPr>
      <w:r w:rsidRPr="00B65FE0">
        <w:rPr>
          <w:rFonts w:ascii="Times New Roman" w:hAnsi="Times New Roman" w:cs="Times New Roman"/>
          <w:i/>
          <w:iCs/>
        </w:rPr>
        <w:t>Post-Marketing Studies</w:t>
      </w:r>
      <w:r w:rsidRPr="00DB6072">
        <w:rPr>
          <w:rFonts w:ascii="Times New Roman" w:hAnsi="Times New Roman" w:cs="Times New Roman"/>
        </w:rPr>
        <w:t xml:space="preserve"> (PMS): These studies must be conducted in line with the approved indications and conditions of use. The primary objective is to establish safety as the endpoint, ensuring that the drug performs as expected in the real-world population. </w:t>
      </w:r>
      <w:r w:rsidRPr="003D5FAF">
        <w:rPr>
          <w:rFonts w:ascii="Times New Roman" w:hAnsi="Times New Roman" w:cs="Times New Roman"/>
        </w:rPr>
        <w:t xml:space="preserve">This </w:t>
      </w:r>
      <w:r w:rsidR="00DA37D7">
        <w:rPr>
          <w:rFonts w:ascii="Times New Roman" w:hAnsi="Times New Roman" w:cs="Times New Roman"/>
        </w:rPr>
        <w:t>mode of</w:t>
      </w:r>
      <w:r w:rsidRPr="003D5FAF">
        <w:rPr>
          <w:rFonts w:ascii="Times New Roman" w:hAnsi="Times New Roman" w:cs="Times New Roman"/>
        </w:rPr>
        <w:t xml:space="preserve"> application allows regulators and manufacturers to assess the drug’s ongoing safety profile and make adjustments if needed.</w:t>
      </w:r>
    </w:p>
    <w:p w14:paraId="20660CA2" w14:textId="77777777" w:rsidR="00960EDB" w:rsidRPr="00D027B9" w:rsidRDefault="00960EDB" w:rsidP="00960EDB">
      <w:pPr>
        <w:pStyle w:val="Heading1"/>
        <w:rPr>
          <w:rFonts w:ascii="Times New Roman" w:hAnsi="Times New Roman" w:cs="Times New Roman"/>
          <w:b/>
          <w:bCs/>
          <w:color w:val="auto"/>
          <w:sz w:val="24"/>
          <w:szCs w:val="24"/>
        </w:rPr>
      </w:pPr>
      <w:bookmarkStart w:id="6" w:name="_Toc196504647"/>
      <w:r w:rsidRPr="00C353D0">
        <w:rPr>
          <w:rFonts w:ascii="Times New Roman" w:hAnsi="Times New Roman" w:cs="Times New Roman"/>
          <w:b/>
          <w:bCs/>
          <w:color w:val="auto"/>
          <w:sz w:val="24"/>
          <w:szCs w:val="24"/>
        </w:rPr>
        <w:t>WHAT DOES THIS MEAN FOR PHARMCOVIGILENCE</w:t>
      </w:r>
      <w:r>
        <w:rPr>
          <w:rFonts w:ascii="Times New Roman" w:hAnsi="Times New Roman" w:cs="Times New Roman"/>
          <w:b/>
          <w:bCs/>
          <w:color w:val="auto"/>
          <w:sz w:val="24"/>
          <w:szCs w:val="24"/>
        </w:rPr>
        <w:t xml:space="preserve"> IN INDIA</w:t>
      </w:r>
      <w:r w:rsidRPr="00C353D0">
        <w:rPr>
          <w:rFonts w:ascii="Times New Roman" w:hAnsi="Times New Roman" w:cs="Times New Roman"/>
          <w:b/>
          <w:bCs/>
          <w:color w:val="auto"/>
          <w:sz w:val="24"/>
          <w:szCs w:val="24"/>
        </w:rPr>
        <w:t>?</w:t>
      </w:r>
      <w:bookmarkEnd w:id="6"/>
      <w:r w:rsidRPr="00C353D0">
        <w:rPr>
          <w:rFonts w:ascii="Times New Roman" w:hAnsi="Times New Roman" w:cs="Times New Roman"/>
          <w:b/>
          <w:bCs/>
          <w:color w:val="auto"/>
          <w:sz w:val="24"/>
          <w:szCs w:val="24"/>
        </w:rPr>
        <w:t xml:space="preserve"> </w:t>
      </w:r>
    </w:p>
    <w:p w14:paraId="2502AC80" w14:textId="72D9A806" w:rsidR="000F5766" w:rsidRPr="00BC4CC6" w:rsidRDefault="000F5766" w:rsidP="00BC4CC6">
      <w:pPr>
        <w:spacing w:line="360" w:lineRule="auto"/>
        <w:jc w:val="both"/>
        <w:rPr>
          <w:rFonts w:ascii="Times New Roman" w:hAnsi="Times New Roman" w:cs="Times New Roman"/>
        </w:rPr>
      </w:pPr>
      <w:r w:rsidRPr="00BC4CC6">
        <w:rPr>
          <w:rFonts w:ascii="Times New Roman" w:hAnsi="Times New Roman" w:cs="Times New Roman"/>
          <w:i/>
          <w:iCs/>
        </w:rPr>
        <w:t xml:space="preserve">Integration with </w:t>
      </w:r>
      <w:proofErr w:type="spellStart"/>
      <w:r w:rsidRPr="00BC4CC6">
        <w:rPr>
          <w:rFonts w:ascii="Times New Roman" w:hAnsi="Times New Roman" w:cs="Times New Roman"/>
          <w:i/>
          <w:iCs/>
        </w:rPr>
        <w:t>PvP</w:t>
      </w:r>
      <w:r w:rsidR="00FF64A1">
        <w:rPr>
          <w:rFonts w:ascii="Times New Roman" w:hAnsi="Times New Roman" w:cs="Times New Roman"/>
          <w:i/>
          <w:iCs/>
        </w:rPr>
        <w:t>I</w:t>
      </w:r>
      <w:proofErr w:type="spellEnd"/>
      <w:r w:rsidR="0063367D">
        <w:rPr>
          <w:rFonts w:ascii="Times New Roman" w:hAnsi="Times New Roman" w:cs="Times New Roman"/>
        </w:rPr>
        <w:t>:</w:t>
      </w:r>
      <w:r w:rsidRPr="00BC4CC6">
        <w:rPr>
          <w:rFonts w:ascii="Times New Roman" w:hAnsi="Times New Roman" w:cs="Times New Roman"/>
          <w:b/>
          <w:bCs/>
        </w:rPr>
        <w:t xml:space="preserve"> </w:t>
      </w:r>
      <w:r w:rsidRPr="00BC4CC6">
        <w:rPr>
          <w:rFonts w:ascii="Times New Roman" w:hAnsi="Times New Roman" w:cs="Times New Roman"/>
        </w:rPr>
        <w:t>The NDCTR, 2019 complement</w:t>
      </w:r>
      <w:r w:rsidR="008001C5" w:rsidRPr="00BC4CC6">
        <w:rPr>
          <w:rFonts w:ascii="Times New Roman" w:hAnsi="Times New Roman" w:cs="Times New Roman"/>
        </w:rPr>
        <w:t>s</w:t>
      </w:r>
      <w:r w:rsidRPr="00BC4CC6">
        <w:rPr>
          <w:rFonts w:ascii="Times New Roman" w:hAnsi="Times New Roman" w:cs="Times New Roman"/>
        </w:rPr>
        <w:t xml:space="preserve"> the </w:t>
      </w:r>
      <w:proofErr w:type="spellStart"/>
      <w:r w:rsidRPr="00BC4CC6">
        <w:rPr>
          <w:rFonts w:ascii="Times New Roman" w:hAnsi="Times New Roman" w:cs="Times New Roman"/>
        </w:rPr>
        <w:t>PvPI</w:t>
      </w:r>
      <w:proofErr w:type="spellEnd"/>
      <w:r w:rsidRPr="00BC4CC6">
        <w:rPr>
          <w:rFonts w:ascii="Times New Roman" w:hAnsi="Times New Roman" w:cs="Times New Roman"/>
        </w:rPr>
        <w:t xml:space="preserve"> by reinforcing the mandatory ADR reporting requirement for pharmaceutical companies. This ensures that ADR monitoring remains a critical part of the drug approval and post-marketing surveillance process. Additionally,</w:t>
      </w:r>
      <w:r w:rsidR="00687273" w:rsidRPr="00BC4CC6">
        <w:rPr>
          <w:rFonts w:ascii="Times New Roman" w:hAnsi="Times New Roman" w:cs="Times New Roman"/>
        </w:rPr>
        <w:t xml:space="preserve"> data proves that</w:t>
      </w:r>
      <w:r w:rsidRPr="00BC4CC6">
        <w:rPr>
          <w:rFonts w:ascii="Times New Roman" w:hAnsi="Times New Roman" w:cs="Times New Roman"/>
        </w:rPr>
        <w:t xml:space="preserve"> the expansion of AMCs</w:t>
      </w:r>
      <w:r w:rsidR="008001C5" w:rsidRPr="00BC4CC6">
        <w:rPr>
          <w:rFonts w:ascii="Times New Roman" w:hAnsi="Times New Roman" w:cs="Times New Roman"/>
        </w:rPr>
        <w:t xml:space="preserve"> </w:t>
      </w:r>
      <w:r w:rsidRPr="00BC4CC6">
        <w:rPr>
          <w:rFonts w:ascii="Times New Roman" w:hAnsi="Times New Roman" w:cs="Times New Roman"/>
        </w:rPr>
        <w:t xml:space="preserve">has significantly enhanced the nationwide detection and reporting of ADRs. However, challenges remain despite these advancements. One major issue is the underreporting of ADRs by healthcare professionals. Many doctors and pharmacists fail to consistently report ADRs, either due to lack of awareness or time constraints. Moreover, while </w:t>
      </w:r>
      <w:proofErr w:type="spellStart"/>
      <w:r w:rsidRPr="00BC4CC6">
        <w:rPr>
          <w:rFonts w:ascii="Times New Roman" w:hAnsi="Times New Roman" w:cs="Times New Roman"/>
        </w:rPr>
        <w:t>PvPI</w:t>
      </w:r>
      <w:proofErr w:type="spellEnd"/>
      <w:r w:rsidRPr="00BC4CC6">
        <w:rPr>
          <w:rFonts w:ascii="Times New Roman" w:hAnsi="Times New Roman" w:cs="Times New Roman"/>
        </w:rPr>
        <w:t xml:space="preserve"> allows patients to report ADRs directly through helplines and apps, public awareness of these reporting mechanisms is still quite low</w:t>
      </w:r>
      <w:r w:rsidR="009B6C59" w:rsidRPr="00BC4CC6">
        <w:rPr>
          <w:rFonts w:ascii="Times New Roman" w:hAnsi="Times New Roman" w:cs="Times New Roman"/>
        </w:rPr>
        <w:t xml:space="preserve">, which </w:t>
      </w:r>
      <w:r w:rsidR="008F5D4D" w:rsidRPr="00BC4CC6">
        <w:rPr>
          <w:rFonts w:ascii="Times New Roman" w:hAnsi="Times New Roman" w:cs="Times New Roman"/>
        </w:rPr>
        <w:t>maj</w:t>
      </w:r>
      <w:r w:rsidR="004D2AE5">
        <w:rPr>
          <w:rFonts w:ascii="Times New Roman" w:hAnsi="Times New Roman" w:cs="Times New Roman"/>
        </w:rPr>
        <w:t>or</w:t>
      </w:r>
      <w:r w:rsidR="008F5D4D" w:rsidRPr="00BC4CC6">
        <w:rPr>
          <w:rFonts w:ascii="Times New Roman" w:hAnsi="Times New Roman" w:cs="Times New Roman"/>
        </w:rPr>
        <w:t>ly diminishes the effectiveness of such elaborate reporting schemes</w:t>
      </w:r>
      <w:r w:rsidRPr="00BC4CC6">
        <w:rPr>
          <w:rFonts w:ascii="Times New Roman" w:hAnsi="Times New Roman" w:cs="Times New Roman"/>
        </w:rPr>
        <w:t>.</w:t>
      </w:r>
      <w:r w:rsidR="0012592B">
        <w:rPr>
          <w:rStyle w:val="EndnoteReference"/>
          <w:rFonts w:ascii="Times New Roman" w:hAnsi="Times New Roman" w:cs="Times New Roman"/>
        </w:rPr>
        <w:endnoteReference w:id="13"/>
      </w:r>
    </w:p>
    <w:p w14:paraId="3FCB340B" w14:textId="05449CCF" w:rsidR="00832732" w:rsidRDefault="000F5766" w:rsidP="002A5F73">
      <w:pPr>
        <w:spacing w:line="360" w:lineRule="auto"/>
        <w:jc w:val="both"/>
        <w:rPr>
          <w:rFonts w:ascii="Times New Roman" w:hAnsi="Times New Roman" w:cs="Times New Roman"/>
        </w:rPr>
      </w:pPr>
      <w:r w:rsidRPr="00BC4CC6">
        <w:rPr>
          <w:rFonts w:ascii="Times New Roman" w:hAnsi="Times New Roman" w:cs="Times New Roman"/>
          <w:i/>
          <w:iCs/>
        </w:rPr>
        <w:t>Global Harmonization</w:t>
      </w:r>
      <w:r w:rsidR="00FF64A1">
        <w:rPr>
          <w:rFonts w:ascii="Times New Roman" w:hAnsi="Times New Roman" w:cs="Times New Roman"/>
        </w:rPr>
        <w:t>:</w:t>
      </w:r>
      <w:r w:rsidRPr="00BC4CC6">
        <w:rPr>
          <w:rFonts w:ascii="Times New Roman" w:hAnsi="Times New Roman" w:cs="Times New Roman"/>
          <w:b/>
          <w:bCs/>
        </w:rPr>
        <w:t xml:space="preserve"> </w:t>
      </w:r>
      <w:r w:rsidRPr="00BC4CC6">
        <w:rPr>
          <w:rFonts w:ascii="Times New Roman" w:hAnsi="Times New Roman" w:cs="Times New Roman"/>
        </w:rPr>
        <w:t>The NDCTR, 2019 brings India’s regulatory framework in line with international standards, such a</w:t>
      </w:r>
      <w:r w:rsidR="0040002F" w:rsidRPr="00BC4CC6">
        <w:rPr>
          <w:rFonts w:ascii="Times New Roman" w:hAnsi="Times New Roman" w:cs="Times New Roman"/>
        </w:rPr>
        <w:t xml:space="preserve">s </w:t>
      </w:r>
      <w:r w:rsidRPr="00BC4CC6">
        <w:rPr>
          <w:rFonts w:ascii="Times New Roman" w:hAnsi="Times New Roman" w:cs="Times New Roman"/>
        </w:rPr>
        <w:t>International Council for Harmonisation</w:t>
      </w:r>
      <w:r w:rsidR="0040002F" w:rsidRPr="00BC4CC6">
        <w:rPr>
          <w:rFonts w:ascii="Times New Roman" w:hAnsi="Times New Roman" w:cs="Times New Roman"/>
        </w:rPr>
        <w:t>:</w:t>
      </w:r>
      <w:r w:rsidRPr="00BC4CC6">
        <w:rPr>
          <w:rFonts w:ascii="Times New Roman" w:hAnsi="Times New Roman" w:cs="Times New Roman"/>
        </w:rPr>
        <w:t xml:space="preserve"> Good Clinical Practice </w:t>
      </w:r>
      <w:r w:rsidR="00947339" w:rsidRPr="00BC4CC6">
        <w:rPr>
          <w:rFonts w:ascii="Times New Roman" w:hAnsi="Times New Roman" w:cs="Times New Roman"/>
        </w:rPr>
        <w:t xml:space="preserve">(ICH-GCP) </w:t>
      </w:r>
      <w:r w:rsidRPr="00BC4CC6">
        <w:rPr>
          <w:rFonts w:ascii="Times New Roman" w:hAnsi="Times New Roman" w:cs="Times New Roman"/>
        </w:rPr>
        <w:t>and WHO-UMC guidelines. This enhances India’s credibility in the global pharmacovigilance community enabling better cooperation with international regulatory bodies and improving India’s ability to conduct clinical trials for global markets.</w:t>
      </w:r>
      <w:r w:rsidR="00CA2B68" w:rsidRPr="00BC4CC6">
        <w:rPr>
          <w:rFonts w:ascii="Times New Roman" w:hAnsi="Times New Roman" w:cs="Times New Roman"/>
        </w:rPr>
        <w:t xml:space="preserve"> However, d</w:t>
      </w:r>
      <w:r w:rsidRPr="00BC4CC6">
        <w:rPr>
          <w:rFonts w:ascii="Times New Roman" w:hAnsi="Times New Roman" w:cs="Times New Roman"/>
        </w:rPr>
        <w:t xml:space="preserve">espite this positive development, India faces unique challenges in implementing these international standards. One of the key issues is the infrastructure gap. Unlike EU, with </w:t>
      </w:r>
      <w:r w:rsidR="00DD5281">
        <w:rPr>
          <w:rFonts w:ascii="Times New Roman" w:hAnsi="Times New Roman" w:cs="Times New Roman"/>
        </w:rPr>
        <w:t xml:space="preserve">its </w:t>
      </w:r>
      <w:proofErr w:type="spellStart"/>
      <w:r w:rsidRPr="00BC4CC6">
        <w:rPr>
          <w:rFonts w:ascii="Times New Roman" w:hAnsi="Times New Roman" w:cs="Times New Roman"/>
        </w:rPr>
        <w:t>EudraVigilance</w:t>
      </w:r>
      <w:proofErr w:type="spellEnd"/>
      <w:r w:rsidRPr="00BC4CC6">
        <w:rPr>
          <w:rFonts w:ascii="Times New Roman" w:hAnsi="Times New Roman" w:cs="Times New Roman"/>
        </w:rPr>
        <w:t xml:space="preserve"> system</w:t>
      </w:r>
      <w:r w:rsidR="008C1F16">
        <w:rPr>
          <w:rStyle w:val="EndnoteReference"/>
          <w:rFonts w:ascii="Times New Roman" w:hAnsi="Times New Roman" w:cs="Times New Roman"/>
        </w:rPr>
        <w:endnoteReference w:id="14"/>
      </w:r>
      <w:r w:rsidRPr="00BC4CC6">
        <w:rPr>
          <w:rFonts w:ascii="Times New Roman" w:hAnsi="Times New Roman" w:cs="Times New Roman"/>
        </w:rPr>
        <w:t>, or the US with</w:t>
      </w:r>
      <w:r w:rsidR="00DD5281">
        <w:rPr>
          <w:rFonts w:ascii="Times New Roman" w:hAnsi="Times New Roman" w:cs="Times New Roman"/>
        </w:rPr>
        <w:t xml:space="preserve"> its</w:t>
      </w:r>
      <w:r w:rsidRPr="00BC4CC6">
        <w:rPr>
          <w:rFonts w:ascii="Times New Roman" w:hAnsi="Times New Roman" w:cs="Times New Roman"/>
        </w:rPr>
        <w:t xml:space="preserve"> FAERS</w:t>
      </w:r>
      <w:r w:rsidR="004E1D6D">
        <w:rPr>
          <w:rStyle w:val="EndnoteReference"/>
          <w:rFonts w:ascii="Times New Roman" w:hAnsi="Times New Roman" w:cs="Times New Roman"/>
        </w:rPr>
        <w:endnoteReference w:id="15"/>
      </w:r>
      <w:r w:rsidRPr="00BC4CC6">
        <w:rPr>
          <w:rFonts w:ascii="Times New Roman" w:hAnsi="Times New Roman" w:cs="Times New Roman"/>
        </w:rPr>
        <w:t xml:space="preserve">, India lacks a fully digitized, real-time ADR monitoring system. This gap makes it difficult to efficiently detect and track ADRs on a national scale. Additionally, regional disparities remain a concern, particularly in rural and tribal areas, where there is </w:t>
      </w:r>
      <w:r w:rsidR="00930121">
        <w:rPr>
          <w:rFonts w:ascii="Times New Roman" w:hAnsi="Times New Roman" w:cs="Times New Roman"/>
        </w:rPr>
        <w:t xml:space="preserve">little to no </w:t>
      </w:r>
      <w:r w:rsidRPr="00BC4CC6">
        <w:rPr>
          <w:rFonts w:ascii="Times New Roman" w:hAnsi="Times New Roman" w:cs="Times New Roman"/>
        </w:rPr>
        <w:t xml:space="preserve">access to </w:t>
      </w:r>
      <w:r w:rsidR="00930121">
        <w:rPr>
          <w:rFonts w:ascii="Times New Roman" w:hAnsi="Times New Roman" w:cs="Times New Roman"/>
        </w:rPr>
        <w:t xml:space="preserve">ADR reporting mechanisms. </w:t>
      </w:r>
    </w:p>
    <w:p w14:paraId="224607A1" w14:textId="77777777" w:rsidR="002A5F73" w:rsidRDefault="002A5F73" w:rsidP="002A5F73">
      <w:pPr>
        <w:spacing w:line="360" w:lineRule="auto"/>
        <w:jc w:val="both"/>
        <w:rPr>
          <w:rFonts w:ascii="Times New Roman" w:hAnsi="Times New Roman" w:cs="Times New Roman"/>
        </w:rPr>
      </w:pPr>
    </w:p>
    <w:p w14:paraId="44CE729C" w14:textId="77777777" w:rsidR="002A5F73" w:rsidRPr="002A5F73" w:rsidRDefault="002A5F73" w:rsidP="002A5F73">
      <w:pPr>
        <w:spacing w:line="360" w:lineRule="auto"/>
        <w:jc w:val="both"/>
        <w:rPr>
          <w:rFonts w:ascii="Times New Roman" w:hAnsi="Times New Roman" w:cs="Times New Roman"/>
          <w:b/>
          <w:bCs/>
        </w:rPr>
      </w:pPr>
    </w:p>
    <w:p w14:paraId="4F809873" w14:textId="280EC5AD" w:rsidR="00473642" w:rsidRPr="00853E65" w:rsidRDefault="00853E65" w:rsidP="00EE17A2">
      <w:pPr>
        <w:pStyle w:val="Heading1"/>
        <w:jc w:val="both"/>
        <w:rPr>
          <w:rFonts w:ascii="Times New Roman" w:hAnsi="Times New Roman" w:cs="Times New Roman"/>
          <w:b/>
          <w:bCs/>
          <w:color w:val="auto"/>
          <w:sz w:val="24"/>
          <w:szCs w:val="24"/>
        </w:rPr>
      </w:pPr>
      <w:bookmarkStart w:id="7" w:name="_Toc196504648"/>
      <w:r w:rsidRPr="00853E65">
        <w:rPr>
          <w:rFonts w:ascii="Times New Roman" w:hAnsi="Times New Roman" w:cs="Times New Roman"/>
          <w:b/>
          <w:bCs/>
          <w:color w:val="auto"/>
          <w:sz w:val="24"/>
          <w:szCs w:val="24"/>
        </w:rPr>
        <w:lastRenderedPageBreak/>
        <w:t>PERSISTENT CHALLENGES IN DRUG SAFETY DESPITE PRE-TRIAL AND POST-MARKETING REGULATIONS</w:t>
      </w:r>
      <w:bookmarkEnd w:id="7"/>
      <w:r w:rsidRPr="00853E65">
        <w:rPr>
          <w:rFonts w:ascii="Times New Roman" w:hAnsi="Times New Roman" w:cs="Times New Roman"/>
          <w:b/>
          <w:bCs/>
          <w:color w:val="auto"/>
          <w:sz w:val="24"/>
          <w:szCs w:val="24"/>
        </w:rPr>
        <w:t xml:space="preserve"> </w:t>
      </w:r>
    </w:p>
    <w:p w14:paraId="3E6C2A4E" w14:textId="538079F7" w:rsidR="00943143" w:rsidRDefault="005B0604" w:rsidP="009152D8">
      <w:pPr>
        <w:spacing w:line="360" w:lineRule="auto"/>
        <w:jc w:val="both"/>
        <w:rPr>
          <w:rFonts w:ascii="Times New Roman" w:hAnsi="Times New Roman" w:cs="Times New Roman"/>
        </w:rPr>
      </w:pPr>
      <w:r w:rsidRPr="00174EB7">
        <w:rPr>
          <w:rFonts w:ascii="Times New Roman" w:hAnsi="Times New Roman" w:cs="Times New Roman"/>
          <w:i/>
          <w:iCs/>
        </w:rPr>
        <w:t>Lack of Real-Time Monitoring</w:t>
      </w:r>
      <w:r w:rsidR="00174EB7" w:rsidRPr="00174EB7">
        <w:rPr>
          <w:rFonts w:ascii="Times New Roman" w:hAnsi="Times New Roman" w:cs="Times New Roman"/>
        </w:rPr>
        <w:t xml:space="preserve">: </w:t>
      </w:r>
      <w:r w:rsidRPr="00174EB7">
        <w:rPr>
          <w:rFonts w:ascii="Times New Roman" w:hAnsi="Times New Roman" w:cs="Times New Roman"/>
        </w:rPr>
        <w:t>One of the significant shortcomings in India’s</w:t>
      </w:r>
      <w:r w:rsidR="00085E09">
        <w:rPr>
          <w:rFonts w:ascii="Times New Roman" w:hAnsi="Times New Roman" w:cs="Times New Roman"/>
        </w:rPr>
        <w:t xml:space="preserve"> model of</w:t>
      </w:r>
      <w:r w:rsidRPr="00174EB7">
        <w:rPr>
          <w:rFonts w:ascii="Times New Roman" w:hAnsi="Times New Roman" w:cs="Times New Roman"/>
        </w:rPr>
        <w:t xml:space="preserve"> pharmacovigilance is the absence of real-time monitoring capabilities. The </w:t>
      </w:r>
      <w:proofErr w:type="spellStart"/>
      <w:r w:rsidRPr="00174EB7">
        <w:rPr>
          <w:rFonts w:ascii="Times New Roman" w:hAnsi="Times New Roman" w:cs="Times New Roman"/>
        </w:rPr>
        <w:t>PvPI</w:t>
      </w:r>
      <w:proofErr w:type="spellEnd"/>
      <w:r w:rsidRPr="00174EB7">
        <w:rPr>
          <w:rFonts w:ascii="Times New Roman" w:hAnsi="Times New Roman" w:cs="Times New Roman"/>
        </w:rPr>
        <w:t xml:space="preserve"> continues to depend heavily on manual data collection and entry processes through AMCs. </w:t>
      </w:r>
      <w:r w:rsidR="00085E09">
        <w:rPr>
          <w:rFonts w:ascii="Times New Roman" w:hAnsi="Times New Roman" w:cs="Times New Roman"/>
        </w:rPr>
        <w:t xml:space="preserve">Though they may be </w:t>
      </w:r>
      <w:r w:rsidRPr="00174EB7">
        <w:rPr>
          <w:rFonts w:ascii="Times New Roman" w:hAnsi="Times New Roman" w:cs="Times New Roman"/>
        </w:rPr>
        <w:t>systematic,</w:t>
      </w:r>
      <w:r w:rsidR="00085E09">
        <w:rPr>
          <w:rFonts w:ascii="Times New Roman" w:hAnsi="Times New Roman" w:cs="Times New Roman"/>
        </w:rPr>
        <w:t xml:space="preserve"> it</w:t>
      </w:r>
      <w:r w:rsidRPr="00174EB7">
        <w:rPr>
          <w:rFonts w:ascii="Times New Roman" w:hAnsi="Times New Roman" w:cs="Times New Roman"/>
        </w:rPr>
        <w:t xml:space="preserve"> often lead</w:t>
      </w:r>
      <w:r w:rsidR="00085E09">
        <w:rPr>
          <w:rFonts w:ascii="Times New Roman" w:hAnsi="Times New Roman" w:cs="Times New Roman"/>
        </w:rPr>
        <w:t>s</w:t>
      </w:r>
      <w:r w:rsidRPr="00174EB7">
        <w:rPr>
          <w:rFonts w:ascii="Times New Roman" w:hAnsi="Times New Roman" w:cs="Times New Roman"/>
        </w:rPr>
        <w:t xml:space="preserve"> to considerable delays in the transmission, assessment, and analysis of ADR data. In contrast, systems like the European Union’s </w:t>
      </w:r>
      <w:proofErr w:type="spellStart"/>
      <w:r w:rsidRPr="00174EB7">
        <w:rPr>
          <w:rFonts w:ascii="Times New Roman" w:hAnsi="Times New Roman" w:cs="Times New Roman"/>
        </w:rPr>
        <w:t>EudraVigilance</w:t>
      </w:r>
      <w:proofErr w:type="spellEnd"/>
      <w:r w:rsidRPr="00174EB7">
        <w:rPr>
          <w:rFonts w:ascii="Times New Roman" w:hAnsi="Times New Roman" w:cs="Times New Roman"/>
        </w:rPr>
        <w:t xml:space="preserve"> employ advanced electronic reporting </w:t>
      </w:r>
      <w:r w:rsidR="006D0A6F">
        <w:rPr>
          <w:rFonts w:ascii="Times New Roman" w:hAnsi="Times New Roman" w:cs="Times New Roman"/>
        </w:rPr>
        <w:t>model</w:t>
      </w:r>
      <w:r w:rsidRPr="00174EB7">
        <w:rPr>
          <w:rFonts w:ascii="Times New Roman" w:hAnsi="Times New Roman" w:cs="Times New Roman"/>
        </w:rPr>
        <w:t xml:space="preserve"> that facilitate immediate data sharing and analysis between healthcare providers, regulatory bodies, and pharmaceutical companies. This lag in detection </w:t>
      </w:r>
      <w:r w:rsidR="00BB5DAB">
        <w:rPr>
          <w:rFonts w:ascii="Times New Roman" w:hAnsi="Times New Roman" w:cs="Times New Roman"/>
        </w:rPr>
        <w:t>leads to further</w:t>
      </w:r>
      <w:r w:rsidRPr="00174EB7">
        <w:rPr>
          <w:rFonts w:ascii="Times New Roman" w:hAnsi="Times New Roman" w:cs="Times New Roman"/>
        </w:rPr>
        <w:t xml:space="preserve"> delay</w:t>
      </w:r>
      <w:r w:rsidR="00BB5DAB">
        <w:rPr>
          <w:rFonts w:ascii="Times New Roman" w:hAnsi="Times New Roman" w:cs="Times New Roman"/>
        </w:rPr>
        <w:t xml:space="preserve"> in taking </w:t>
      </w:r>
      <w:r w:rsidRPr="00174EB7">
        <w:rPr>
          <w:rFonts w:ascii="Times New Roman" w:hAnsi="Times New Roman" w:cs="Times New Roman"/>
        </w:rPr>
        <w:t>mitigation actions compromising patient safety.</w:t>
      </w:r>
      <w:r w:rsidR="00943143" w:rsidRPr="00943143">
        <w:rPr>
          <w:rFonts w:ascii="Times New Roman" w:hAnsi="Times New Roman" w:cs="Times New Roman"/>
        </w:rPr>
        <w:br/>
      </w:r>
      <w:r w:rsidR="00C12994" w:rsidRPr="00C12994">
        <w:rPr>
          <w:rFonts w:ascii="Times New Roman" w:hAnsi="Times New Roman" w:cs="Times New Roman"/>
          <w:i/>
          <w:iCs/>
        </w:rPr>
        <w:t xml:space="preserve">Lack </w:t>
      </w:r>
      <w:r w:rsidR="004F3ECE">
        <w:rPr>
          <w:rFonts w:ascii="Times New Roman" w:hAnsi="Times New Roman" w:cs="Times New Roman"/>
          <w:i/>
          <w:iCs/>
        </w:rPr>
        <w:t>o</w:t>
      </w:r>
      <w:r w:rsidR="00C12994" w:rsidRPr="00C12994">
        <w:rPr>
          <w:rFonts w:ascii="Times New Roman" w:hAnsi="Times New Roman" w:cs="Times New Roman"/>
          <w:i/>
          <w:iCs/>
        </w:rPr>
        <w:t>f Public Transparency</w:t>
      </w:r>
      <w:r w:rsidR="00C12994">
        <w:rPr>
          <w:rFonts w:ascii="Times New Roman" w:hAnsi="Times New Roman" w:cs="Times New Roman"/>
        </w:rPr>
        <w:t xml:space="preserve">: </w:t>
      </w:r>
      <w:r w:rsidR="00943143" w:rsidRPr="00943143">
        <w:rPr>
          <w:rFonts w:ascii="Times New Roman" w:hAnsi="Times New Roman" w:cs="Times New Roman"/>
        </w:rPr>
        <w:t>Another critical gap i</w:t>
      </w:r>
      <w:r w:rsidR="00CC2D9C">
        <w:rPr>
          <w:rFonts w:ascii="Times New Roman" w:hAnsi="Times New Roman" w:cs="Times New Roman"/>
        </w:rPr>
        <w:t xml:space="preserve">n implementation is </w:t>
      </w:r>
      <w:r w:rsidR="00943143" w:rsidRPr="00943143">
        <w:rPr>
          <w:rFonts w:ascii="Times New Roman" w:hAnsi="Times New Roman" w:cs="Times New Roman"/>
        </w:rPr>
        <w:t xml:space="preserve">the limited public access to pharmacovigilance data in India. International counterparts such as the US Food and Drug Administration’s Adverse Event Reporting System (FAERS) and </w:t>
      </w:r>
      <w:proofErr w:type="spellStart"/>
      <w:r w:rsidR="00943143" w:rsidRPr="00943143">
        <w:rPr>
          <w:rFonts w:ascii="Times New Roman" w:hAnsi="Times New Roman" w:cs="Times New Roman"/>
        </w:rPr>
        <w:t>EudraVigilance</w:t>
      </w:r>
      <w:proofErr w:type="spellEnd"/>
      <w:r w:rsidR="00943143" w:rsidRPr="00943143">
        <w:rPr>
          <w:rFonts w:ascii="Times New Roman" w:hAnsi="Times New Roman" w:cs="Times New Roman"/>
        </w:rPr>
        <w:t xml:space="preserve"> in the EU offer publicly accessible dashboards and data portals. These systems allow patients, researchers, and healthcare professionals to review ADR trends, safety signals, and regulatory actions, thereby promoting accountability and public trust. In contrast, </w:t>
      </w:r>
      <w:proofErr w:type="spellStart"/>
      <w:r w:rsidR="00943143" w:rsidRPr="00943143">
        <w:rPr>
          <w:rFonts w:ascii="Times New Roman" w:hAnsi="Times New Roman" w:cs="Times New Roman"/>
        </w:rPr>
        <w:t>PvPI</w:t>
      </w:r>
      <w:proofErr w:type="spellEnd"/>
      <w:r w:rsidR="00943143" w:rsidRPr="00943143">
        <w:rPr>
          <w:rFonts w:ascii="Times New Roman" w:hAnsi="Times New Roman" w:cs="Times New Roman"/>
        </w:rPr>
        <w:t xml:space="preserve"> data is not easily available in the public domain. </w:t>
      </w:r>
    </w:p>
    <w:p w14:paraId="737FA40C" w14:textId="749A85F0" w:rsidR="006F6568" w:rsidRPr="00174EB7" w:rsidRDefault="00FF64A1" w:rsidP="009152D8">
      <w:pPr>
        <w:spacing w:line="360" w:lineRule="auto"/>
        <w:jc w:val="both"/>
        <w:rPr>
          <w:rFonts w:ascii="Times New Roman" w:hAnsi="Times New Roman" w:cs="Times New Roman"/>
        </w:rPr>
      </w:pPr>
      <w:r w:rsidRPr="00FF64A1">
        <w:rPr>
          <w:rFonts w:ascii="Times New Roman" w:hAnsi="Times New Roman" w:cs="Times New Roman"/>
          <w:i/>
          <w:iCs/>
        </w:rPr>
        <w:t>Weak Enforcement Mechanisms</w:t>
      </w:r>
      <w:r>
        <w:rPr>
          <w:rFonts w:ascii="Times New Roman" w:hAnsi="Times New Roman" w:cs="Times New Roman"/>
        </w:rPr>
        <w:t xml:space="preserve">: </w:t>
      </w:r>
      <w:r w:rsidR="00E52914">
        <w:rPr>
          <w:rFonts w:ascii="Times New Roman" w:hAnsi="Times New Roman" w:cs="Times New Roman"/>
        </w:rPr>
        <w:t>T</w:t>
      </w:r>
      <w:r w:rsidRPr="00FF64A1">
        <w:rPr>
          <w:rFonts w:ascii="Times New Roman" w:hAnsi="Times New Roman" w:cs="Times New Roman"/>
        </w:rPr>
        <w:t>he New Drugs and Clinical Trials Rules, 2019, lays down comprehensive guidelines for clinical trials and post-marketing surveillance. However, enforcement</w:t>
      </w:r>
      <w:r w:rsidR="00E52914">
        <w:rPr>
          <w:rFonts w:ascii="Times New Roman" w:hAnsi="Times New Roman" w:cs="Times New Roman"/>
        </w:rPr>
        <w:t xml:space="preserve"> still </w:t>
      </w:r>
      <w:r w:rsidRPr="00FF64A1">
        <w:rPr>
          <w:rFonts w:ascii="Times New Roman" w:hAnsi="Times New Roman" w:cs="Times New Roman"/>
        </w:rPr>
        <w:t xml:space="preserve">remains a major concern. </w:t>
      </w:r>
      <w:r w:rsidR="00E52914">
        <w:rPr>
          <w:rFonts w:ascii="Times New Roman" w:hAnsi="Times New Roman" w:cs="Times New Roman"/>
        </w:rPr>
        <w:t>Theres no clear</w:t>
      </w:r>
      <w:r w:rsidRPr="00FF64A1">
        <w:rPr>
          <w:rFonts w:ascii="Times New Roman" w:hAnsi="Times New Roman" w:cs="Times New Roman"/>
        </w:rPr>
        <w:t xml:space="preserve"> punitive </w:t>
      </w:r>
      <w:r w:rsidR="00E52914">
        <w:rPr>
          <w:rFonts w:ascii="Times New Roman" w:hAnsi="Times New Roman" w:cs="Times New Roman"/>
        </w:rPr>
        <w:t>measures</w:t>
      </w:r>
      <w:r w:rsidRPr="00FF64A1">
        <w:rPr>
          <w:rFonts w:ascii="Times New Roman" w:hAnsi="Times New Roman" w:cs="Times New Roman"/>
        </w:rPr>
        <w:t xml:space="preserve"> for non-compliance with pharmacovigilance obligations</w:t>
      </w:r>
      <w:r w:rsidR="00C7517D">
        <w:rPr>
          <w:rFonts w:ascii="Times New Roman" w:hAnsi="Times New Roman" w:cs="Times New Roman"/>
        </w:rPr>
        <w:t xml:space="preserve">. For instance, if </w:t>
      </w:r>
      <w:r w:rsidRPr="00FF64A1">
        <w:rPr>
          <w:rFonts w:ascii="Times New Roman" w:hAnsi="Times New Roman" w:cs="Times New Roman"/>
        </w:rPr>
        <w:t xml:space="preserve">Marketing Authorization Holders fail to submit </w:t>
      </w:r>
      <w:r w:rsidRPr="00C7517D">
        <w:rPr>
          <w:rFonts w:ascii="Times New Roman" w:hAnsi="Times New Roman" w:cs="Times New Roman"/>
          <w:i/>
          <w:iCs/>
        </w:rPr>
        <w:t>periodic safety update reports</w:t>
      </w:r>
      <w:r w:rsidRPr="00FF64A1">
        <w:rPr>
          <w:rFonts w:ascii="Times New Roman" w:hAnsi="Times New Roman" w:cs="Times New Roman"/>
        </w:rPr>
        <w:t xml:space="preserve"> (PSURs) or neglect SAE</w:t>
      </w:r>
      <w:r w:rsidR="00C7517D">
        <w:rPr>
          <w:rFonts w:ascii="Times New Roman" w:hAnsi="Times New Roman" w:cs="Times New Roman"/>
        </w:rPr>
        <w:t xml:space="preserve"> or ADR</w:t>
      </w:r>
      <w:r w:rsidRPr="00FF64A1">
        <w:rPr>
          <w:rFonts w:ascii="Times New Roman" w:hAnsi="Times New Roman" w:cs="Times New Roman"/>
        </w:rPr>
        <w:t xml:space="preserve"> reporting</w:t>
      </w:r>
      <w:r w:rsidR="00C7517D">
        <w:rPr>
          <w:rFonts w:ascii="Times New Roman" w:hAnsi="Times New Roman" w:cs="Times New Roman"/>
        </w:rPr>
        <w:t>,</w:t>
      </w:r>
      <w:r w:rsidR="00893D5A">
        <w:rPr>
          <w:rFonts w:ascii="Times New Roman" w:hAnsi="Times New Roman" w:cs="Times New Roman"/>
        </w:rPr>
        <w:t xml:space="preserve"> t</w:t>
      </w:r>
      <w:r w:rsidR="00893D5A" w:rsidRPr="00893D5A">
        <w:rPr>
          <w:rFonts w:ascii="Times New Roman" w:hAnsi="Times New Roman" w:cs="Times New Roman"/>
        </w:rPr>
        <w:t>he current system largely relies on self-reporting by the MAHs themselves or on notifications from other stakeholders</w:t>
      </w:r>
      <w:r w:rsidR="009152D8">
        <w:rPr>
          <w:rFonts w:ascii="Times New Roman" w:hAnsi="Times New Roman" w:cs="Times New Roman"/>
        </w:rPr>
        <w:t xml:space="preserve">, </w:t>
      </w:r>
      <w:r w:rsidR="00893D5A" w:rsidRPr="00893D5A">
        <w:rPr>
          <w:rFonts w:ascii="Times New Roman" w:hAnsi="Times New Roman" w:cs="Times New Roman"/>
        </w:rPr>
        <w:t>such as healthcare professionals, ethics committees, or patients</w:t>
      </w:r>
      <w:r w:rsidR="009152D8">
        <w:rPr>
          <w:rFonts w:ascii="Times New Roman" w:hAnsi="Times New Roman" w:cs="Times New Roman"/>
        </w:rPr>
        <w:t xml:space="preserve"> </w:t>
      </w:r>
      <w:r w:rsidR="00893D5A" w:rsidRPr="00893D5A">
        <w:rPr>
          <w:rFonts w:ascii="Times New Roman" w:hAnsi="Times New Roman" w:cs="Times New Roman"/>
        </w:rPr>
        <w:t xml:space="preserve">for these lapses to come to light. This significantly weakens regulatory oversight and allows potential safety risks to </w:t>
      </w:r>
      <w:r w:rsidR="009152D8">
        <w:rPr>
          <w:rFonts w:ascii="Times New Roman" w:hAnsi="Times New Roman" w:cs="Times New Roman"/>
        </w:rPr>
        <w:t>go</w:t>
      </w:r>
      <w:r w:rsidR="00893D5A" w:rsidRPr="00893D5A">
        <w:rPr>
          <w:rFonts w:ascii="Times New Roman" w:hAnsi="Times New Roman" w:cs="Times New Roman"/>
        </w:rPr>
        <w:t xml:space="preserve"> undetected.</w:t>
      </w:r>
    </w:p>
    <w:p w14:paraId="219112D5" w14:textId="03513F15" w:rsidR="0052358F" w:rsidRPr="00EE17A2" w:rsidRDefault="00EE17A2" w:rsidP="004F3ECE">
      <w:pPr>
        <w:pStyle w:val="Heading1"/>
        <w:spacing w:line="360" w:lineRule="auto"/>
        <w:rPr>
          <w:rFonts w:ascii="Times New Roman" w:hAnsi="Times New Roman" w:cs="Times New Roman"/>
          <w:b/>
          <w:bCs/>
          <w:color w:val="auto"/>
          <w:sz w:val="24"/>
          <w:szCs w:val="24"/>
        </w:rPr>
      </w:pPr>
      <w:bookmarkStart w:id="8" w:name="_Toc196504649"/>
      <w:r w:rsidRPr="00EE17A2">
        <w:rPr>
          <w:rFonts w:ascii="Times New Roman" w:hAnsi="Times New Roman" w:cs="Times New Roman"/>
          <w:b/>
          <w:bCs/>
          <w:color w:val="auto"/>
          <w:sz w:val="24"/>
          <w:szCs w:val="24"/>
        </w:rPr>
        <w:t>RECOMMENDATIONS</w:t>
      </w:r>
      <w:bookmarkEnd w:id="8"/>
      <w:r w:rsidRPr="00EE17A2">
        <w:rPr>
          <w:rFonts w:ascii="Times New Roman" w:hAnsi="Times New Roman" w:cs="Times New Roman"/>
          <w:b/>
          <w:bCs/>
          <w:color w:val="auto"/>
          <w:sz w:val="24"/>
          <w:szCs w:val="24"/>
        </w:rPr>
        <w:t xml:space="preserve"> </w:t>
      </w:r>
    </w:p>
    <w:p w14:paraId="0106F1C5" w14:textId="77777777" w:rsidR="00CE31DF" w:rsidRPr="00C37B08" w:rsidRDefault="00CE31DF" w:rsidP="004F3ECE">
      <w:pPr>
        <w:pStyle w:val="ListParagraph"/>
        <w:numPr>
          <w:ilvl w:val="0"/>
          <w:numId w:val="7"/>
        </w:numPr>
        <w:spacing w:line="360" w:lineRule="auto"/>
        <w:jc w:val="both"/>
        <w:rPr>
          <w:rFonts w:ascii="Times New Roman" w:hAnsi="Times New Roman" w:cs="Times New Roman"/>
        </w:rPr>
      </w:pPr>
      <w:r w:rsidRPr="00C37B08">
        <w:rPr>
          <w:rFonts w:ascii="Times New Roman" w:hAnsi="Times New Roman" w:cs="Times New Roman"/>
        </w:rPr>
        <w:t xml:space="preserve">There should be a </w:t>
      </w:r>
      <w:r w:rsidR="00FF3F2A" w:rsidRPr="00C37B08">
        <w:rPr>
          <w:rFonts w:ascii="Times New Roman" w:hAnsi="Times New Roman" w:cs="Times New Roman"/>
        </w:rPr>
        <w:t>mandatory ADR and PSUR reporting requirements with clearly defined penalties for non-compliance.</w:t>
      </w:r>
    </w:p>
    <w:p w14:paraId="3DE57CEC" w14:textId="4D017D50" w:rsidR="00FF3F2A" w:rsidRPr="00C37B08" w:rsidRDefault="00FF3F2A" w:rsidP="004F3ECE">
      <w:pPr>
        <w:pStyle w:val="ListParagraph"/>
        <w:numPr>
          <w:ilvl w:val="0"/>
          <w:numId w:val="7"/>
        </w:numPr>
        <w:spacing w:line="360" w:lineRule="auto"/>
        <w:jc w:val="both"/>
        <w:rPr>
          <w:rFonts w:ascii="Times New Roman" w:hAnsi="Times New Roman" w:cs="Times New Roman"/>
        </w:rPr>
      </w:pPr>
      <w:r w:rsidRPr="00C37B08">
        <w:rPr>
          <w:rFonts w:ascii="Times New Roman" w:hAnsi="Times New Roman" w:cs="Times New Roman"/>
        </w:rPr>
        <w:t>Regulatory oversight must be backed by legal accountability to ensure consistent adherence by Marketing Authorization Holders and healthcare professionals.</w:t>
      </w:r>
    </w:p>
    <w:p w14:paraId="58E6D6CC" w14:textId="2A170ADE" w:rsidR="0052358F" w:rsidRPr="004F3ECE" w:rsidRDefault="00C37B08" w:rsidP="00473642">
      <w:pPr>
        <w:pStyle w:val="ListParagraph"/>
        <w:numPr>
          <w:ilvl w:val="0"/>
          <w:numId w:val="7"/>
        </w:numPr>
        <w:spacing w:line="360" w:lineRule="auto"/>
        <w:jc w:val="both"/>
        <w:rPr>
          <w:rFonts w:ascii="Times New Roman" w:hAnsi="Times New Roman" w:cs="Times New Roman"/>
        </w:rPr>
      </w:pPr>
      <w:r w:rsidRPr="00C37B08">
        <w:rPr>
          <w:rFonts w:ascii="Times New Roman" w:hAnsi="Times New Roman" w:cs="Times New Roman"/>
        </w:rPr>
        <w:lastRenderedPageBreak/>
        <w:t>Public</w:t>
      </w:r>
      <w:r w:rsidR="00FF3F2A" w:rsidRPr="00C37B08">
        <w:rPr>
          <w:rFonts w:ascii="Times New Roman" w:hAnsi="Times New Roman" w:cs="Times New Roman"/>
        </w:rPr>
        <w:t xml:space="preserve"> ADR da</w:t>
      </w:r>
      <w:r w:rsidRPr="00C37B08">
        <w:rPr>
          <w:rFonts w:ascii="Times New Roman" w:hAnsi="Times New Roman" w:cs="Times New Roman"/>
        </w:rPr>
        <w:t>tabase</w:t>
      </w:r>
      <w:r w:rsidR="00FF3F2A" w:rsidRPr="00C37B08">
        <w:rPr>
          <w:rFonts w:ascii="Times New Roman" w:hAnsi="Times New Roman" w:cs="Times New Roman"/>
        </w:rPr>
        <w:t xml:space="preserve"> would significantly improve transparency by </w:t>
      </w:r>
      <w:r w:rsidR="00016FDC">
        <w:rPr>
          <w:rFonts w:ascii="Times New Roman" w:hAnsi="Times New Roman" w:cs="Times New Roman"/>
        </w:rPr>
        <w:t>ensuring</w:t>
      </w:r>
      <w:r w:rsidR="00FF3F2A" w:rsidRPr="00C37B08">
        <w:rPr>
          <w:rFonts w:ascii="Times New Roman" w:hAnsi="Times New Roman" w:cs="Times New Roman"/>
        </w:rPr>
        <w:t xml:space="preserve"> data accessib</w:t>
      </w:r>
      <w:r w:rsidR="00016FDC">
        <w:rPr>
          <w:rFonts w:ascii="Times New Roman" w:hAnsi="Times New Roman" w:cs="Times New Roman"/>
        </w:rPr>
        <w:t xml:space="preserve">ility </w:t>
      </w:r>
      <w:r w:rsidR="00FF3F2A" w:rsidRPr="00C37B08">
        <w:rPr>
          <w:rFonts w:ascii="Times New Roman" w:hAnsi="Times New Roman" w:cs="Times New Roman"/>
        </w:rPr>
        <w:t xml:space="preserve">to </w:t>
      </w:r>
      <w:r w:rsidR="000D7E16">
        <w:rPr>
          <w:rFonts w:ascii="Times New Roman" w:hAnsi="Times New Roman" w:cs="Times New Roman"/>
        </w:rPr>
        <w:t xml:space="preserve">public at large, primarily, </w:t>
      </w:r>
      <w:r w:rsidR="00FF3F2A" w:rsidRPr="00C37B08">
        <w:rPr>
          <w:rFonts w:ascii="Times New Roman" w:hAnsi="Times New Roman" w:cs="Times New Roman"/>
        </w:rPr>
        <w:t xml:space="preserve">researchers, medical professionals, and patients. </w:t>
      </w:r>
    </w:p>
    <w:p w14:paraId="2002D60D" w14:textId="1390012A" w:rsidR="00473642" w:rsidRPr="002028E2" w:rsidRDefault="002028E2" w:rsidP="002028E2">
      <w:pPr>
        <w:pStyle w:val="Heading1"/>
        <w:rPr>
          <w:rFonts w:ascii="Times New Roman" w:hAnsi="Times New Roman" w:cs="Times New Roman"/>
          <w:b/>
          <w:bCs/>
          <w:sz w:val="24"/>
          <w:szCs w:val="24"/>
        </w:rPr>
      </w:pPr>
      <w:bookmarkStart w:id="9" w:name="_Toc196504650"/>
      <w:r w:rsidRPr="002028E2">
        <w:rPr>
          <w:rFonts w:ascii="Times New Roman" w:hAnsi="Times New Roman" w:cs="Times New Roman"/>
          <w:b/>
          <w:bCs/>
          <w:color w:val="auto"/>
          <w:sz w:val="24"/>
          <w:szCs w:val="24"/>
        </w:rPr>
        <w:t>CONCLUSION</w:t>
      </w:r>
      <w:bookmarkEnd w:id="9"/>
      <w:r w:rsidRPr="002028E2">
        <w:rPr>
          <w:rFonts w:ascii="Times New Roman" w:hAnsi="Times New Roman" w:cs="Times New Roman"/>
          <w:b/>
          <w:bCs/>
          <w:sz w:val="24"/>
          <w:szCs w:val="24"/>
        </w:rPr>
        <w:t xml:space="preserve"> </w:t>
      </w:r>
    </w:p>
    <w:p w14:paraId="3E60280E" w14:textId="77777777" w:rsidR="0090097D" w:rsidRDefault="00E74CEB" w:rsidP="00333248">
      <w:pPr>
        <w:spacing w:line="360" w:lineRule="auto"/>
        <w:jc w:val="both"/>
        <w:rPr>
          <w:rFonts w:ascii="Times New Roman" w:hAnsi="Times New Roman" w:cs="Times New Roman"/>
        </w:rPr>
      </w:pPr>
      <w:r w:rsidRPr="00E74CEB">
        <w:rPr>
          <w:rFonts w:ascii="Times New Roman" w:hAnsi="Times New Roman" w:cs="Times New Roman"/>
        </w:rPr>
        <w:t xml:space="preserve">The New Drugs and Clinical Trials Rules, 2019 </w:t>
      </w:r>
      <w:r w:rsidR="00AD6821">
        <w:rPr>
          <w:rFonts w:ascii="Times New Roman" w:hAnsi="Times New Roman" w:cs="Times New Roman"/>
        </w:rPr>
        <w:t>was a</w:t>
      </w:r>
      <w:r w:rsidRPr="00E74CEB">
        <w:rPr>
          <w:rFonts w:ascii="Times New Roman" w:hAnsi="Times New Roman" w:cs="Times New Roman"/>
        </w:rPr>
        <w:t xml:space="preserve"> pivotal moment in strengthening the pharmacovigilance ecosystem</w:t>
      </w:r>
      <w:r w:rsidR="00467293">
        <w:rPr>
          <w:rFonts w:ascii="Times New Roman" w:hAnsi="Times New Roman" w:cs="Times New Roman"/>
        </w:rPr>
        <w:t xml:space="preserve"> of India</w:t>
      </w:r>
      <w:r w:rsidRPr="00E74CEB">
        <w:rPr>
          <w:rFonts w:ascii="Times New Roman" w:hAnsi="Times New Roman" w:cs="Times New Roman"/>
        </w:rPr>
        <w:t xml:space="preserve">. </w:t>
      </w:r>
      <w:r w:rsidR="00D168E9">
        <w:rPr>
          <w:rFonts w:ascii="Times New Roman" w:hAnsi="Times New Roman" w:cs="Times New Roman"/>
        </w:rPr>
        <w:t>Through the integration of</w:t>
      </w:r>
      <w:r w:rsidRPr="00E74CEB">
        <w:rPr>
          <w:rFonts w:ascii="Times New Roman" w:hAnsi="Times New Roman" w:cs="Times New Roman"/>
        </w:rPr>
        <w:t xml:space="preserve"> post-marketing surveillance mechanisms such as mandatory, Phase IV trials, </w:t>
      </w:r>
      <w:r w:rsidR="00931C48" w:rsidRPr="00E74CEB">
        <w:rPr>
          <w:rFonts w:ascii="Times New Roman" w:hAnsi="Times New Roman" w:cs="Times New Roman"/>
        </w:rPr>
        <w:t xml:space="preserve">Periodic Safety Update Reports </w:t>
      </w:r>
      <w:r w:rsidRPr="00E74CEB">
        <w:rPr>
          <w:rFonts w:ascii="Times New Roman" w:hAnsi="Times New Roman" w:cs="Times New Roman"/>
        </w:rPr>
        <w:t>and the formal</w:t>
      </w:r>
      <w:r w:rsidR="00467293">
        <w:rPr>
          <w:rFonts w:ascii="Times New Roman" w:hAnsi="Times New Roman" w:cs="Times New Roman"/>
        </w:rPr>
        <w:t>is</w:t>
      </w:r>
      <w:r w:rsidR="00931C48">
        <w:rPr>
          <w:rFonts w:ascii="Times New Roman" w:hAnsi="Times New Roman" w:cs="Times New Roman"/>
        </w:rPr>
        <w:t>ation</w:t>
      </w:r>
      <w:r w:rsidR="00467293">
        <w:rPr>
          <w:rFonts w:ascii="Times New Roman" w:hAnsi="Times New Roman" w:cs="Times New Roman"/>
        </w:rPr>
        <w:t xml:space="preserve"> the</w:t>
      </w:r>
      <w:r w:rsidRPr="00E74CEB">
        <w:rPr>
          <w:rFonts w:ascii="Times New Roman" w:hAnsi="Times New Roman" w:cs="Times New Roman"/>
        </w:rPr>
        <w:t xml:space="preserve"> role of Ethics Committees, these rules aim to improve transparency, patient safety, and accountability throughout the drug lifecycle. </w:t>
      </w:r>
    </w:p>
    <w:p w14:paraId="47E31BAA" w14:textId="77777777" w:rsidR="008E1159" w:rsidRDefault="008A5078" w:rsidP="008E1159">
      <w:pPr>
        <w:spacing w:line="360" w:lineRule="auto"/>
        <w:jc w:val="both"/>
        <w:rPr>
          <w:rFonts w:ascii="Times New Roman" w:hAnsi="Times New Roman" w:cs="Times New Roman"/>
        </w:rPr>
      </w:pPr>
      <w:r w:rsidRPr="008A5078">
        <w:rPr>
          <w:rFonts w:ascii="Times New Roman" w:hAnsi="Times New Roman" w:cs="Times New Roman"/>
        </w:rPr>
        <w:t>On paper, the NDCTR, 2019 lay</w:t>
      </w:r>
      <w:r>
        <w:rPr>
          <w:rFonts w:ascii="Times New Roman" w:hAnsi="Times New Roman" w:cs="Times New Roman"/>
        </w:rPr>
        <w:t xml:space="preserve">s down a </w:t>
      </w:r>
      <w:r w:rsidRPr="008A5078">
        <w:rPr>
          <w:rFonts w:ascii="Times New Roman" w:hAnsi="Times New Roman" w:cs="Times New Roman"/>
        </w:rPr>
        <w:t>strong foundation for improving drug safety in India</w:t>
      </w:r>
      <w:r>
        <w:rPr>
          <w:rFonts w:ascii="Times New Roman" w:hAnsi="Times New Roman" w:cs="Times New Roman"/>
        </w:rPr>
        <w:t xml:space="preserve">, by attempting </w:t>
      </w:r>
      <w:r w:rsidR="00157776">
        <w:rPr>
          <w:rFonts w:ascii="Times New Roman" w:hAnsi="Times New Roman" w:cs="Times New Roman"/>
        </w:rPr>
        <w:t>to align</w:t>
      </w:r>
      <w:r w:rsidRPr="008A5078">
        <w:rPr>
          <w:rFonts w:ascii="Times New Roman" w:hAnsi="Times New Roman" w:cs="Times New Roman"/>
        </w:rPr>
        <w:t xml:space="preserve"> with international standards like </w:t>
      </w:r>
      <w:r w:rsidR="00157776">
        <w:rPr>
          <w:rFonts w:ascii="Times New Roman" w:hAnsi="Times New Roman" w:cs="Times New Roman"/>
        </w:rPr>
        <w:t xml:space="preserve">the </w:t>
      </w:r>
      <w:r w:rsidRPr="008A5078">
        <w:rPr>
          <w:rFonts w:ascii="Times New Roman" w:hAnsi="Times New Roman" w:cs="Times New Roman"/>
        </w:rPr>
        <w:t xml:space="preserve">WHO and ICH-GCP, </w:t>
      </w:r>
      <w:r w:rsidR="00157776">
        <w:rPr>
          <w:rFonts w:ascii="Times New Roman" w:hAnsi="Times New Roman" w:cs="Times New Roman"/>
        </w:rPr>
        <w:t>but</w:t>
      </w:r>
      <w:r w:rsidRPr="008A5078">
        <w:rPr>
          <w:rFonts w:ascii="Times New Roman" w:hAnsi="Times New Roman" w:cs="Times New Roman"/>
        </w:rPr>
        <w:t xml:space="preserve"> as with many well-written laws, the real test lies not in the </w:t>
      </w:r>
      <w:r w:rsidR="00157776">
        <w:rPr>
          <w:rFonts w:ascii="Times New Roman" w:hAnsi="Times New Roman" w:cs="Times New Roman"/>
        </w:rPr>
        <w:t xml:space="preserve">theory </w:t>
      </w:r>
      <w:r w:rsidRPr="008A5078">
        <w:rPr>
          <w:rFonts w:ascii="Times New Roman" w:hAnsi="Times New Roman" w:cs="Times New Roman"/>
        </w:rPr>
        <w:t>itself</w:t>
      </w:r>
      <w:r w:rsidR="00157776">
        <w:rPr>
          <w:rFonts w:ascii="Times New Roman" w:hAnsi="Times New Roman" w:cs="Times New Roman"/>
        </w:rPr>
        <w:t xml:space="preserve">, </w:t>
      </w:r>
      <w:r w:rsidRPr="008A5078">
        <w:rPr>
          <w:rFonts w:ascii="Times New Roman" w:hAnsi="Times New Roman" w:cs="Times New Roman"/>
        </w:rPr>
        <w:t xml:space="preserve">but in how effectively </w:t>
      </w:r>
      <w:r w:rsidR="00157776">
        <w:rPr>
          <w:rFonts w:ascii="Times New Roman" w:hAnsi="Times New Roman" w:cs="Times New Roman"/>
        </w:rPr>
        <w:t xml:space="preserve">it can be implemented. </w:t>
      </w:r>
      <w:r w:rsidR="00E74CEB" w:rsidRPr="00E74CEB">
        <w:rPr>
          <w:rFonts w:ascii="Times New Roman" w:hAnsi="Times New Roman" w:cs="Times New Roman"/>
        </w:rPr>
        <w:t>While the NDCTR requires pharmaceutical companies to report ADRs and conduct post-marketing studies, the system currently lacks strong enforcement mechanisms to ensure compliance. There are no well-defined penalties or sanctions for non-reporting or delayed submission of safety data, leaving significant room for negligence. Moreover, regulatory oversight still heavily depends on self-reporting which undermines the credibility and completeness of pharmacovigilance data.</w:t>
      </w:r>
    </w:p>
    <w:p w14:paraId="35B9B4D0" w14:textId="77777777" w:rsidR="002B38EA" w:rsidRDefault="008E1159" w:rsidP="002B38EA">
      <w:pPr>
        <w:spacing w:line="360" w:lineRule="auto"/>
        <w:jc w:val="both"/>
        <w:rPr>
          <w:rFonts w:ascii="Times New Roman" w:hAnsi="Times New Roman" w:cs="Times New Roman"/>
        </w:rPr>
      </w:pPr>
      <w:r>
        <w:rPr>
          <w:rFonts w:ascii="Times New Roman" w:hAnsi="Times New Roman" w:cs="Times New Roman"/>
        </w:rPr>
        <w:t>Another area of concern is</w:t>
      </w:r>
      <w:r w:rsidR="00E74CEB" w:rsidRPr="00E74CEB">
        <w:rPr>
          <w:rFonts w:ascii="Times New Roman" w:hAnsi="Times New Roman" w:cs="Times New Roman"/>
        </w:rPr>
        <w:t xml:space="preserve"> accessibility and transparency. Unlike the pharmacovigilance systems in the United States and the European Union, which provide open-access safety data to the public, India's ADR data remains largely restricted. This lack of transparency limits independent scrutiny by researchers, healthcare professionals, and even patients</w:t>
      </w:r>
      <w:r w:rsidR="00E9721F">
        <w:rPr>
          <w:rFonts w:ascii="Times New Roman" w:hAnsi="Times New Roman" w:cs="Times New Roman"/>
        </w:rPr>
        <w:t xml:space="preserve">. </w:t>
      </w:r>
      <w:r w:rsidR="00E74CEB" w:rsidRPr="00E74CEB">
        <w:rPr>
          <w:rFonts w:ascii="Times New Roman" w:hAnsi="Times New Roman" w:cs="Times New Roman"/>
        </w:rPr>
        <w:t xml:space="preserve">Additionally, the infrastructure supporting pharmacovigilance in India remains uneven. Rural areas, low-resource institutions, and non-metropolitan regions often lack the tools, training, and support needed to participate meaningfully in ADR reporting. </w:t>
      </w:r>
      <w:r w:rsidR="00AB4070">
        <w:rPr>
          <w:rFonts w:ascii="Times New Roman" w:hAnsi="Times New Roman" w:cs="Times New Roman"/>
        </w:rPr>
        <w:t>Though</w:t>
      </w:r>
      <w:r w:rsidR="00E74CEB" w:rsidRPr="00E74CEB">
        <w:rPr>
          <w:rFonts w:ascii="Times New Roman" w:hAnsi="Times New Roman" w:cs="Times New Roman"/>
        </w:rPr>
        <w:t xml:space="preserve"> the expansion of AMCs under the </w:t>
      </w:r>
      <w:proofErr w:type="spellStart"/>
      <w:r w:rsidR="00E74CEB" w:rsidRPr="00E74CEB">
        <w:rPr>
          <w:rFonts w:ascii="Times New Roman" w:hAnsi="Times New Roman" w:cs="Times New Roman"/>
        </w:rPr>
        <w:t>PvPI</w:t>
      </w:r>
      <w:proofErr w:type="spellEnd"/>
      <w:r w:rsidR="00E74CEB" w:rsidRPr="00E74CEB">
        <w:rPr>
          <w:rFonts w:ascii="Times New Roman" w:hAnsi="Times New Roman" w:cs="Times New Roman"/>
        </w:rPr>
        <w:t xml:space="preserve"> is commendable, their effectiveness is hindered by manual reporting processes, and </w:t>
      </w:r>
      <w:r w:rsidR="00B53818">
        <w:rPr>
          <w:rFonts w:ascii="Times New Roman" w:hAnsi="Times New Roman" w:cs="Times New Roman"/>
        </w:rPr>
        <w:t xml:space="preserve">lack of </w:t>
      </w:r>
      <w:r w:rsidR="00E74CEB" w:rsidRPr="00E74CEB">
        <w:rPr>
          <w:rFonts w:ascii="Times New Roman" w:hAnsi="Times New Roman" w:cs="Times New Roman"/>
        </w:rPr>
        <w:t>awareness among healthcare providers.</w:t>
      </w:r>
    </w:p>
    <w:p w14:paraId="11D49688" w14:textId="527E2138" w:rsidR="0031631A" w:rsidRPr="0031631A" w:rsidRDefault="00E74CEB" w:rsidP="004216BD">
      <w:pPr>
        <w:spacing w:line="360" w:lineRule="auto"/>
        <w:jc w:val="both"/>
        <w:rPr>
          <w:rFonts w:ascii="Times New Roman" w:hAnsi="Times New Roman" w:cs="Times New Roman"/>
        </w:rPr>
      </w:pPr>
      <w:r w:rsidRPr="00E74CEB">
        <w:rPr>
          <w:rFonts w:ascii="Times New Roman" w:hAnsi="Times New Roman" w:cs="Times New Roman"/>
        </w:rPr>
        <w:t xml:space="preserve">To </w:t>
      </w:r>
      <w:r w:rsidR="002B38EA">
        <w:rPr>
          <w:rFonts w:ascii="Times New Roman" w:hAnsi="Times New Roman" w:cs="Times New Roman"/>
        </w:rPr>
        <w:t>ensure that</w:t>
      </w:r>
      <w:r w:rsidR="00A30289">
        <w:rPr>
          <w:rFonts w:ascii="Times New Roman" w:hAnsi="Times New Roman" w:cs="Times New Roman"/>
        </w:rPr>
        <w:t xml:space="preserve"> </w:t>
      </w:r>
      <w:proofErr w:type="spellStart"/>
      <w:r w:rsidR="00A30289">
        <w:rPr>
          <w:rFonts w:ascii="Times New Roman" w:hAnsi="Times New Roman" w:cs="Times New Roman"/>
        </w:rPr>
        <w:t>PvPI</w:t>
      </w:r>
      <w:proofErr w:type="spellEnd"/>
      <w:r w:rsidR="00A30289">
        <w:rPr>
          <w:rFonts w:ascii="Times New Roman" w:hAnsi="Times New Roman" w:cs="Times New Roman"/>
        </w:rPr>
        <w:t>,</w:t>
      </w:r>
      <w:r w:rsidR="002B38EA">
        <w:rPr>
          <w:rFonts w:ascii="Times New Roman" w:hAnsi="Times New Roman" w:cs="Times New Roman"/>
        </w:rPr>
        <w:t xml:space="preserve"> </w:t>
      </w:r>
      <w:r w:rsidRPr="00E74CEB">
        <w:rPr>
          <w:rFonts w:ascii="Times New Roman" w:hAnsi="Times New Roman" w:cs="Times New Roman"/>
        </w:rPr>
        <w:t>NDCTR</w:t>
      </w:r>
      <w:r w:rsidR="00A30289">
        <w:rPr>
          <w:rFonts w:ascii="Times New Roman" w:hAnsi="Times New Roman" w:cs="Times New Roman"/>
        </w:rPr>
        <w:t>, and other regulatory guidelines/provisions</w:t>
      </w:r>
      <w:r w:rsidRPr="00E74CEB">
        <w:rPr>
          <w:rFonts w:ascii="Times New Roman" w:hAnsi="Times New Roman" w:cs="Times New Roman"/>
        </w:rPr>
        <w:t xml:space="preserve"> </w:t>
      </w:r>
      <w:r w:rsidR="00A30289">
        <w:rPr>
          <w:rFonts w:ascii="Times New Roman" w:hAnsi="Times New Roman" w:cs="Times New Roman"/>
        </w:rPr>
        <w:t>are</w:t>
      </w:r>
      <w:r w:rsidR="002B38EA">
        <w:rPr>
          <w:rFonts w:ascii="Times New Roman" w:hAnsi="Times New Roman" w:cs="Times New Roman"/>
        </w:rPr>
        <w:t xml:space="preserve"> properly</w:t>
      </w:r>
      <w:r w:rsidRPr="00E74CEB">
        <w:rPr>
          <w:rFonts w:ascii="Times New Roman" w:hAnsi="Times New Roman" w:cs="Times New Roman"/>
        </w:rPr>
        <w:t xml:space="preserve"> functional and </w:t>
      </w:r>
      <w:r w:rsidR="002B38EA">
        <w:rPr>
          <w:rFonts w:ascii="Times New Roman" w:hAnsi="Times New Roman" w:cs="Times New Roman"/>
        </w:rPr>
        <w:t>effective</w:t>
      </w:r>
      <w:r w:rsidRPr="00E74CEB">
        <w:rPr>
          <w:rFonts w:ascii="Times New Roman" w:hAnsi="Times New Roman" w:cs="Times New Roman"/>
        </w:rPr>
        <w:t xml:space="preserve">, India must focus on strengthening </w:t>
      </w:r>
      <w:r w:rsidR="008027D6">
        <w:rPr>
          <w:rFonts w:ascii="Times New Roman" w:hAnsi="Times New Roman" w:cs="Times New Roman"/>
        </w:rPr>
        <w:t xml:space="preserve">their </w:t>
      </w:r>
      <w:r w:rsidRPr="00E74CEB">
        <w:rPr>
          <w:rFonts w:ascii="Times New Roman" w:hAnsi="Times New Roman" w:cs="Times New Roman"/>
        </w:rPr>
        <w:t>enforcement and implementation. This includes making ADR reporting legally binding, introducing measurable consequences for non-compliance, ensuring frequent audits</w:t>
      </w:r>
      <w:r w:rsidR="004216BD">
        <w:rPr>
          <w:rFonts w:ascii="Times New Roman" w:hAnsi="Times New Roman" w:cs="Times New Roman"/>
        </w:rPr>
        <w:t xml:space="preserve"> of MAHs</w:t>
      </w:r>
      <w:r w:rsidRPr="00E74CEB">
        <w:rPr>
          <w:rFonts w:ascii="Times New Roman" w:hAnsi="Times New Roman" w:cs="Times New Roman"/>
        </w:rPr>
        <w:t xml:space="preserve">, and empowering ethics committees with the resources and authority to hold trial sponsors accountable. </w:t>
      </w:r>
    </w:p>
    <w:sectPr w:rsidR="0031631A" w:rsidRPr="0031631A" w:rsidSect="007C45C9">
      <w:pgSz w:w="11906" w:h="16838"/>
      <w:pgMar w:top="1440" w:right="1440" w:bottom="1440" w:left="1440" w:header="708" w:footer="708" w:gutter="0"/>
      <w:pgBorders w:offsetFrom="page">
        <w:top w:val="thinThickMediumGap" w:sz="18" w:space="24" w:color="auto"/>
        <w:left w:val="thinThickMediumGap" w:sz="18" w:space="24" w:color="auto"/>
        <w:bottom w:val="thickThinMediumGap" w:sz="18" w:space="24" w:color="auto"/>
        <w:right w:val="thickThinMediumGap"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81780" w14:textId="77777777" w:rsidR="00602B53" w:rsidRDefault="00602B53" w:rsidP="00D24DDA">
      <w:pPr>
        <w:spacing w:after="0" w:line="240" w:lineRule="auto"/>
      </w:pPr>
      <w:r>
        <w:separator/>
      </w:r>
    </w:p>
  </w:endnote>
  <w:endnote w:type="continuationSeparator" w:id="0">
    <w:p w14:paraId="2EBA8272" w14:textId="77777777" w:rsidR="00602B53" w:rsidRDefault="00602B53" w:rsidP="00D24DDA">
      <w:pPr>
        <w:spacing w:after="0" w:line="240" w:lineRule="auto"/>
      </w:pPr>
      <w:r>
        <w:continuationSeparator/>
      </w:r>
    </w:p>
  </w:endnote>
  <w:endnote w:id="1">
    <w:p w14:paraId="693206BA" w14:textId="77777777" w:rsidR="008F155A" w:rsidRPr="003925F9" w:rsidRDefault="008F155A" w:rsidP="00E403BE">
      <w:pPr>
        <w:pStyle w:val="EndnoteText"/>
        <w:jc w:val="both"/>
        <w:rPr>
          <w:rFonts w:ascii="Times New Roman" w:hAnsi="Times New Roman" w:cs="Times New Roman"/>
        </w:rPr>
      </w:pPr>
      <w:r w:rsidRPr="003925F9">
        <w:rPr>
          <w:rStyle w:val="EndnoteReference"/>
          <w:rFonts w:ascii="Times New Roman" w:hAnsi="Times New Roman" w:cs="Times New Roman"/>
        </w:rPr>
        <w:endnoteRef/>
      </w:r>
      <w:r w:rsidRPr="003925F9">
        <w:rPr>
          <w:rFonts w:ascii="Times New Roman" w:hAnsi="Times New Roman" w:cs="Times New Roman"/>
        </w:rPr>
        <w:t xml:space="preserve"> </w:t>
      </w:r>
      <w:r w:rsidRPr="003925F9">
        <w:rPr>
          <w:rFonts w:ascii="Times New Roman" w:hAnsi="Times New Roman" w:cs="Times New Roman"/>
          <w:noProof/>
        </w:rPr>
        <w:t>EY, &amp; Organisation of Pharmaceutical Producers of India. (November 21, 2023). Market size of pharmaceutical industry in India from 2000 to 2022, with forecast until 2047 (in billion U.S. dollars) [Graph]. In Statista.</w:t>
      </w:r>
    </w:p>
  </w:endnote>
  <w:endnote w:id="2">
    <w:p w14:paraId="72010856" w14:textId="380505E7" w:rsidR="008F155A" w:rsidRPr="003E522F" w:rsidRDefault="008F155A" w:rsidP="00E403BE">
      <w:pPr>
        <w:pStyle w:val="EndnoteText"/>
        <w:jc w:val="both"/>
        <w:rPr>
          <w:rFonts w:ascii="Times New Roman" w:hAnsi="Times New Roman" w:cs="Times New Roman"/>
        </w:rPr>
      </w:pPr>
      <w:r w:rsidRPr="003925F9">
        <w:rPr>
          <w:rStyle w:val="EndnoteReference"/>
          <w:rFonts w:ascii="Times New Roman" w:hAnsi="Times New Roman" w:cs="Times New Roman"/>
        </w:rPr>
        <w:endnoteRef/>
      </w:r>
      <w:r w:rsidRPr="003925F9">
        <w:rPr>
          <w:rFonts w:ascii="Times New Roman" w:hAnsi="Times New Roman" w:cs="Times New Roman"/>
        </w:rPr>
        <w:t xml:space="preserve"> </w:t>
      </w:r>
      <w:r w:rsidRPr="003925F9">
        <w:rPr>
          <w:rFonts w:ascii="Times New Roman" w:hAnsi="Times New Roman" w:cs="Times New Roman"/>
          <w:noProof/>
        </w:rPr>
        <w:t xml:space="preserve">World Health Organization. (2002). The Importance of Pharmacovigilance: Safety Monitoring of Medicinal </w:t>
      </w:r>
      <w:r w:rsidRPr="003E522F">
        <w:rPr>
          <w:rFonts w:ascii="Times New Roman" w:hAnsi="Times New Roman" w:cs="Times New Roman"/>
          <w:noProof/>
        </w:rPr>
        <w:t>Products.</w:t>
      </w:r>
    </w:p>
  </w:endnote>
  <w:endnote w:id="3">
    <w:p w14:paraId="71E187AB" w14:textId="34D31381" w:rsidR="008F155A" w:rsidRPr="003E522F" w:rsidRDefault="008F155A" w:rsidP="00E403BE">
      <w:pPr>
        <w:pStyle w:val="EndnoteText"/>
        <w:jc w:val="both"/>
        <w:rPr>
          <w:rFonts w:ascii="Times New Roman" w:hAnsi="Times New Roman" w:cs="Times New Roman"/>
        </w:rPr>
      </w:pPr>
      <w:r w:rsidRPr="003E522F">
        <w:rPr>
          <w:rStyle w:val="EndnoteReference"/>
          <w:rFonts w:ascii="Times New Roman" w:hAnsi="Times New Roman" w:cs="Times New Roman"/>
        </w:rPr>
        <w:endnoteRef/>
      </w:r>
      <w:r w:rsidRPr="003E522F">
        <w:rPr>
          <w:rFonts w:ascii="Times New Roman" w:hAnsi="Times New Roman" w:cs="Times New Roman"/>
        </w:rPr>
        <w:t xml:space="preserve"> </w:t>
      </w:r>
      <w:r w:rsidRPr="003E522F">
        <w:rPr>
          <w:rFonts w:ascii="Times New Roman" w:hAnsi="Times New Roman" w:cs="Times New Roman"/>
          <w:noProof/>
        </w:rPr>
        <w:t>Pirmohamed, M., et al. (2004). Adverse drug reactions as cause of admission to hospital: prospective analysis of 18,820 patients. BMJ, 329(7456), 15-19.</w:t>
      </w:r>
    </w:p>
  </w:endnote>
  <w:endnote w:id="4">
    <w:p w14:paraId="456F1EA8" w14:textId="1E27D38A" w:rsidR="008F155A" w:rsidRPr="003E522F" w:rsidRDefault="008F155A" w:rsidP="00E403BE">
      <w:pPr>
        <w:pStyle w:val="EndnoteText"/>
        <w:jc w:val="both"/>
        <w:rPr>
          <w:rFonts w:ascii="Times New Roman" w:hAnsi="Times New Roman" w:cs="Times New Roman"/>
        </w:rPr>
      </w:pPr>
      <w:r w:rsidRPr="003E522F">
        <w:rPr>
          <w:rStyle w:val="EndnoteReference"/>
          <w:rFonts w:ascii="Times New Roman" w:hAnsi="Times New Roman" w:cs="Times New Roman"/>
        </w:rPr>
        <w:endnoteRef/>
      </w:r>
      <w:r w:rsidRPr="003E522F">
        <w:rPr>
          <w:rFonts w:ascii="Times New Roman" w:hAnsi="Times New Roman" w:cs="Times New Roman"/>
        </w:rPr>
        <w:t xml:space="preserve"> </w:t>
      </w:r>
      <w:r w:rsidRPr="003E522F">
        <w:rPr>
          <w:rFonts w:ascii="Times New Roman" w:hAnsi="Times New Roman" w:cs="Times New Roman"/>
          <w:noProof/>
        </w:rPr>
        <w:t>Institute of Medicine. (2007). The future of drug safety: Promoting and protecting the health of the public. National Academies Press.</w:t>
      </w:r>
    </w:p>
  </w:endnote>
  <w:endnote w:id="5">
    <w:p w14:paraId="6129C221" w14:textId="0B634A37" w:rsidR="008F155A" w:rsidRPr="00226FDC" w:rsidRDefault="008F155A" w:rsidP="00E403BE">
      <w:pPr>
        <w:pStyle w:val="EndnoteText"/>
        <w:jc w:val="both"/>
        <w:rPr>
          <w:rFonts w:ascii="Times New Roman" w:hAnsi="Times New Roman" w:cs="Times New Roman"/>
        </w:rPr>
      </w:pPr>
      <w:r w:rsidRPr="00226FDC">
        <w:rPr>
          <w:rStyle w:val="EndnoteReference"/>
          <w:rFonts w:ascii="Times New Roman" w:hAnsi="Times New Roman" w:cs="Times New Roman"/>
        </w:rPr>
        <w:endnoteRef/>
      </w:r>
      <w:r w:rsidRPr="00226FDC">
        <w:rPr>
          <w:rFonts w:ascii="Times New Roman" w:hAnsi="Times New Roman" w:cs="Times New Roman"/>
        </w:rPr>
        <w:t xml:space="preserve"> </w:t>
      </w:r>
      <w:r w:rsidRPr="00226FDC">
        <w:rPr>
          <w:rFonts w:ascii="Times New Roman" w:hAnsi="Times New Roman" w:cs="Times New Roman"/>
          <w:noProof/>
        </w:rPr>
        <w:t xml:space="preserve">WHO Policy Perspectives on Medicines. Geneva: WHO; 2004. Geneva: World Health Organization. Looking at the Pharmacovigilance: ensuring the safe use of medicines.  </w:t>
      </w:r>
    </w:p>
  </w:endnote>
  <w:endnote w:id="6">
    <w:p w14:paraId="5D494D4B" w14:textId="71F942AF" w:rsidR="008F155A" w:rsidRPr="009A4FD1" w:rsidRDefault="008F155A" w:rsidP="00E403BE">
      <w:pPr>
        <w:pStyle w:val="EndnoteText"/>
        <w:jc w:val="both"/>
        <w:rPr>
          <w:rFonts w:ascii="Times New Roman" w:hAnsi="Times New Roman" w:cs="Times New Roman"/>
        </w:rPr>
      </w:pPr>
      <w:r w:rsidRPr="009A4FD1">
        <w:rPr>
          <w:rStyle w:val="EndnoteReference"/>
          <w:rFonts w:ascii="Times New Roman" w:hAnsi="Times New Roman" w:cs="Times New Roman"/>
        </w:rPr>
        <w:endnoteRef/>
      </w:r>
      <w:r w:rsidRPr="009A4FD1">
        <w:rPr>
          <w:rFonts w:ascii="Times New Roman" w:hAnsi="Times New Roman" w:cs="Times New Roman"/>
        </w:rPr>
        <w:t xml:space="preserve"> </w:t>
      </w:r>
      <w:r w:rsidRPr="009A4FD1">
        <w:rPr>
          <w:rFonts w:ascii="Times New Roman" w:hAnsi="Times New Roman" w:cs="Times New Roman"/>
          <w:noProof/>
        </w:rPr>
        <w:t xml:space="preserve">Harmark L, van Grootheest AC. Pharmacovigilance: Methods, recent developments and future perspectives. Eur J Clin Pharmacol. 2008;64:743–52. doi: 10.1007/s00228-008-0475-9. </w:t>
      </w:r>
    </w:p>
  </w:endnote>
  <w:endnote w:id="7">
    <w:p w14:paraId="4E26046B" w14:textId="261174DB" w:rsidR="008F155A" w:rsidRPr="009A4FD1" w:rsidRDefault="008F155A" w:rsidP="00E403BE">
      <w:pPr>
        <w:pStyle w:val="EndnoteText"/>
        <w:jc w:val="both"/>
        <w:rPr>
          <w:rFonts w:ascii="Times New Roman" w:hAnsi="Times New Roman" w:cs="Times New Roman"/>
        </w:rPr>
      </w:pPr>
      <w:r w:rsidRPr="009A4FD1">
        <w:rPr>
          <w:rStyle w:val="EndnoteReference"/>
          <w:rFonts w:ascii="Times New Roman" w:hAnsi="Times New Roman" w:cs="Times New Roman"/>
        </w:rPr>
        <w:endnoteRef/>
      </w:r>
      <w:r w:rsidRPr="009A4FD1">
        <w:rPr>
          <w:rFonts w:ascii="Times New Roman" w:hAnsi="Times New Roman" w:cs="Times New Roman"/>
        </w:rPr>
        <w:t xml:space="preserve"> </w:t>
      </w:r>
      <w:r w:rsidRPr="009A4FD1">
        <w:rPr>
          <w:rFonts w:ascii="Times New Roman" w:hAnsi="Times New Roman" w:cs="Times New Roman"/>
          <w:noProof/>
        </w:rPr>
        <w:t xml:space="preserve">National Coordination Centre-Pharmacovigilance Programme of India, Indian Pharmacopoeia Commission, &amp; Central Drugs Standard Control Organization. (2019). Pharmacovigilance Guidance Document for marketing authorization holders of pharmaceutical products. </w:t>
      </w:r>
    </w:p>
  </w:endnote>
  <w:endnote w:id="8">
    <w:p w14:paraId="2B71E878" w14:textId="055A78C3" w:rsidR="008F155A" w:rsidRPr="00782A35" w:rsidRDefault="008F155A" w:rsidP="00E403BE">
      <w:pPr>
        <w:pStyle w:val="EndnoteText"/>
        <w:jc w:val="both"/>
        <w:rPr>
          <w:rFonts w:ascii="Times New Roman" w:hAnsi="Times New Roman" w:cs="Times New Roman"/>
        </w:rPr>
      </w:pPr>
      <w:r w:rsidRPr="009A4FD1">
        <w:rPr>
          <w:rStyle w:val="EndnoteReference"/>
          <w:rFonts w:ascii="Times New Roman" w:hAnsi="Times New Roman" w:cs="Times New Roman"/>
        </w:rPr>
        <w:endnoteRef/>
      </w:r>
      <w:r w:rsidRPr="009A4FD1">
        <w:rPr>
          <w:rFonts w:ascii="Times New Roman" w:hAnsi="Times New Roman" w:cs="Times New Roman"/>
        </w:rPr>
        <w:t xml:space="preserve"> </w:t>
      </w:r>
      <w:r w:rsidRPr="009A4FD1">
        <w:rPr>
          <w:rFonts w:ascii="Times New Roman" w:hAnsi="Times New Roman" w:cs="Times New Roman"/>
          <w:noProof/>
        </w:rPr>
        <w:t>Indian Pharmacopoeia Commission (IPC). (n.d.). Materiovigilance</w:t>
      </w:r>
      <w:r w:rsidRPr="00782A35">
        <w:rPr>
          <w:rFonts w:ascii="Times New Roman" w:hAnsi="Times New Roman" w:cs="Times New Roman"/>
          <w:noProof/>
        </w:rPr>
        <w:t xml:space="preserve"> Programme of India (MvPI).</w:t>
      </w:r>
    </w:p>
  </w:endnote>
  <w:endnote w:id="9">
    <w:p w14:paraId="28488B78" w14:textId="39ED5E3C" w:rsidR="008F155A" w:rsidRPr="004138A9" w:rsidRDefault="008F155A" w:rsidP="00E403BE">
      <w:pPr>
        <w:pStyle w:val="EndnoteText"/>
        <w:jc w:val="both"/>
        <w:rPr>
          <w:rFonts w:ascii="Times New Roman" w:hAnsi="Times New Roman" w:cs="Times New Roman"/>
        </w:rPr>
      </w:pPr>
      <w:r w:rsidRPr="004138A9">
        <w:rPr>
          <w:rStyle w:val="EndnoteReference"/>
          <w:rFonts w:ascii="Times New Roman" w:hAnsi="Times New Roman" w:cs="Times New Roman"/>
        </w:rPr>
        <w:endnoteRef/>
      </w:r>
      <w:r w:rsidRPr="004138A9">
        <w:rPr>
          <w:rFonts w:ascii="Times New Roman" w:hAnsi="Times New Roman" w:cs="Times New Roman"/>
        </w:rPr>
        <w:t xml:space="preserve"> </w:t>
      </w:r>
      <w:r w:rsidRPr="004138A9">
        <w:rPr>
          <w:rFonts w:ascii="Times New Roman" w:hAnsi="Times New Roman" w:cs="Times New Roman"/>
          <w:noProof/>
        </w:rPr>
        <w:t>Indian Pharmacopoeia Commission (IPC). (n.d.). Pharmacovigilance Programme of India (PvPI).</w:t>
      </w:r>
    </w:p>
  </w:endnote>
  <w:endnote w:id="10">
    <w:p w14:paraId="70ADB92C" w14:textId="12C7980F" w:rsidR="005A1E28" w:rsidRPr="005A1E28" w:rsidRDefault="005A1E28" w:rsidP="005A1E28">
      <w:pPr>
        <w:pStyle w:val="EndnoteText"/>
        <w:jc w:val="both"/>
        <w:rPr>
          <w:rFonts w:ascii="Times New Roman" w:hAnsi="Times New Roman" w:cs="Times New Roman"/>
        </w:rPr>
      </w:pPr>
      <w:r w:rsidRPr="005A1E28">
        <w:rPr>
          <w:rStyle w:val="EndnoteReference"/>
          <w:rFonts w:ascii="Times New Roman" w:hAnsi="Times New Roman" w:cs="Times New Roman"/>
        </w:rPr>
        <w:endnoteRef/>
      </w:r>
      <w:r w:rsidRPr="005A1E28">
        <w:rPr>
          <w:rFonts w:ascii="Times New Roman" w:hAnsi="Times New Roman" w:cs="Times New Roman"/>
        </w:rPr>
        <w:t xml:space="preserve"> Krishnan M, Sherief HS. Ethics committees in India: A study to assess the implementation of registration requirements as per New Drug and Clinical Trial Rules and the scale of standardization. Natl Med J India. 2023 Mar-Apr;36(2):109-111. </w:t>
      </w:r>
    </w:p>
  </w:endnote>
  <w:endnote w:id="11">
    <w:p w14:paraId="38087100" w14:textId="3879F253" w:rsidR="00E403BE" w:rsidRPr="00E403BE" w:rsidRDefault="00E403BE" w:rsidP="00E403BE">
      <w:pPr>
        <w:pStyle w:val="EndnoteText"/>
        <w:jc w:val="both"/>
        <w:rPr>
          <w:rFonts w:ascii="Times New Roman" w:hAnsi="Times New Roman" w:cs="Times New Roman"/>
        </w:rPr>
      </w:pPr>
      <w:r w:rsidRPr="00E403BE">
        <w:rPr>
          <w:rStyle w:val="EndnoteReference"/>
          <w:rFonts w:ascii="Times New Roman" w:hAnsi="Times New Roman" w:cs="Times New Roman"/>
        </w:rPr>
        <w:endnoteRef/>
      </w:r>
      <w:r w:rsidRPr="00E403BE">
        <w:rPr>
          <w:rFonts w:ascii="Times New Roman" w:hAnsi="Times New Roman" w:cs="Times New Roman"/>
        </w:rPr>
        <w:t xml:space="preserve"> Shah, S., &amp; Singh, A. (2020). Drug </w:t>
      </w:r>
      <w:proofErr w:type="spellStart"/>
      <w:r w:rsidRPr="00E403BE">
        <w:rPr>
          <w:rFonts w:ascii="Times New Roman" w:hAnsi="Times New Roman" w:cs="Times New Roman"/>
        </w:rPr>
        <w:t>labeling</w:t>
      </w:r>
      <w:proofErr w:type="spellEnd"/>
      <w:r w:rsidRPr="00E403BE">
        <w:rPr>
          <w:rFonts w:ascii="Times New Roman" w:hAnsi="Times New Roman" w:cs="Times New Roman"/>
        </w:rPr>
        <w:t>: The study of compliance of regulatory requirements for prescription drugs in India. </w:t>
      </w:r>
      <w:r w:rsidRPr="00E403BE">
        <w:rPr>
          <w:rFonts w:ascii="Times New Roman" w:hAnsi="Times New Roman" w:cs="Times New Roman"/>
          <w:i/>
          <w:iCs/>
        </w:rPr>
        <w:t>Perspectives in clinical research</w:t>
      </w:r>
      <w:r w:rsidRPr="00E403BE">
        <w:rPr>
          <w:rFonts w:ascii="Times New Roman" w:hAnsi="Times New Roman" w:cs="Times New Roman"/>
        </w:rPr>
        <w:t>, </w:t>
      </w:r>
      <w:r w:rsidRPr="00E403BE">
        <w:rPr>
          <w:rFonts w:ascii="Times New Roman" w:hAnsi="Times New Roman" w:cs="Times New Roman"/>
          <w:i/>
          <w:iCs/>
        </w:rPr>
        <w:t>11</w:t>
      </w:r>
      <w:r w:rsidRPr="00E403BE">
        <w:rPr>
          <w:rFonts w:ascii="Times New Roman" w:hAnsi="Times New Roman" w:cs="Times New Roman"/>
        </w:rPr>
        <w:t xml:space="preserve">(4), 164–167. </w:t>
      </w:r>
    </w:p>
  </w:endnote>
  <w:endnote w:id="12">
    <w:p w14:paraId="56EAD6F3" w14:textId="0CBB59C9" w:rsidR="008F155A" w:rsidRPr="002B6AC1" w:rsidRDefault="008F155A" w:rsidP="00E403BE">
      <w:pPr>
        <w:pStyle w:val="EndnoteText"/>
        <w:jc w:val="both"/>
        <w:rPr>
          <w:rFonts w:ascii="Times New Roman" w:hAnsi="Times New Roman" w:cs="Times New Roman"/>
        </w:rPr>
      </w:pPr>
      <w:r w:rsidRPr="002B6AC1">
        <w:rPr>
          <w:rStyle w:val="EndnoteReference"/>
          <w:rFonts w:ascii="Times New Roman" w:hAnsi="Times New Roman" w:cs="Times New Roman"/>
        </w:rPr>
        <w:endnoteRef/>
      </w:r>
      <w:r w:rsidRPr="002B6AC1">
        <w:rPr>
          <w:rFonts w:ascii="Times New Roman" w:hAnsi="Times New Roman" w:cs="Times New Roman"/>
        </w:rPr>
        <w:t xml:space="preserve"> </w:t>
      </w:r>
      <w:r w:rsidRPr="002B6AC1">
        <w:rPr>
          <w:rFonts w:ascii="Times New Roman" w:hAnsi="Times New Roman" w:cs="Times New Roman"/>
          <w:noProof/>
        </w:rPr>
        <w:t xml:space="preserve">Central Drugs Standard Control Organization, Ministry of Health and Family Welfare, Govt. of India. (2019). THE NEW DRUGS AND CLINICAL TRIALS RULES, 2019. </w:t>
      </w:r>
    </w:p>
  </w:endnote>
  <w:endnote w:id="13">
    <w:p w14:paraId="230FF581" w14:textId="551F5BC5" w:rsidR="0012592B" w:rsidRPr="0012592B" w:rsidRDefault="0012592B" w:rsidP="00E403BE">
      <w:pPr>
        <w:pStyle w:val="EndnoteText"/>
        <w:jc w:val="both"/>
        <w:rPr>
          <w:rFonts w:ascii="Times New Roman" w:hAnsi="Times New Roman" w:cs="Times New Roman"/>
        </w:rPr>
      </w:pPr>
      <w:r w:rsidRPr="0012592B">
        <w:rPr>
          <w:rStyle w:val="EndnoteReference"/>
          <w:rFonts w:ascii="Times New Roman" w:hAnsi="Times New Roman" w:cs="Times New Roman"/>
        </w:rPr>
        <w:endnoteRef/>
      </w:r>
      <w:r w:rsidRPr="0012592B">
        <w:rPr>
          <w:rFonts w:ascii="Times New Roman" w:hAnsi="Times New Roman" w:cs="Times New Roman"/>
        </w:rPr>
        <w:t xml:space="preserve"> Tandon, V. R., Mahajan, V., Khajuria, V., &amp; Gillani, Z. (2015). Under-reporting of adverse drug reactions: a challenge for pharmacovigilance in India. </w:t>
      </w:r>
      <w:r w:rsidRPr="0012592B">
        <w:rPr>
          <w:rFonts w:ascii="Times New Roman" w:hAnsi="Times New Roman" w:cs="Times New Roman"/>
          <w:i/>
          <w:iCs/>
        </w:rPr>
        <w:t>Indian journal of pharmacology</w:t>
      </w:r>
      <w:r w:rsidRPr="0012592B">
        <w:rPr>
          <w:rFonts w:ascii="Times New Roman" w:hAnsi="Times New Roman" w:cs="Times New Roman"/>
        </w:rPr>
        <w:t>, </w:t>
      </w:r>
      <w:r w:rsidRPr="0012592B">
        <w:rPr>
          <w:rFonts w:ascii="Times New Roman" w:hAnsi="Times New Roman" w:cs="Times New Roman"/>
          <w:i/>
          <w:iCs/>
        </w:rPr>
        <w:t>47</w:t>
      </w:r>
      <w:r w:rsidRPr="0012592B">
        <w:rPr>
          <w:rFonts w:ascii="Times New Roman" w:hAnsi="Times New Roman" w:cs="Times New Roman"/>
        </w:rPr>
        <w:t xml:space="preserve">(1), 65–71. </w:t>
      </w:r>
    </w:p>
  </w:endnote>
  <w:endnote w:id="14">
    <w:p w14:paraId="7CA0B1CE" w14:textId="11B09337" w:rsidR="008C1F16" w:rsidRPr="008C1F16" w:rsidRDefault="008C1F16" w:rsidP="00E403BE">
      <w:pPr>
        <w:pStyle w:val="EndnoteText"/>
        <w:jc w:val="both"/>
        <w:rPr>
          <w:rFonts w:ascii="Times New Roman" w:hAnsi="Times New Roman" w:cs="Times New Roman"/>
        </w:rPr>
      </w:pPr>
      <w:r w:rsidRPr="008C1F16">
        <w:rPr>
          <w:rStyle w:val="EndnoteReference"/>
          <w:rFonts w:ascii="Times New Roman" w:hAnsi="Times New Roman" w:cs="Times New Roman"/>
        </w:rPr>
        <w:endnoteRef/>
      </w:r>
      <w:r w:rsidRPr="008C1F16">
        <w:rPr>
          <w:rFonts w:ascii="Times New Roman" w:hAnsi="Times New Roman" w:cs="Times New Roman"/>
        </w:rPr>
        <w:t xml:space="preserve"> European Medicines Agency (EMA). (2024). </w:t>
      </w:r>
      <w:proofErr w:type="spellStart"/>
      <w:r w:rsidRPr="008C1F16">
        <w:rPr>
          <w:rFonts w:ascii="Times New Roman" w:hAnsi="Times New Roman" w:cs="Times New Roman"/>
        </w:rPr>
        <w:t>EudraVigilance</w:t>
      </w:r>
      <w:proofErr w:type="spellEnd"/>
      <w:r w:rsidRPr="008C1F16">
        <w:rPr>
          <w:rFonts w:ascii="Times New Roman" w:hAnsi="Times New Roman" w:cs="Times New Roman"/>
        </w:rPr>
        <w:t xml:space="preserve"> – European database of suspected adverse drug reaction reports.</w:t>
      </w:r>
    </w:p>
  </w:endnote>
  <w:endnote w:id="15">
    <w:p w14:paraId="0F94831D" w14:textId="7C7C238D" w:rsidR="004E1D6D" w:rsidRPr="004E1D6D" w:rsidRDefault="004E1D6D" w:rsidP="00E403BE">
      <w:pPr>
        <w:pStyle w:val="EndnoteText"/>
        <w:jc w:val="both"/>
        <w:rPr>
          <w:rFonts w:ascii="Times New Roman" w:hAnsi="Times New Roman" w:cs="Times New Roman"/>
        </w:rPr>
      </w:pPr>
      <w:r w:rsidRPr="004E1D6D">
        <w:rPr>
          <w:rStyle w:val="EndnoteReference"/>
          <w:rFonts w:ascii="Times New Roman" w:hAnsi="Times New Roman" w:cs="Times New Roman"/>
        </w:rPr>
        <w:endnoteRef/>
      </w:r>
      <w:r w:rsidRPr="004E1D6D">
        <w:rPr>
          <w:rFonts w:ascii="Times New Roman" w:hAnsi="Times New Roman" w:cs="Times New Roman"/>
        </w:rPr>
        <w:t xml:space="preserve"> U.S. Food and Drug Administration (FDA). (2023). FDA Adverse Event Reporting System (FAERS) Public Dashboard.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7AFC1" w14:textId="77777777" w:rsidR="00602B53" w:rsidRDefault="00602B53" w:rsidP="00D24DDA">
      <w:pPr>
        <w:spacing w:after="0" w:line="240" w:lineRule="auto"/>
      </w:pPr>
      <w:r>
        <w:separator/>
      </w:r>
    </w:p>
  </w:footnote>
  <w:footnote w:type="continuationSeparator" w:id="0">
    <w:p w14:paraId="20F2997B" w14:textId="77777777" w:rsidR="00602B53" w:rsidRDefault="00602B53" w:rsidP="00D24D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57E72"/>
    <w:multiLevelType w:val="hybridMultilevel"/>
    <w:tmpl w:val="78CCC8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23E54BE1"/>
    <w:multiLevelType w:val="hybridMultilevel"/>
    <w:tmpl w:val="46F6B9B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5D93B0E"/>
    <w:multiLevelType w:val="multilevel"/>
    <w:tmpl w:val="893E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7563D0"/>
    <w:multiLevelType w:val="hybridMultilevel"/>
    <w:tmpl w:val="D1DA3CFC"/>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4BD87274"/>
    <w:multiLevelType w:val="multilevel"/>
    <w:tmpl w:val="382C4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BF11419"/>
    <w:multiLevelType w:val="hybridMultilevel"/>
    <w:tmpl w:val="4F201702"/>
    <w:lvl w:ilvl="0" w:tplc="16A2C22A">
      <w:start w:val="2167"/>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28B11C3"/>
    <w:multiLevelType w:val="hybridMultilevel"/>
    <w:tmpl w:val="4EE036D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935900056">
    <w:abstractNumId w:val="5"/>
  </w:num>
  <w:num w:numId="2" w16cid:durableId="1648630163">
    <w:abstractNumId w:val="4"/>
  </w:num>
  <w:num w:numId="3" w16cid:durableId="1929342063">
    <w:abstractNumId w:val="2"/>
  </w:num>
  <w:num w:numId="4" w16cid:durableId="409086550">
    <w:abstractNumId w:val="6"/>
  </w:num>
  <w:num w:numId="5" w16cid:durableId="140198416">
    <w:abstractNumId w:val="1"/>
  </w:num>
  <w:num w:numId="6" w16cid:durableId="1588465542">
    <w:abstractNumId w:val="3"/>
  </w:num>
  <w:num w:numId="7" w16cid:durableId="1638335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22E"/>
    <w:rsid w:val="000149C5"/>
    <w:rsid w:val="00016FDC"/>
    <w:rsid w:val="0002085D"/>
    <w:rsid w:val="000339D2"/>
    <w:rsid w:val="0004540C"/>
    <w:rsid w:val="00046134"/>
    <w:rsid w:val="000465ED"/>
    <w:rsid w:val="000471D1"/>
    <w:rsid w:val="00051FA5"/>
    <w:rsid w:val="00056E2F"/>
    <w:rsid w:val="00063CFB"/>
    <w:rsid w:val="000660C4"/>
    <w:rsid w:val="00066DF1"/>
    <w:rsid w:val="000736A2"/>
    <w:rsid w:val="00077719"/>
    <w:rsid w:val="00085E09"/>
    <w:rsid w:val="0009117D"/>
    <w:rsid w:val="0009604F"/>
    <w:rsid w:val="00097873"/>
    <w:rsid w:val="000A16DA"/>
    <w:rsid w:val="000A5D69"/>
    <w:rsid w:val="000C72C5"/>
    <w:rsid w:val="000D4A00"/>
    <w:rsid w:val="000D5CD0"/>
    <w:rsid w:val="000D7DB4"/>
    <w:rsid w:val="000D7E16"/>
    <w:rsid w:val="000E29A1"/>
    <w:rsid w:val="000F5766"/>
    <w:rsid w:val="00102FC4"/>
    <w:rsid w:val="001115D8"/>
    <w:rsid w:val="001200B2"/>
    <w:rsid w:val="00120764"/>
    <w:rsid w:val="00121735"/>
    <w:rsid w:val="0012592B"/>
    <w:rsid w:val="00132197"/>
    <w:rsid w:val="00132356"/>
    <w:rsid w:val="00133644"/>
    <w:rsid w:val="001356E5"/>
    <w:rsid w:val="00141DB7"/>
    <w:rsid w:val="00147506"/>
    <w:rsid w:val="00150B3E"/>
    <w:rsid w:val="00157776"/>
    <w:rsid w:val="0016616B"/>
    <w:rsid w:val="00174EB7"/>
    <w:rsid w:val="00180C11"/>
    <w:rsid w:val="00181F41"/>
    <w:rsid w:val="00187773"/>
    <w:rsid w:val="00192C19"/>
    <w:rsid w:val="00196B68"/>
    <w:rsid w:val="001A5DBA"/>
    <w:rsid w:val="001B2A76"/>
    <w:rsid w:val="001B7079"/>
    <w:rsid w:val="001D341F"/>
    <w:rsid w:val="001E2CB0"/>
    <w:rsid w:val="001E39C7"/>
    <w:rsid w:val="0020003C"/>
    <w:rsid w:val="002028E2"/>
    <w:rsid w:val="0021384B"/>
    <w:rsid w:val="002158C9"/>
    <w:rsid w:val="00221CAC"/>
    <w:rsid w:val="002229D9"/>
    <w:rsid w:val="00226FDC"/>
    <w:rsid w:val="00230A23"/>
    <w:rsid w:val="002379CC"/>
    <w:rsid w:val="00240424"/>
    <w:rsid w:val="00247350"/>
    <w:rsid w:val="0025128C"/>
    <w:rsid w:val="00271691"/>
    <w:rsid w:val="0027795E"/>
    <w:rsid w:val="00282E83"/>
    <w:rsid w:val="002939B7"/>
    <w:rsid w:val="002A2906"/>
    <w:rsid w:val="002A3FFF"/>
    <w:rsid w:val="002A5F73"/>
    <w:rsid w:val="002A7072"/>
    <w:rsid w:val="002A77CD"/>
    <w:rsid w:val="002B38EA"/>
    <w:rsid w:val="002B6AC1"/>
    <w:rsid w:val="002D0493"/>
    <w:rsid w:val="002D2A99"/>
    <w:rsid w:val="002E1B2B"/>
    <w:rsid w:val="002E5FB7"/>
    <w:rsid w:val="002E7B0E"/>
    <w:rsid w:val="002F1A36"/>
    <w:rsid w:val="0031631A"/>
    <w:rsid w:val="00320408"/>
    <w:rsid w:val="00321DFA"/>
    <w:rsid w:val="00323220"/>
    <w:rsid w:val="00324339"/>
    <w:rsid w:val="003262F4"/>
    <w:rsid w:val="00331681"/>
    <w:rsid w:val="00333248"/>
    <w:rsid w:val="00360933"/>
    <w:rsid w:val="00364C25"/>
    <w:rsid w:val="003745D5"/>
    <w:rsid w:val="003843E4"/>
    <w:rsid w:val="00386F55"/>
    <w:rsid w:val="003925F9"/>
    <w:rsid w:val="00393B5E"/>
    <w:rsid w:val="0039594E"/>
    <w:rsid w:val="003C33B8"/>
    <w:rsid w:val="003C53AF"/>
    <w:rsid w:val="003C74F9"/>
    <w:rsid w:val="003D217B"/>
    <w:rsid w:val="003D5FAF"/>
    <w:rsid w:val="003D785D"/>
    <w:rsid w:val="003E522F"/>
    <w:rsid w:val="003F1B12"/>
    <w:rsid w:val="003F2F8D"/>
    <w:rsid w:val="003F7733"/>
    <w:rsid w:val="0040002F"/>
    <w:rsid w:val="004032B6"/>
    <w:rsid w:val="004066B8"/>
    <w:rsid w:val="0040689C"/>
    <w:rsid w:val="004138A9"/>
    <w:rsid w:val="00417C54"/>
    <w:rsid w:val="00417CA0"/>
    <w:rsid w:val="004203B2"/>
    <w:rsid w:val="004216BD"/>
    <w:rsid w:val="0042267B"/>
    <w:rsid w:val="0042323B"/>
    <w:rsid w:val="0042747B"/>
    <w:rsid w:val="00435085"/>
    <w:rsid w:val="004409A4"/>
    <w:rsid w:val="004528C8"/>
    <w:rsid w:val="00461FFB"/>
    <w:rsid w:val="00466966"/>
    <w:rsid w:val="00467293"/>
    <w:rsid w:val="00467953"/>
    <w:rsid w:val="00473642"/>
    <w:rsid w:val="00473F46"/>
    <w:rsid w:val="00482081"/>
    <w:rsid w:val="00482167"/>
    <w:rsid w:val="004869EC"/>
    <w:rsid w:val="004904E6"/>
    <w:rsid w:val="00490DEC"/>
    <w:rsid w:val="004912E3"/>
    <w:rsid w:val="00496CA6"/>
    <w:rsid w:val="004A18DD"/>
    <w:rsid w:val="004A2A2E"/>
    <w:rsid w:val="004A2F9F"/>
    <w:rsid w:val="004A5853"/>
    <w:rsid w:val="004B1B9A"/>
    <w:rsid w:val="004B32A8"/>
    <w:rsid w:val="004B35F3"/>
    <w:rsid w:val="004B47E6"/>
    <w:rsid w:val="004B64DF"/>
    <w:rsid w:val="004C3700"/>
    <w:rsid w:val="004C6489"/>
    <w:rsid w:val="004D2AE5"/>
    <w:rsid w:val="004E1D6D"/>
    <w:rsid w:val="004E1DB5"/>
    <w:rsid w:val="004E212B"/>
    <w:rsid w:val="004E33EB"/>
    <w:rsid w:val="004F3ECE"/>
    <w:rsid w:val="004F6A2D"/>
    <w:rsid w:val="00500A94"/>
    <w:rsid w:val="00501ED2"/>
    <w:rsid w:val="005135A3"/>
    <w:rsid w:val="0051399D"/>
    <w:rsid w:val="0052358F"/>
    <w:rsid w:val="0052560C"/>
    <w:rsid w:val="00532428"/>
    <w:rsid w:val="00540C9C"/>
    <w:rsid w:val="00541280"/>
    <w:rsid w:val="00541978"/>
    <w:rsid w:val="00542EB3"/>
    <w:rsid w:val="00544B30"/>
    <w:rsid w:val="00544EEB"/>
    <w:rsid w:val="005458E3"/>
    <w:rsid w:val="00551CAD"/>
    <w:rsid w:val="00551CE1"/>
    <w:rsid w:val="005653CC"/>
    <w:rsid w:val="00566019"/>
    <w:rsid w:val="0057082D"/>
    <w:rsid w:val="00574114"/>
    <w:rsid w:val="00576777"/>
    <w:rsid w:val="00576E89"/>
    <w:rsid w:val="00580931"/>
    <w:rsid w:val="005A1C1E"/>
    <w:rsid w:val="005A1E28"/>
    <w:rsid w:val="005A4421"/>
    <w:rsid w:val="005A6D30"/>
    <w:rsid w:val="005A7E13"/>
    <w:rsid w:val="005B0604"/>
    <w:rsid w:val="005B7F74"/>
    <w:rsid w:val="005C02B6"/>
    <w:rsid w:val="005C3BFE"/>
    <w:rsid w:val="005D6260"/>
    <w:rsid w:val="005D6776"/>
    <w:rsid w:val="005D7D92"/>
    <w:rsid w:val="005E01BE"/>
    <w:rsid w:val="00602B53"/>
    <w:rsid w:val="00612E20"/>
    <w:rsid w:val="0061320D"/>
    <w:rsid w:val="00621B99"/>
    <w:rsid w:val="006320F9"/>
    <w:rsid w:val="0063367D"/>
    <w:rsid w:val="00634253"/>
    <w:rsid w:val="0064633E"/>
    <w:rsid w:val="00647699"/>
    <w:rsid w:val="006524DA"/>
    <w:rsid w:val="00652FF0"/>
    <w:rsid w:val="00654B54"/>
    <w:rsid w:val="00656E8C"/>
    <w:rsid w:val="0066281F"/>
    <w:rsid w:val="0066531E"/>
    <w:rsid w:val="00666CB2"/>
    <w:rsid w:val="00675AC6"/>
    <w:rsid w:val="006764C3"/>
    <w:rsid w:val="00681804"/>
    <w:rsid w:val="006822E9"/>
    <w:rsid w:val="0068710B"/>
    <w:rsid w:val="00687273"/>
    <w:rsid w:val="006874A7"/>
    <w:rsid w:val="00692AD3"/>
    <w:rsid w:val="006A224C"/>
    <w:rsid w:val="006A3B5D"/>
    <w:rsid w:val="006A6450"/>
    <w:rsid w:val="006B0F4A"/>
    <w:rsid w:val="006B119F"/>
    <w:rsid w:val="006B3FD2"/>
    <w:rsid w:val="006C2D5C"/>
    <w:rsid w:val="006C34C9"/>
    <w:rsid w:val="006C59CC"/>
    <w:rsid w:val="006D0A6F"/>
    <w:rsid w:val="006D4AD2"/>
    <w:rsid w:val="006D5168"/>
    <w:rsid w:val="006D79E1"/>
    <w:rsid w:val="006E5BA6"/>
    <w:rsid w:val="006E78D3"/>
    <w:rsid w:val="006F07AA"/>
    <w:rsid w:val="006F0989"/>
    <w:rsid w:val="006F0DE5"/>
    <w:rsid w:val="006F6568"/>
    <w:rsid w:val="007026D5"/>
    <w:rsid w:val="00704CFB"/>
    <w:rsid w:val="007131B6"/>
    <w:rsid w:val="00716EEC"/>
    <w:rsid w:val="007260A7"/>
    <w:rsid w:val="007313EC"/>
    <w:rsid w:val="00731549"/>
    <w:rsid w:val="007328EB"/>
    <w:rsid w:val="007340D2"/>
    <w:rsid w:val="0074122E"/>
    <w:rsid w:val="00743FDF"/>
    <w:rsid w:val="007464FD"/>
    <w:rsid w:val="007626EA"/>
    <w:rsid w:val="00767F81"/>
    <w:rsid w:val="00782A35"/>
    <w:rsid w:val="00784DA5"/>
    <w:rsid w:val="00794727"/>
    <w:rsid w:val="007A6013"/>
    <w:rsid w:val="007B0B5B"/>
    <w:rsid w:val="007B5825"/>
    <w:rsid w:val="007B6CBD"/>
    <w:rsid w:val="007C0E12"/>
    <w:rsid w:val="007C45C9"/>
    <w:rsid w:val="007C7401"/>
    <w:rsid w:val="007D3D47"/>
    <w:rsid w:val="007D461C"/>
    <w:rsid w:val="007D57C8"/>
    <w:rsid w:val="007E0D35"/>
    <w:rsid w:val="008001C5"/>
    <w:rsid w:val="008027D6"/>
    <w:rsid w:val="00802A61"/>
    <w:rsid w:val="00803140"/>
    <w:rsid w:val="00810D54"/>
    <w:rsid w:val="00811FD3"/>
    <w:rsid w:val="00815B3E"/>
    <w:rsid w:val="00816297"/>
    <w:rsid w:val="00824A5E"/>
    <w:rsid w:val="00832732"/>
    <w:rsid w:val="00837186"/>
    <w:rsid w:val="00853E65"/>
    <w:rsid w:val="00854182"/>
    <w:rsid w:val="0086031D"/>
    <w:rsid w:val="00861192"/>
    <w:rsid w:val="00876B3C"/>
    <w:rsid w:val="00882326"/>
    <w:rsid w:val="00884303"/>
    <w:rsid w:val="00885CA1"/>
    <w:rsid w:val="008868AB"/>
    <w:rsid w:val="008919CB"/>
    <w:rsid w:val="00893D5A"/>
    <w:rsid w:val="00895EE2"/>
    <w:rsid w:val="008A0565"/>
    <w:rsid w:val="008A5078"/>
    <w:rsid w:val="008A5658"/>
    <w:rsid w:val="008A6B5A"/>
    <w:rsid w:val="008B1821"/>
    <w:rsid w:val="008C1F16"/>
    <w:rsid w:val="008D40E5"/>
    <w:rsid w:val="008E1159"/>
    <w:rsid w:val="008E1769"/>
    <w:rsid w:val="008E2B84"/>
    <w:rsid w:val="008F155A"/>
    <w:rsid w:val="008F2C10"/>
    <w:rsid w:val="008F5D4D"/>
    <w:rsid w:val="0090097D"/>
    <w:rsid w:val="009036E1"/>
    <w:rsid w:val="009152D8"/>
    <w:rsid w:val="009178E5"/>
    <w:rsid w:val="00924764"/>
    <w:rsid w:val="00930121"/>
    <w:rsid w:val="00931C48"/>
    <w:rsid w:val="00937DF2"/>
    <w:rsid w:val="00943143"/>
    <w:rsid w:val="00947339"/>
    <w:rsid w:val="0094790D"/>
    <w:rsid w:val="00950EC7"/>
    <w:rsid w:val="00952CAB"/>
    <w:rsid w:val="0095377F"/>
    <w:rsid w:val="00954E9D"/>
    <w:rsid w:val="009561F2"/>
    <w:rsid w:val="009604EB"/>
    <w:rsid w:val="00960EDB"/>
    <w:rsid w:val="00962A8C"/>
    <w:rsid w:val="0096392C"/>
    <w:rsid w:val="009647ED"/>
    <w:rsid w:val="009734BF"/>
    <w:rsid w:val="0097470B"/>
    <w:rsid w:val="009809B3"/>
    <w:rsid w:val="00980BD1"/>
    <w:rsid w:val="00982134"/>
    <w:rsid w:val="00990752"/>
    <w:rsid w:val="00994BAC"/>
    <w:rsid w:val="0099733F"/>
    <w:rsid w:val="009A29CB"/>
    <w:rsid w:val="009A4FD1"/>
    <w:rsid w:val="009B3783"/>
    <w:rsid w:val="009B6C59"/>
    <w:rsid w:val="009C7864"/>
    <w:rsid w:val="009E0A29"/>
    <w:rsid w:val="009E56C5"/>
    <w:rsid w:val="00A0457B"/>
    <w:rsid w:val="00A04B3B"/>
    <w:rsid w:val="00A0619A"/>
    <w:rsid w:val="00A1086A"/>
    <w:rsid w:val="00A11C48"/>
    <w:rsid w:val="00A13514"/>
    <w:rsid w:val="00A15457"/>
    <w:rsid w:val="00A205E0"/>
    <w:rsid w:val="00A22C71"/>
    <w:rsid w:val="00A235BC"/>
    <w:rsid w:val="00A238A8"/>
    <w:rsid w:val="00A271CB"/>
    <w:rsid w:val="00A30289"/>
    <w:rsid w:val="00A32D96"/>
    <w:rsid w:val="00A42038"/>
    <w:rsid w:val="00A42168"/>
    <w:rsid w:val="00A51697"/>
    <w:rsid w:val="00A52908"/>
    <w:rsid w:val="00A52AFB"/>
    <w:rsid w:val="00A546DC"/>
    <w:rsid w:val="00A577FB"/>
    <w:rsid w:val="00A65024"/>
    <w:rsid w:val="00A66019"/>
    <w:rsid w:val="00A6680F"/>
    <w:rsid w:val="00A67884"/>
    <w:rsid w:val="00A734D5"/>
    <w:rsid w:val="00A87E56"/>
    <w:rsid w:val="00A94409"/>
    <w:rsid w:val="00A9766A"/>
    <w:rsid w:val="00A97C73"/>
    <w:rsid w:val="00AA13FE"/>
    <w:rsid w:val="00AA571B"/>
    <w:rsid w:val="00AB2884"/>
    <w:rsid w:val="00AB4070"/>
    <w:rsid w:val="00AB5AE1"/>
    <w:rsid w:val="00AC0CE0"/>
    <w:rsid w:val="00AC5033"/>
    <w:rsid w:val="00AD0FD0"/>
    <w:rsid w:val="00AD24CF"/>
    <w:rsid w:val="00AD6821"/>
    <w:rsid w:val="00AE455C"/>
    <w:rsid w:val="00AF63DC"/>
    <w:rsid w:val="00B02C94"/>
    <w:rsid w:val="00B036F5"/>
    <w:rsid w:val="00B03EE3"/>
    <w:rsid w:val="00B06105"/>
    <w:rsid w:val="00B07379"/>
    <w:rsid w:val="00B12BD4"/>
    <w:rsid w:val="00B241AF"/>
    <w:rsid w:val="00B32DDC"/>
    <w:rsid w:val="00B37918"/>
    <w:rsid w:val="00B44DC1"/>
    <w:rsid w:val="00B51910"/>
    <w:rsid w:val="00B53818"/>
    <w:rsid w:val="00B54CF6"/>
    <w:rsid w:val="00B65FE0"/>
    <w:rsid w:val="00B66640"/>
    <w:rsid w:val="00B666CA"/>
    <w:rsid w:val="00B728C0"/>
    <w:rsid w:val="00B73DE1"/>
    <w:rsid w:val="00B742A0"/>
    <w:rsid w:val="00B76D25"/>
    <w:rsid w:val="00B774AA"/>
    <w:rsid w:val="00B9400E"/>
    <w:rsid w:val="00B941EA"/>
    <w:rsid w:val="00BA197B"/>
    <w:rsid w:val="00BA1A65"/>
    <w:rsid w:val="00BA441A"/>
    <w:rsid w:val="00BA5BD5"/>
    <w:rsid w:val="00BA760A"/>
    <w:rsid w:val="00BB4085"/>
    <w:rsid w:val="00BB5DAB"/>
    <w:rsid w:val="00BC4CC6"/>
    <w:rsid w:val="00BC5676"/>
    <w:rsid w:val="00BC7477"/>
    <w:rsid w:val="00BD6D7D"/>
    <w:rsid w:val="00BE1FB8"/>
    <w:rsid w:val="00BE49B3"/>
    <w:rsid w:val="00BF1095"/>
    <w:rsid w:val="00BF16DA"/>
    <w:rsid w:val="00BF2D5F"/>
    <w:rsid w:val="00C03476"/>
    <w:rsid w:val="00C034BE"/>
    <w:rsid w:val="00C038B3"/>
    <w:rsid w:val="00C06F8E"/>
    <w:rsid w:val="00C07E62"/>
    <w:rsid w:val="00C12994"/>
    <w:rsid w:val="00C20690"/>
    <w:rsid w:val="00C31455"/>
    <w:rsid w:val="00C353D0"/>
    <w:rsid w:val="00C379F3"/>
    <w:rsid w:val="00C37B08"/>
    <w:rsid w:val="00C4099D"/>
    <w:rsid w:val="00C40A32"/>
    <w:rsid w:val="00C41463"/>
    <w:rsid w:val="00C41D9A"/>
    <w:rsid w:val="00C47F48"/>
    <w:rsid w:val="00C50100"/>
    <w:rsid w:val="00C53CE2"/>
    <w:rsid w:val="00C6331F"/>
    <w:rsid w:val="00C704EE"/>
    <w:rsid w:val="00C7517D"/>
    <w:rsid w:val="00C75630"/>
    <w:rsid w:val="00C812D6"/>
    <w:rsid w:val="00C96347"/>
    <w:rsid w:val="00C97BA5"/>
    <w:rsid w:val="00CA09B3"/>
    <w:rsid w:val="00CA2B68"/>
    <w:rsid w:val="00CA5885"/>
    <w:rsid w:val="00CB152F"/>
    <w:rsid w:val="00CB1B3D"/>
    <w:rsid w:val="00CB667F"/>
    <w:rsid w:val="00CC22B4"/>
    <w:rsid w:val="00CC2D9C"/>
    <w:rsid w:val="00CC6A90"/>
    <w:rsid w:val="00CE0900"/>
    <w:rsid w:val="00CE31DF"/>
    <w:rsid w:val="00CE4CF3"/>
    <w:rsid w:val="00CE5A20"/>
    <w:rsid w:val="00CF309B"/>
    <w:rsid w:val="00D027B9"/>
    <w:rsid w:val="00D037E0"/>
    <w:rsid w:val="00D05FBA"/>
    <w:rsid w:val="00D1300B"/>
    <w:rsid w:val="00D136C3"/>
    <w:rsid w:val="00D168E9"/>
    <w:rsid w:val="00D17A54"/>
    <w:rsid w:val="00D22A00"/>
    <w:rsid w:val="00D233FB"/>
    <w:rsid w:val="00D24DDA"/>
    <w:rsid w:val="00D335ED"/>
    <w:rsid w:val="00D52360"/>
    <w:rsid w:val="00D52FEA"/>
    <w:rsid w:val="00D53053"/>
    <w:rsid w:val="00D53B1C"/>
    <w:rsid w:val="00D54B17"/>
    <w:rsid w:val="00D614B3"/>
    <w:rsid w:val="00D63BDD"/>
    <w:rsid w:val="00D6610D"/>
    <w:rsid w:val="00D74FC9"/>
    <w:rsid w:val="00D763CC"/>
    <w:rsid w:val="00D85451"/>
    <w:rsid w:val="00D87E8C"/>
    <w:rsid w:val="00D903A5"/>
    <w:rsid w:val="00D9290A"/>
    <w:rsid w:val="00D93D30"/>
    <w:rsid w:val="00D95260"/>
    <w:rsid w:val="00DA37D7"/>
    <w:rsid w:val="00DA4FD3"/>
    <w:rsid w:val="00DA7396"/>
    <w:rsid w:val="00DB112A"/>
    <w:rsid w:val="00DB2911"/>
    <w:rsid w:val="00DB5E23"/>
    <w:rsid w:val="00DB6072"/>
    <w:rsid w:val="00DB721C"/>
    <w:rsid w:val="00DC0C02"/>
    <w:rsid w:val="00DD0123"/>
    <w:rsid w:val="00DD5281"/>
    <w:rsid w:val="00DD74B4"/>
    <w:rsid w:val="00E06FE1"/>
    <w:rsid w:val="00E07DC5"/>
    <w:rsid w:val="00E1256B"/>
    <w:rsid w:val="00E14570"/>
    <w:rsid w:val="00E22E56"/>
    <w:rsid w:val="00E2749C"/>
    <w:rsid w:val="00E37106"/>
    <w:rsid w:val="00E37408"/>
    <w:rsid w:val="00E403BE"/>
    <w:rsid w:val="00E405A9"/>
    <w:rsid w:val="00E40F85"/>
    <w:rsid w:val="00E410DF"/>
    <w:rsid w:val="00E52914"/>
    <w:rsid w:val="00E71B25"/>
    <w:rsid w:val="00E74CEB"/>
    <w:rsid w:val="00E81DC5"/>
    <w:rsid w:val="00E85EF2"/>
    <w:rsid w:val="00E96949"/>
    <w:rsid w:val="00E9721F"/>
    <w:rsid w:val="00EC6EF4"/>
    <w:rsid w:val="00EC7FD4"/>
    <w:rsid w:val="00ED30A3"/>
    <w:rsid w:val="00EE17A2"/>
    <w:rsid w:val="00EE5BFF"/>
    <w:rsid w:val="00EF190A"/>
    <w:rsid w:val="00F078B9"/>
    <w:rsid w:val="00F144C5"/>
    <w:rsid w:val="00F23BB8"/>
    <w:rsid w:val="00F269A6"/>
    <w:rsid w:val="00F30183"/>
    <w:rsid w:val="00F32219"/>
    <w:rsid w:val="00F36590"/>
    <w:rsid w:val="00F40F21"/>
    <w:rsid w:val="00F6035D"/>
    <w:rsid w:val="00F632C8"/>
    <w:rsid w:val="00F64631"/>
    <w:rsid w:val="00F64C5C"/>
    <w:rsid w:val="00F71D09"/>
    <w:rsid w:val="00F7216A"/>
    <w:rsid w:val="00F730A5"/>
    <w:rsid w:val="00F9072C"/>
    <w:rsid w:val="00F92728"/>
    <w:rsid w:val="00F96220"/>
    <w:rsid w:val="00FA3F5D"/>
    <w:rsid w:val="00FB6B99"/>
    <w:rsid w:val="00FB74B3"/>
    <w:rsid w:val="00FC48DA"/>
    <w:rsid w:val="00FD1DA3"/>
    <w:rsid w:val="00FD603F"/>
    <w:rsid w:val="00FF3F2A"/>
    <w:rsid w:val="00FF4D8F"/>
    <w:rsid w:val="00FF64A1"/>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9EB2E"/>
  <w15:chartTrackingRefBased/>
  <w15:docId w15:val="{177BE5F1-DCA7-4307-AB69-707D5C1BD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2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412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412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12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12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12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2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2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2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2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412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412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12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12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12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2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2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22E"/>
    <w:rPr>
      <w:rFonts w:eastAsiaTheme="majorEastAsia" w:cstheme="majorBidi"/>
      <w:color w:val="272727" w:themeColor="text1" w:themeTint="D8"/>
    </w:rPr>
  </w:style>
  <w:style w:type="paragraph" w:styleId="Title">
    <w:name w:val="Title"/>
    <w:basedOn w:val="Normal"/>
    <w:next w:val="Normal"/>
    <w:link w:val="TitleChar"/>
    <w:uiPriority w:val="10"/>
    <w:qFormat/>
    <w:rsid w:val="007412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2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2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2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22E"/>
    <w:pPr>
      <w:spacing w:before="160"/>
      <w:jc w:val="center"/>
    </w:pPr>
    <w:rPr>
      <w:i/>
      <w:iCs/>
      <w:color w:val="404040" w:themeColor="text1" w:themeTint="BF"/>
    </w:rPr>
  </w:style>
  <w:style w:type="character" w:customStyle="1" w:styleId="QuoteChar">
    <w:name w:val="Quote Char"/>
    <w:basedOn w:val="DefaultParagraphFont"/>
    <w:link w:val="Quote"/>
    <w:uiPriority w:val="29"/>
    <w:rsid w:val="0074122E"/>
    <w:rPr>
      <w:i/>
      <w:iCs/>
      <w:color w:val="404040" w:themeColor="text1" w:themeTint="BF"/>
    </w:rPr>
  </w:style>
  <w:style w:type="paragraph" w:styleId="ListParagraph">
    <w:name w:val="List Paragraph"/>
    <w:basedOn w:val="Normal"/>
    <w:uiPriority w:val="34"/>
    <w:qFormat/>
    <w:rsid w:val="0074122E"/>
    <w:pPr>
      <w:ind w:left="720"/>
      <w:contextualSpacing/>
    </w:pPr>
  </w:style>
  <w:style w:type="character" w:styleId="IntenseEmphasis">
    <w:name w:val="Intense Emphasis"/>
    <w:basedOn w:val="DefaultParagraphFont"/>
    <w:uiPriority w:val="21"/>
    <w:qFormat/>
    <w:rsid w:val="0074122E"/>
    <w:rPr>
      <w:i/>
      <w:iCs/>
      <w:color w:val="2F5496" w:themeColor="accent1" w:themeShade="BF"/>
    </w:rPr>
  </w:style>
  <w:style w:type="paragraph" w:styleId="IntenseQuote">
    <w:name w:val="Intense Quote"/>
    <w:basedOn w:val="Normal"/>
    <w:next w:val="Normal"/>
    <w:link w:val="IntenseQuoteChar"/>
    <w:uiPriority w:val="30"/>
    <w:qFormat/>
    <w:rsid w:val="007412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122E"/>
    <w:rPr>
      <w:i/>
      <w:iCs/>
      <w:color w:val="2F5496" w:themeColor="accent1" w:themeShade="BF"/>
    </w:rPr>
  </w:style>
  <w:style w:type="character" w:styleId="IntenseReference">
    <w:name w:val="Intense Reference"/>
    <w:basedOn w:val="DefaultParagraphFont"/>
    <w:uiPriority w:val="32"/>
    <w:qFormat/>
    <w:rsid w:val="0074122E"/>
    <w:rPr>
      <w:b/>
      <w:bCs/>
      <w:smallCaps/>
      <w:color w:val="2F5496" w:themeColor="accent1" w:themeShade="BF"/>
      <w:spacing w:val="5"/>
    </w:rPr>
  </w:style>
  <w:style w:type="paragraph" w:styleId="NormalWeb">
    <w:name w:val="Normal (Web)"/>
    <w:basedOn w:val="Normal"/>
    <w:uiPriority w:val="99"/>
    <w:semiHidden/>
    <w:unhideWhenUsed/>
    <w:rsid w:val="00482167"/>
    <w:rPr>
      <w:rFonts w:ascii="Times New Roman" w:hAnsi="Times New Roman" w:cs="Times New Roman"/>
    </w:rPr>
  </w:style>
  <w:style w:type="character" w:styleId="Hyperlink">
    <w:name w:val="Hyperlink"/>
    <w:basedOn w:val="DefaultParagraphFont"/>
    <w:uiPriority w:val="99"/>
    <w:unhideWhenUsed/>
    <w:rsid w:val="00BC7477"/>
    <w:rPr>
      <w:color w:val="0563C1" w:themeColor="hyperlink"/>
      <w:u w:val="single"/>
    </w:rPr>
  </w:style>
  <w:style w:type="character" w:styleId="UnresolvedMention">
    <w:name w:val="Unresolved Mention"/>
    <w:basedOn w:val="DefaultParagraphFont"/>
    <w:uiPriority w:val="99"/>
    <w:semiHidden/>
    <w:unhideWhenUsed/>
    <w:rsid w:val="00BC7477"/>
    <w:rPr>
      <w:color w:val="605E5C"/>
      <w:shd w:val="clear" w:color="auto" w:fill="E1DFDD"/>
    </w:rPr>
  </w:style>
  <w:style w:type="character" w:styleId="CommentReference">
    <w:name w:val="annotation reference"/>
    <w:basedOn w:val="DefaultParagraphFont"/>
    <w:uiPriority w:val="99"/>
    <w:semiHidden/>
    <w:unhideWhenUsed/>
    <w:rsid w:val="00E81DC5"/>
    <w:rPr>
      <w:sz w:val="16"/>
      <w:szCs w:val="16"/>
    </w:rPr>
  </w:style>
  <w:style w:type="paragraph" w:styleId="CommentText">
    <w:name w:val="annotation text"/>
    <w:basedOn w:val="Normal"/>
    <w:link w:val="CommentTextChar"/>
    <w:uiPriority w:val="99"/>
    <w:unhideWhenUsed/>
    <w:rsid w:val="00E81DC5"/>
    <w:pPr>
      <w:spacing w:line="240" w:lineRule="auto"/>
    </w:pPr>
    <w:rPr>
      <w:sz w:val="20"/>
      <w:szCs w:val="20"/>
    </w:rPr>
  </w:style>
  <w:style w:type="character" w:customStyle="1" w:styleId="CommentTextChar">
    <w:name w:val="Comment Text Char"/>
    <w:basedOn w:val="DefaultParagraphFont"/>
    <w:link w:val="CommentText"/>
    <w:uiPriority w:val="99"/>
    <w:rsid w:val="00E81DC5"/>
    <w:rPr>
      <w:sz w:val="20"/>
      <w:szCs w:val="20"/>
    </w:rPr>
  </w:style>
  <w:style w:type="paragraph" w:styleId="CommentSubject">
    <w:name w:val="annotation subject"/>
    <w:basedOn w:val="CommentText"/>
    <w:next w:val="CommentText"/>
    <w:link w:val="CommentSubjectChar"/>
    <w:uiPriority w:val="99"/>
    <w:semiHidden/>
    <w:unhideWhenUsed/>
    <w:rsid w:val="00E81DC5"/>
    <w:rPr>
      <w:b/>
      <w:bCs/>
    </w:rPr>
  </w:style>
  <w:style w:type="character" w:customStyle="1" w:styleId="CommentSubjectChar">
    <w:name w:val="Comment Subject Char"/>
    <w:basedOn w:val="CommentTextChar"/>
    <w:link w:val="CommentSubject"/>
    <w:uiPriority w:val="99"/>
    <w:semiHidden/>
    <w:rsid w:val="00E81DC5"/>
    <w:rPr>
      <w:b/>
      <w:bCs/>
      <w:sz w:val="20"/>
      <w:szCs w:val="20"/>
    </w:rPr>
  </w:style>
  <w:style w:type="paragraph" w:styleId="FootnoteText">
    <w:name w:val="footnote text"/>
    <w:basedOn w:val="Normal"/>
    <w:link w:val="FootnoteTextChar"/>
    <w:uiPriority w:val="99"/>
    <w:semiHidden/>
    <w:unhideWhenUsed/>
    <w:rsid w:val="00D24D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4DDA"/>
    <w:rPr>
      <w:sz w:val="20"/>
      <w:szCs w:val="20"/>
    </w:rPr>
  </w:style>
  <w:style w:type="character" w:styleId="FootnoteReference">
    <w:name w:val="footnote reference"/>
    <w:basedOn w:val="DefaultParagraphFont"/>
    <w:uiPriority w:val="99"/>
    <w:semiHidden/>
    <w:unhideWhenUsed/>
    <w:rsid w:val="00D24DDA"/>
    <w:rPr>
      <w:vertAlign w:val="superscript"/>
    </w:rPr>
  </w:style>
  <w:style w:type="character" w:styleId="SubtleReference">
    <w:name w:val="Subtle Reference"/>
    <w:basedOn w:val="DefaultParagraphFont"/>
    <w:uiPriority w:val="31"/>
    <w:qFormat/>
    <w:rsid w:val="004032B6"/>
    <w:rPr>
      <w:smallCaps/>
      <w:color w:val="5A5A5A" w:themeColor="text1" w:themeTint="A5"/>
    </w:rPr>
  </w:style>
  <w:style w:type="paragraph" w:styleId="EndnoteText">
    <w:name w:val="endnote text"/>
    <w:basedOn w:val="Normal"/>
    <w:link w:val="EndnoteTextChar"/>
    <w:uiPriority w:val="99"/>
    <w:semiHidden/>
    <w:unhideWhenUsed/>
    <w:rsid w:val="008F155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F155A"/>
    <w:rPr>
      <w:sz w:val="20"/>
      <w:szCs w:val="20"/>
    </w:rPr>
  </w:style>
  <w:style w:type="character" w:styleId="EndnoteReference">
    <w:name w:val="endnote reference"/>
    <w:basedOn w:val="DefaultParagraphFont"/>
    <w:uiPriority w:val="99"/>
    <w:semiHidden/>
    <w:unhideWhenUsed/>
    <w:rsid w:val="008F155A"/>
    <w:rPr>
      <w:vertAlign w:val="superscript"/>
    </w:rPr>
  </w:style>
  <w:style w:type="paragraph" w:styleId="TOCHeading">
    <w:name w:val="TOC Heading"/>
    <w:basedOn w:val="Heading1"/>
    <w:next w:val="Normal"/>
    <w:uiPriority w:val="39"/>
    <w:unhideWhenUsed/>
    <w:qFormat/>
    <w:rsid w:val="002028E2"/>
    <w:pPr>
      <w:spacing w:before="240" w:after="0" w:line="259" w:lineRule="auto"/>
      <w:outlineLvl w:val="9"/>
    </w:pPr>
    <w:rPr>
      <w:kern w:val="0"/>
      <w:sz w:val="32"/>
      <w:szCs w:val="32"/>
      <w:lang w:val="en-US" w:eastAsia="en-US"/>
      <w14:ligatures w14:val="none"/>
    </w:rPr>
  </w:style>
  <w:style w:type="paragraph" w:styleId="TOC1">
    <w:name w:val="toc 1"/>
    <w:basedOn w:val="Normal"/>
    <w:next w:val="Normal"/>
    <w:autoRedefine/>
    <w:uiPriority w:val="39"/>
    <w:unhideWhenUsed/>
    <w:rsid w:val="002028E2"/>
    <w:pPr>
      <w:spacing w:after="100"/>
    </w:pPr>
  </w:style>
  <w:style w:type="paragraph" w:styleId="TOC2">
    <w:name w:val="toc 2"/>
    <w:basedOn w:val="Normal"/>
    <w:next w:val="Normal"/>
    <w:autoRedefine/>
    <w:uiPriority w:val="39"/>
    <w:unhideWhenUsed/>
    <w:rsid w:val="002028E2"/>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10187">
      <w:bodyDiv w:val="1"/>
      <w:marLeft w:val="0"/>
      <w:marRight w:val="0"/>
      <w:marTop w:val="0"/>
      <w:marBottom w:val="0"/>
      <w:divBdr>
        <w:top w:val="none" w:sz="0" w:space="0" w:color="auto"/>
        <w:left w:val="none" w:sz="0" w:space="0" w:color="auto"/>
        <w:bottom w:val="none" w:sz="0" w:space="0" w:color="auto"/>
        <w:right w:val="none" w:sz="0" w:space="0" w:color="auto"/>
      </w:divBdr>
    </w:div>
    <w:div w:id="48384238">
      <w:bodyDiv w:val="1"/>
      <w:marLeft w:val="0"/>
      <w:marRight w:val="0"/>
      <w:marTop w:val="0"/>
      <w:marBottom w:val="0"/>
      <w:divBdr>
        <w:top w:val="none" w:sz="0" w:space="0" w:color="auto"/>
        <w:left w:val="none" w:sz="0" w:space="0" w:color="auto"/>
        <w:bottom w:val="none" w:sz="0" w:space="0" w:color="auto"/>
        <w:right w:val="none" w:sz="0" w:space="0" w:color="auto"/>
      </w:divBdr>
    </w:div>
    <w:div w:id="59521488">
      <w:bodyDiv w:val="1"/>
      <w:marLeft w:val="0"/>
      <w:marRight w:val="0"/>
      <w:marTop w:val="0"/>
      <w:marBottom w:val="0"/>
      <w:divBdr>
        <w:top w:val="none" w:sz="0" w:space="0" w:color="auto"/>
        <w:left w:val="none" w:sz="0" w:space="0" w:color="auto"/>
        <w:bottom w:val="none" w:sz="0" w:space="0" w:color="auto"/>
        <w:right w:val="none" w:sz="0" w:space="0" w:color="auto"/>
      </w:divBdr>
    </w:div>
    <w:div w:id="61296510">
      <w:bodyDiv w:val="1"/>
      <w:marLeft w:val="0"/>
      <w:marRight w:val="0"/>
      <w:marTop w:val="0"/>
      <w:marBottom w:val="0"/>
      <w:divBdr>
        <w:top w:val="none" w:sz="0" w:space="0" w:color="auto"/>
        <w:left w:val="none" w:sz="0" w:space="0" w:color="auto"/>
        <w:bottom w:val="none" w:sz="0" w:space="0" w:color="auto"/>
        <w:right w:val="none" w:sz="0" w:space="0" w:color="auto"/>
      </w:divBdr>
    </w:div>
    <w:div w:id="117529842">
      <w:bodyDiv w:val="1"/>
      <w:marLeft w:val="0"/>
      <w:marRight w:val="0"/>
      <w:marTop w:val="0"/>
      <w:marBottom w:val="0"/>
      <w:divBdr>
        <w:top w:val="none" w:sz="0" w:space="0" w:color="auto"/>
        <w:left w:val="none" w:sz="0" w:space="0" w:color="auto"/>
        <w:bottom w:val="none" w:sz="0" w:space="0" w:color="auto"/>
        <w:right w:val="none" w:sz="0" w:space="0" w:color="auto"/>
      </w:divBdr>
    </w:div>
    <w:div w:id="122773623">
      <w:bodyDiv w:val="1"/>
      <w:marLeft w:val="0"/>
      <w:marRight w:val="0"/>
      <w:marTop w:val="0"/>
      <w:marBottom w:val="0"/>
      <w:divBdr>
        <w:top w:val="none" w:sz="0" w:space="0" w:color="auto"/>
        <w:left w:val="none" w:sz="0" w:space="0" w:color="auto"/>
        <w:bottom w:val="none" w:sz="0" w:space="0" w:color="auto"/>
        <w:right w:val="none" w:sz="0" w:space="0" w:color="auto"/>
      </w:divBdr>
    </w:div>
    <w:div w:id="139426563">
      <w:bodyDiv w:val="1"/>
      <w:marLeft w:val="0"/>
      <w:marRight w:val="0"/>
      <w:marTop w:val="0"/>
      <w:marBottom w:val="0"/>
      <w:divBdr>
        <w:top w:val="none" w:sz="0" w:space="0" w:color="auto"/>
        <w:left w:val="none" w:sz="0" w:space="0" w:color="auto"/>
        <w:bottom w:val="none" w:sz="0" w:space="0" w:color="auto"/>
        <w:right w:val="none" w:sz="0" w:space="0" w:color="auto"/>
      </w:divBdr>
    </w:div>
    <w:div w:id="145974117">
      <w:bodyDiv w:val="1"/>
      <w:marLeft w:val="0"/>
      <w:marRight w:val="0"/>
      <w:marTop w:val="0"/>
      <w:marBottom w:val="0"/>
      <w:divBdr>
        <w:top w:val="none" w:sz="0" w:space="0" w:color="auto"/>
        <w:left w:val="none" w:sz="0" w:space="0" w:color="auto"/>
        <w:bottom w:val="none" w:sz="0" w:space="0" w:color="auto"/>
        <w:right w:val="none" w:sz="0" w:space="0" w:color="auto"/>
      </w:divBdr>
    </w:div>
    <w:div w:id="168570709">
      <w:bodyDiv w:val="1"/>
      <w:marLeft w:val="0"/>
      <w:marRight w:val="0"/>
      <w:marTop w:val="0"/>
      <w:marBottom w:val="0"/>
      <w:divBdr>
        <w:top w:val="none" w:sz="0" w:space="0" w:color="auto"/>
        <w:left w:val="none" w:sz="0" w:space="0" w:color="auto"/>
        <w:bottom w:val="none" w:sz="0" w:space="0" w:color="auto"/>
        <w:right w:val="none" w:sz="0" w:space="0" w:color="auto"/>
      </w:divBdr>
    </w:div>
    <w:div w:id="174729874">
      <w:bodyDiv w:val="1"/>
      <w:marLeft w:val="0"/>
      <w:marRight w:val="0"/>
      <w:marTop w:val="0"/>
      <w:marBottom w:val="0"/>
      <w:divBdr>
        <w:top w:val="none" w:sz="0" w:space="0" w:color="auto"/>
        <w:left w:val="none" w:sz="0" w:space="0" w:color="auto"/>
        <w:bottom w:val="none" w:sz="0" w:space="0" w:color="auto"/>
        <w:right w:val="none" w:sz="0" w:space="0" w:color="auto"/>
      </w:divBdr>
    </w:div>
    <w:div w:id="191966679">
      <w:bodyDiv w:val="1"/>
      <w:marLeft w:val="0"/>
      <w:marRight w:val="0"/>
      <w:marTop w:val="0"/>
      <w:marBottom w:val="0"/>
      <w:divBdr>
        <w:top w:val="none" w:sz="0" w:space="0" w:color="auto"/>
        <w:left w:val="none" w:sz="0" w:space="0" w:color="auto"/>
        <w:bottom w:val="none" w:sz="0" w:space="0" w:color="auto"/>
        <w:right w:val="none" w:sz="0" w:space="0" w:color="auto"/>
      </w:divBdr>
    </w:div>
    <w:div w:id="219708644">
      <w:bodyDiv w:val="1"/>
      <w:marLeft w:val="0"/>
      <w:marRight w:val="0"/>
      <w:marTop w:val="0"/>
      <w:marBottom w:val="0"/>
      <w:divBdr>
        <w:top w:val="none" w:sz="0" w:space="0" w:color="auto"/>
        <w:left w:val="none" w:sz="0" w:space="0" w:color="auto"/>
        <w:bottom w:val="none" w:sz="0" w:space="0" w:color="auto"/>
        <w:right w:val="none" w:sz="0" w:space="0" w:color="auto"/>
      </w:divBdr>
    </w:div>
    <w:div w:id="267662679">
      <w:bodyDiv w:val="1"/>
      <w:marLeft w:val="0"/>
      <w:marRight w:val="0"/>
      <w:marTop w:val="0"/>
      <w:marBottom w:val="0"/>
      <w:divBdr>
        <w:top w:val="none" w:sz="0" w:space="0" w:color="auto"/>
        <w:left w:val="none" w:sz="0" w:space="0" w:color="auto"/>
        <w:bottom w:val="none" w:sz="0" w:space="0" w:color="auto"/>
        <w:right w:val="none" w:sz="0" w:space="0" w:color="auto"/>
      </w:divBdr>
    </w:div>
    <w:div w:id="275211279">
      <w:bodyDiv w:val="1"/>
      <w:marLeft w:val="0"/>
      <w:marRight w:val="0"/>
      <w:marTop w:val="0"/>
      <w:marBottom w:val="0"/>
      <w:divBdr>
        <w:top w:val="none" w:sz="0" w:space="0" w:color="auto"/>
        <w:left w:val="none" w:sz="0" w:space="0" w:color="auto"/>
        <w:bottom w:val="none" w:sz="0" w:space="0" w:color="auto"/>
        <w:right w:val="none" w:sz="0" w:space="0" w:color="auto"/>
      </w:divBdr>
    </w:div>
    <w:div w:id="295649593">
      <w:bodyDiv w:val="1"/>
      <w:marLeft w:val="0"/>
      <w:marRight w:val="0"/>
      <w:marTop w:val="0"/>
      <w:marBottom w:val="0"/>
      <w:divBdr>
        <w:top w:val="none" w:sz="0" w:space="0" w:color="auto"/>
        <w:left w:val="none" w:sz="0" w:space="0" w:color="auto"/>
        <w:bottom w:val="none" w:sz="0" w:space="0" w:color="auto"/>
        <w:right w:val="none" w:sz="0" w:space="0" w:color="auto"/>
      </w:divBdr>
    </w:div>
    <w:div w:id="314577859">
      <w:bodyDiv w:val="1"/>
      <w:marLeft w:val="0"/>
      <w:marRight w:val="0"/>
      <w:marTop w:val="0"/>
      <w:marBottom w:val="0"/>
      <w:divBdr>
        <w:top w:val="none" w:sz="0" w:space="0" w:color="auto"/>
        <w:left w:val="none" w:sz="0" w:space="0" w:color="auto"/>
        <w:bottom w:val="none" w:sz="0" w:space="0" w:color="auto"/>
        <w:right w:val="none" w:sz="0" w:space="0" w:color="auto"/>
      </w:divBdr>
    </w:div>
    <w:div w:id="344018039">
      <w:bodyDiv w:val="1"/>
      <w:marLeft w:val="0"/>
      <w:marRight w:val="0"/>
      <w:marTop w:val="0"/>
      <w:marBottom w:val="0"/>
      <w:divBdr>
        <w:top w:val="none" w:sz="0" w:space="0" w:color="auto"/>
        <w:left w:val="none" w:sz="0" w:space="0" w:color="auto"/>
        <w:bottom w:val="none" w:sz="0" w:space="0" w:color="auto"/>
        <w:right w:val="none" w:sz="0" w:space="0" w:color="auto"/>
      </w:divBdr>
    </w:div>
    <w:div w:id="362021800">
      <w:bodyDiv w:val="1"/>
      <w:marLeft w:val="0"/>
      <w:marRight w:val="0"/>
      <w:marTop w:val="0"/>
      <w:marBottom w:val="0"/>
      <w:divBdr>
        <w:top w:val="none" w:sz="0" w:space="0" w:color="auto"/>
        <w:left w:val="none" w:sz="0" w:space="0" w:color="auto"/>
        <w:bottom w:val="none" w:sz="0" w:space="0" w:color="auto"/>
        <w:right w:val="none" w:sz="0" w:space="0" w:color="auto"/>
      </w:divBdr>
    </w:div>
    <w:div w:id="386613092">
      <w:bodyDiv w:val="1"/>
      <w:marLeft w:val="0"/>
      <w:marRight w:val="0"/>
      <w:marTop w:val="0"/>
      <w:marBottom w:val="0"/>
      <w:divBdr>
        <w:top w:val="none" w:sz="0" w:space="0" w:color="auto"/>
        <w:left w:val="none" w:sz="0" w:space="0" w:color="auto"/>
        <w:bottom w:val="none" w:sz="0" w:space="0" w:color="auto"/>
        <w:right w:val="none" w:sz="0" w:space="0" w:color="auto"/>
      </w:divBdr>
    </w:div>
    <w:div w:id="443421880">
      <w:bodyDiv w:val="1"/>
      <w:marLeft w:val="0"/>
      <w:marRight w:val="0"/>
      <w:marTop w:val="0"/>
      <w:marBottom w:val="0"/>
      <w:divBdr>
        <w:top w:val="none" w:sz="0" w:space="0" w:color="auto"/>
        <w:left w:val="none" w:sz="0" w:space="0" w:color="auto"/>
        <w:bottom w:val="none" w:sz="0" w:space="0" w:color="auto"/>
        <w:right w:val="none" w:sz="0" w:space="0" w:color="auto"/>
      </w:divBdr>
    </w:div>
    <w:div w:id="511146211">
      <w:bodyDiv w:val="1"/>
      <w:marLeft w:val="0"/>
      <w:marRight w:val="0"/>
      <w:marTop w:val="0"/>
      <w:marBottom w:val="0"/>
      <w:divBdr>
        <w:top w:val="none" w:sz="0" w:space="0" w:color="auto"/>
        <w:left w:val="none" w:sz="0" w:space="0" w:color="auto"/>
        <w:bottom w:val="none" w:sz="0" w:space="0" w:color="auto"/>
        <w:right w:val="none" w:sz="0" w:space="0" w:color="auto"/>
      </w:divBdr>
    </w:div>
    <w:div w:id="528420110">
      <w:bodyDiv w:val="1"/>
      <w:marLeft w:val="0"/>
      <w:marRight w:val="0"/>
      <w:marTop w:val="0"/>
      <w:marBottom w:val="0"/>
      <w:divBdr>
        <w:top w:val="none" w:sz="0" w:space="0" w:color="auto"/>
        <w:left w:val="none" w:sz="0" w:space="0" w:color="auto"/>
        <w:bottom w:val="none" w:sz="0" w:space="0" w:color="auto"/>
        <w:right w:val="none" w:sz="0" w:space="0" w:color="auto"/>
      </w:divBdr>
      <w:divsChild>
        <w:div w:id="1373846100">
          <w:marLeft w:val="0"/>
          <w:marRight w:val="0"/>
          <w:marTop w:val="0"/>
          <w:marBottom w:val="0"/>
          <w:divBdr>
            <w:top w:val="none" w:sz="0" w:space="0" w:color="auto"/>
            <w:left w:val="none" w:sz="0" w:space="0" w:color="auto"/>
            <w:bottom w:val="none" w:sz="0" w:space="0" w:color="auto"/>
            <w:right w:val="none" w:sz="0" w:space="0" w:color="auto"/>
          </w:divBdr>
        </w:div>
        <w:div w:id="1041592975">
          <w:marLeft w:val="0"/>
          <w:marRight w:val="0"/>
          <w:marTop w:val="0"/>
          <w:marBottom w:val="0"/>
          <w:divBdr>
            <w:top w:val="none" w:sz="0" w:space="0" w:color="auto"/>
            <w:left w:val="none" w:sz="0" w:space="0" w:color="auto"/>
            <w:bottom w:val="none" w:sz="0" w:space="0" w:color="auto"/>
            <w:right w:val="none" w:sz="0" w:space="0" w:color="auto"/>
          </w:divBdr>
          <w:divsChild>
            <w:div w:id="1806894879">
              <w:marLeft w:val="0"/>
              <w:marRight w:val="0"/>
              <w:marTop w:val="0"/>
              <w:marBottom w:val="0"/>
              <w:divBdr>
                <w:top w:val="none" w:sz="0" w:space="0" w:color="auto"/>
                <w:left w:val="none" w:sz="0" w:space="0" w:color="auto"/>
                <w:bottom w:val="none" w:sz="0" w:space="0" w:color="auto"/>
                <w:right w:val="none" w:sz="0" w:space="0" w:color="auto"/>
              </w:divBdr>
              <w:divsChild>
                <w:div w:id="2052684871">
                  <w:marLeft w:val="0"/>
                  <w:marRight w:val="0"/>
                  <w:marTop w:val="0"/>
                  <w:marBottom w:val="0"/>
                  <w:divBdr>
                    <w:top w:val="none" w:sz="0" w:space="0" w:color="auto"/>
                    <w:left w:val="none" w:sz="0" w:space="0" w:color="auto"/>
                    <w:bottom w:val="none" w:sz="0" w:space="0" w:color="auto"/>
                    <w:right w:val="none" w:sz="0" w:space="0" w:color="auto"/>
                  </w:divBdr>
                  <w:divsChild>
                    <w:div w:id="125593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20443">
          <w:marLeft w:val="0"/>
          <w:marRight w:val="0"/>
          <w:marTop w:val="0"/>
          <w:marBottom w:val="0"/>
          <w:divBdr>
            <w:top w:val="none" w:sz="0" w:space="0" w:color="auto"/>
            <w:left w:val="none" w:sz="0" w:space="0" w:color="auto"/>
            <w:bottom w:val="none" w:sz="0" w:space="0" w:color="auto"/>
            <w:right w:val="none" w:sz="0" w:space="0" w:color="auto"/>
          </w:divBdr>
          <w:divsChild>
            <w:div w:id="15827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20304">
      <w:bodyDiv w:val="1"/>
      <w:marLeft w:val="0"/>
      <w:marRight w:val="0"/>
      <w:marTop w:val="0"/>
      <w:marBottom w:val="0"/>
      <w:divBdr>
        <w:top w:val="none" w:sz="0" w:space="0" w:color="auto"/>
        <w:left w:val="none" w:sz="0" w:space="0" w:color="auto"/>
        <w:bottom w:val="none" w:sz="0" w:space="0" w:color="auto"/>
        <w:right w:val="none" w:sz="0" w:space="0" w:color="auto"/>
      </w:divBdr>
    </w:div>
    <w:div w:id="593782746">
      <w:bodyDiv w:val="1"/>
      <w:marLeft w:val="0"/>
      <w:marRight w:val="0"/>
      <w:marTop w:val="0"/>
      <w:marBottom w:val="0"/>
      <w:divBdr>
        <w:top w:val="none" w:sz="0" w:space="0" w:color="auto"/>
        <w:left w:val="none" w:sz="0" w:space="0" w:color="auto"/>
        <w:bottom w:val="none" w:sz="0" w:space="0" w:color="auto"/>
        <w:right w:val="none" w:sz="0" w:space="0" w:color="auto"/>
      </w:divBdr>
    </w:div>
    <w:div w:id="605625279">
      <w:bodyDiv w:val="1"/>
      <w:marLeft w:val="0"/>
      <w:marRight w:val="0"/>
      <w:marTop w:val="0"/>
      <w:marBottom w:val="0"/>
      <w:divBdr>
        <w:top w:val="none" w:sz="0" w:space="0" w:color="auto"/>
        <w:left w:val="none" w:sz="0" w:space="0" w:color="auto"/>
        <w:bottom w:val="none" w:sz="0" w:space="0" w:color="auto"/>
        <w:right w:val="none" w:sz="0" w:space="0" w:color="auto"/>
      </w:divBdr>
    </w:div>
    <w:div w:id="646323289">
      <w:bodyDiv w:val="1"/>
      <w:marLeft w:val="0"/>
      <w:marRight w:val="0"/>
      <w:marTop w:val="0"/>
      <w:marBottom w:val="0"/>
      <w:divBdr>
        <w:top w:val="none" w:sz="0" w:space="0" w:color="auto"/>
        <w:left w:val="none" w:sz="0" w:space="0" w:color="auto"/>
        <w:bottom w:val="none" w:sz="0" w:space="0" w:color="auto"/>
        <w:right w:val="none" w:sz="0" w:space="0" w:color="auto"/>
      </w:divBdr>
    </w:div>
    <w:div w:id="653683865">
      <w:bodyDiv w:val="1"/>
      <w:marLeft w:val="0"/>
      <w:marRight w:val="0"/>
      <w:marTop w:val="0"/>
      <w:marBottom w:val="0"/>
      <w:divBdr>
        <w:top w:val="none" w:sz="0" w:space="0" w:color="auto"/>
        <w:left w:val="none" w:sz="0" w:space="0" w:color="auto"/>
        <w:bottom w:val="none" w:sz="0" w:space="0" w:color="auto"/>
        <w:right w:val="none" w:sz="0" w:space="0" w:color="auto"/>
      </w:divBdr>
    </w:div>
    <w:div w:id="689843126">
      <w:bodyDiv w:val="1"/>
      <w:marLeft w:val="0"/>
      <w:marRight w:val="0"/>
      <w:marTop w:val="0"/>
      <w:marBottom w:val="0"/>
      <w:divBdr>
        <w:top w:val="none" w:sz="0" w:space="0" w:color="auto"/>
        <w:left w:val="none" w:sz="0" w:space="0" w:color="auto"/>
        <w:bottom w:val="none" w:sz="0" w:space="0" w:color="auto"/>
        <w:right w:val="none" w:sz="0" w:space="0" w:color="auto"/>
      </w:divBdr>
    </w:div>
    <w:div w:id="696931511">
      <w:bodyDiv w:val="1"/>
      <w:marLeft w:val="0"/>
      <w:marRight w:val="0"/>
      <w:marTop w:val="0"/>
      <w:marBottom w:val="0"/>
      <w:divBdr>
        <w:top w:val="none" w:sz="0" w:space="0" w:color="auto"/>
        <w:left w:val="none" w:sz="0" w:space="0" w:color="auto"/>
        <w:bottom w:val="none" w:sz="0" w:space="0" w:color="auto"/>
        <w:right w:val="none" w:sz="0" w:space="0" w:color="auto"/>
      </w:divBdr>
    </w:div>
    <w:div w:id="700210200">
      <w:bodyDiv w:val="1"/>
      <w:marLeft w:val="0"/>
      <w:marRight w:val="0"/>
      <w:marTop w:val="0"/>
      <w:marBottom w:val="0"/>
      <w:divBdr>
        <w:top w:val="none" w:sz="0" w:space="0" w:color="auto"/>
        <w:left w:val="none" w:sz="0" w:space="0" w:color="auto"/>
        <w:bottom w:val="none" w:sz="0" w:space="0" w:color="auto"/>
        <w:right w:val="none" w:sz="0" w:space="0" w:color="auto"/>
      </w:divBdr>
    </w:div>
    <w:div w:id="770206692">
      <w:bodyDiv w:val="1"/>
      <w:marLeft w:val="0"/>
      <w:marRight w:val="0"/>
      <w:marTop w:val="0"/>
      <w:marBottom w:val="0"/>
      <w:divBdr>
        <w:top w:val="none" w:sz="0" w:space="0" w:color="auto"/>
        <w:left w:val="none" w:sz="0" w:space="0" w:color="auto"/>
        <w:bottom w:val="none" w:sz="0" w:space="0" w:color="auto"/>
        <w:right w:val="none" w:sz="0" w:space="0" w:color="auto"/>
      </w:divBdr>
      <w:divsChild>
        <w:div w:id="1771047623">
          <w:blockQuote w:val="1"/>
          <w:marLeft w:val="720"/>
          <w:marRight w:val="720"/>
          <w:marTop w:val="100"/>
          <w:marBottom w:val="100"/>
          <w:divBdr>
            <w:top w:val="none" w:sz="0" w:space="0" w:color="auto"/>
            <w:left w:val="none" w:sz="0" w:space="0" w:color="auto"/>
            <w:bottom w:val="none" w:sz="0" w:space="0" w:color="auto"/>
            <w:right w:val="none" w:sz="0" w:space="0" w:color="auto"/>
          </w:divBdr>
        </w:div>
        <w:div w:id="2468114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5947946">
      <w:bodyDiv w:val="1"/>
      <w:marLeft w:val="0"/>
      <w:marRight w:val="0"/>
      <w:marTop w:val="0"/>
      <w:marBottom w:val="0"/>
      <w:divBdr>
        <w:top w:val="none" w:sz="0" w:space="0" w:color="auto"/>
        <w:left w:val="none" w:sz="0" w:space="0" w:color="auto"/>
        <w:bottom w:val="none" w:sz="0" w:space="0" w:color="auto"/>
        <w:right w:val="none" w:sz="0" w:space="0" w:color="auto"/>
      </w:divBdr>
      <w:divsChild>
        <w:div w:id="801197688">
          <w:marLeft w:val="0"/>
          <w:marRight w:val="0"/>
          <w:marTop w:val="0"/>
          <w:marBottom w:val="0"/>
          <w:divBdr>
            <w:top w:val="none" w:sz="0" w:space="0" w:color="auto"/>
            <w:left w:val="none" w:sz="0" w:space="0" w:color="auto"/>
            <w:bottom w:val="none" w:sz="0" w:space="0" w:color="auto"/>
            <w:right w:val="none" w:sz="0" w:space="0" w:color="auto"/>
          </w:divBdr>
        </w:div>
        <w:div w:id="1613433356">
          <w:marLeft w:val="0"/>
          <w:marRight w:val="0"/>
          <w:marTop w:val="0"/>
          <w:marBottom w:val="0"/>
          <w:divBdr>
            <w:top w:val="none" w:sz="0" w:space="0" w:color="auto"/>
            <w:left w:val="none" w:sz="0" w:space="0" w:color="auto"/>
            <w:bottom w:val="none" w:sz="0" w:space="0" w:color="auto"/>
            <w:right w:val="none" w:sz="0" w:space="0" w:color="auto"/>
          </w:divBdr>
          <w:divsChild>
            <w:div w:id="1581674526">
              <w:marLeft w:val="0"/>
              <w:marRight w:val="0"/>
              <w:marTop w:val="0"/>
              <w:marBottom w:val="0"/>
              <w:divBdr>
                <w:top w:val="none" w:sz="0" w:space="0" w:color="auto"/>
                <w:left w:val="none" w:sz="0" w:space="0" w:color="auto"/>
                <w:bottom w:val="none" w:sz="0" w:space="0" w:color="auto"/>
                <w:right w:val="none" w:sz="0" w:space="0" w:color="auto"/>
              </w:divBdr>
              <w:divsChild>
                <w:div w:id="662439475">
                  <w:marLeft w:val="0"/>
                  <w:marRight w:val="0"/>
                  <w:marTop w:val="0"/>
                  <w:marBottom w:val="0"/>
                  <w:divBdr>
                    <w:top w:val="none" w:sz="0" w:space="0" w:color="auto"/>
                    <w:left w:val="none" w:sz="0" w:space="0" w:color="auto"/>
                    <w:bottom w:val="none" w:sz="0" w:space="0" w:color="auto"/>
                    <w:right w:val="none" w:sz="0" w:space="0" w:color="auto"/>
                  </w:divBdr>
                  <w:divsChild>
                    <w:div w:id="179005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810154">
          <w:marLeft w:val="0"/>
          <w:marRight w:val="0"/>
          <w:marTop w:val="0"/>
          <w:marBottom w:val="0"/>
          <w:divBdr>
            <w:top w:val="none" w:sz="0" w:space="0" w:color="auto"/>
            <w:left w:val="none" w:sz="0" w:space="0" w:color="auto"/>
            <w:bottom w:val="none" w:sz="0" w:space="0" w:color="auto"/>
            <w:right w:val="none" w:sz="0" w:space="0" w:color="auto"/>
          </w:divBdr>
          <w:divsChild>
            <w:div w:id="187426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464346">
      <w:bodyDiv w:val="1"/>
      <w:marLeft w:val="0"/>
      <w:marRight w:val="0"/>
      <w:marTop w:val="0"/>
      <w:marBottom w:val="0"/>
      <w:divBdr>
        <w:top w:val="none" w:sz="0" w:space="0" w:color="auto"/>
        <w:left w:val="none" w:sz="0" w:space="0" w:color="auto"/>
        <w:bottom w:val="none" w:sz="0" w:space="0" w:color="auto"/>
        <w:right w:val="none" w:sz="0" w:space="0" w:color="auto"/>
      </w:divBdr>
    </w:div>
    <w:div w:id="812601812">
      <w:bodyDiv w:val="1"/>
      <w:marLeft w:val="0"/>
      <w:marRight w:val="0"/>
      <w:marTop w:val="0"/>
      <w:marBottom w:val="0"/>
      <w:divBdr>
        <w:top w:val="none" w:sz="0" w:space="0" w:color="auto"/>
        <w:left w:val="none" w:sz="0" w:space="0" w:color="auto"/>
        <w:bottom w:val="none" w:sz="0" w:space="0" w:color="auto"/>
        <w:right w:val="none" w:sz="0" w:space="0" w:color="auto"/>
      </w:divBdr>
    </w:div>
    <w:div w:id="846288368">
      <w:bodyDiv w:val="1"/>
      <w:marLeft w:val="0"/>
      <w:marRight w:val="0"/>
      <w:marTop w:val="0"/>
      <w:marBottom w:val="0"/>
      <w:divBdr>
        <w:top w:val="none" w:sz="0" w:space="0" w:color="auto"/>
        <w:left w:val="none" w:sz="0" w:space="0" w:color="auto"/>
        <w:bottom w:val="none" w:sz="0" w:space="0" w:color="auto"/>
        <w:right w:val="none" w:sz="0" w:space="0" w:color="auto"/>
      </w:divBdr>
    </w:div>
    <w:div w:id="876897535">
      <w:bodyDiv w:val="1"/>
      <w:marLeft w:val="0"/>
      <w:marRight w:val="0"/>
      <w:marTop w:val="0"/>
      <w:marBottom w:val="0"/>
      <w:divBdr>
        <w:top w:val="none" w:sz="0" w:space="0" w:color="auto"/>
        <w:left w:val="none" w:sz="0" w:space="0" w:color="auto"/>
        <w:bottom w:val="none" w:sz="0" w:space="0" w:color="auto"/>
        <w:right w:val="none" w:sz="0" w:space="0" w:color="auto"/>
      </w:divBdr>
    </w:div>
    <w:div w:id="891313334">
      <w:bodyDiv w:val="1"/>
      <w:marLeft w:val="0"/>
      <w:marRight w:val="0"/>
      <w:marTop w:val="0"/>
      <w:marBottom w:val="0"/>
      <w:divBdr>
        <w:top w:val="none" w:sz="0" w:space="0" w:color="auto"/>
        <w:left w:val="none" w:sz="0" w:space="0" w:color="auto"/>
        <w:bottom w:val="none" w:sz="0" w:space="0" w:color="auto"/>
        <w:right w:val="none" w:sz="0" w:space="0" w:color="auto"/>
      </w:divBdr>
    </w:div>
    <w:div w:id="906964401">
      <w:bodyDiv w:val="1"/>
      <w:marLeft w:val="0"/>
      <w:marRight w:val="0"/>
      <w:marTop w:val="0"/>
      <w:marBottom w:val="0"/>
      <w:divBdr>
        <w:top w:val="none" w:sz="0" w:space="0" w:color="auto"/>
        <w:left w:val="none" w:sz="0" w:space="0" w:color="auto"/>
        <w:bottom w:val="none" w:sz="0" w:space="0" w:color="auto"/>
        <w:right w:val="none" w:sz="0" w:space="0" w:color="auto"/>
      </w:divBdr>
    </w:div>
    <w:div w:id="954363348">
      <w:bodyDiv w:val="1"/>
      <w:marLeft w:val="0"/>
      <w:marRight w:val="0"/>
      <w:marTop w:val="0"/>
      <w:marBottom w:val="0"/>
      <w:divBdr>
        <w:top w:val="none" w:sz="0" w:space="0" w:color="auto"/>
        <w:left w:val="none" w:sz="0" w:space="0" w:color="auto"/>
        <w:bottom w:val="none" w:sz="0" w:space="0" w:color="auto"/>
        <w:right w:val="none" w:sz="0" w:space="0" w:color="auto"/>
      </w:divBdr>
    </w:div>
    <w:div w:id="1045639506">
      <w:bodyDiv w:val="1"/>
      <w:marLeft w:val="0"/>
      <w:marRight w:val="0"/>
      <w:marTop w:val="0"/>
      <w:marBottom w:val="0"/>
      <w:divBdr>
        <w:top w:val="none" w:sz="0" w:space="0" w:color="auto"/>
        <w:left w:val="none" w:sz="0" w:space="0" w:color="auto"/>
        <w:bottom w:val="none" w:sz="0" w:space="0" w:color="auto"/>
        <w:right w:val="none" w:sz="0" w:space="0" w:color="auto"/>
      </w:divBdr>
    </w:div>
    <w:div w:id="1102185394">
      <w:bodyDiv w:val="1"/>
      <w:marLeft w:val="0"/>
      <w:marRight w:val="0"/>
      <w:marTop w:val="0"/>
      <w:marBottom w:val="0"/>
      <w:divBdr>
        <w:top w:val="none" w:sz="0" w:space="0" w:color="auto"/>
        <w:left w:val="none" w:sz="0" w:space="0" w:color="auto"/>
        <w:bottom w:val="none" w:sz="0" w:space="0" w:color="auto"/>
        <w:right w:val="none" w:sz="0" w:space="0" w:color="auto"/>
      </w:divBdr>
    </w:div>
    <w:div w:id="1115060549">
      <w:bodyDiv w:val="1"/>
      <w:marLeft w:val="0"/>
      <w:marRight w:val="0"/>
      <w:marTop w:val="0"/>
      <w:marBottom w:val="0"/>
      <w:divBdr>
        <w:top w:val="none" w:sz="0" w:space="0" w:color="auto"/>
        <w:left w:val="none" w:sz="0" w:space="0" w:color="auto"/>
        <w:bottom w:val="none" w:sz="0" w:space="0" w:color="auto"/>
        <w:right w:val="none" w:sz="0" w:space="0" w:color="auto"/>
      </w:divBdr>
    </w:div>
    <w:div w:id="1138761043">
      <w:bodyDiv w:val="1"/>
      <w:marLeft w:val="0"/>
      <w:marRight w:val="0"/>
      <w:marTop w:val="0"/>
      <w:marBottom w:val="0"/>
      <w:divBdr>
        <w:top w:val="none" w:sz="0" w:space="0" w:color="auto"/>
        <w:left w:val="none" w:sz="0" w:space="0" w:color="auto"/>
        <w:bottom w:val="none" w:sz="0" w:space="0" w:color="auto"/>
        <w:right w:val="none" w:sz="0" w:space="0" w:color="auto"/>
      </w:divBdr>
    </w:div>
    <w:div w:id="1252157040">
      <w:bodyDiv w:val="1"/>
      <w:marLeft w:val="0"/>
      <w:marRight w:val="0"/>
      <w:marTop w:val="0"/>
      <w:marBottom w:val="0"/>
      <w:divBdr>
        <w:top w:val="none" w:sz="0" w:space="0" w:color="auto"/>
        <w:left w:val="none" w:sz="0" w:space="0" w:color="auto"/>
        <w:bottom w:val="none" w:sz="0" w:space="0" w:color="auto"/>
        <w:right w:val="none" w:sz="0" w:space="0" w:color="auto"/>
      </w:divBdr>
      <w:divsChild>
        <w:div w:id="1139494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994948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1449573">
      <w:bodyDiv w:val="1"/>
      <w:marLeft w:val="0"/>
      <w:marRight w:val="0"/>
      <w:marTop w:val="0"/>
      <w:marBottom w:val="0"/>
      <w:divBdr>
        <w:top w:val="none" w:sz="0" w:space="0" w:color="auto"/>
        <w:left w:val="none" w:sz="0" w:space="0" w:color="auto"/>
        <w:bottom w:val="none" w:sz="0" w:space="0" w:color="auto"/>
        <w:right w:val="none" w:sz="0" w:space="0" w:color="auto"/>
      </w:divBdr>
    </w:div>
    <w:div w:id="1262684243">
      <w:bodyDiv w:val="1"/>
      <w:marLeft w:val="0"/>
      <w:marRight w:val="0"/>
      <w:marTop w:val="0"/>
      <w:marBottom w:val="0"/>
      <w:divBdr>
        <w:top w:val="none" w:sz="0" w:space="0" w:color="auto"/>
        <w:left w:val="none" w:sz="0" w:space="0" w:color="auto"/>
        <w:bottom w:val="none" w:sz="0" w:space="0" w:color="auto"/>
        <w:right w:val="none" w:sz="0" w:space="0" w:color="auto"/>
      </w:divBdr>
    </w:div>
    <w:div w:id="1267619933">
      <w:bodyDiv w:val="1"/>
      <w:marLeft w:val="0"/>
      <w:marRight w:val="0"/>
      <w:marTop w:val="0"/>
      <w:marBottom w:val="0"/>
      <w:divBdr>
        <w:top w:val="none" w:sz="0" w:space="0" w:color="auto"/>
        <w:left w:val="none" w:sz="0" w:space="0" w:color="auto"/>
        <w:bottom w:val="none" w:sz="0" w:space="0" w:color="auto"/>
        <w:right w:val="none" w:sz="0" w:space="0" w:color="auto"/>
      </w:divBdr>
    </w:div>
    <w:div w:id="1304264473">
      <w:bodyDiv w:val="1"/>
      <w:marLeft w:val="0"/>
      <w:marRight w:val="0"/>
      <w:marTop w:val="0"/>
      <w:marBottom w:val="0"/>
      <w:divBdr>
        <w:top w:val="none" w:sz="0" w:space="0" w:color="auto"/>
        <w:left w:val="none" w:sz="0" w:space="0" w:color="auto"/>
        <w:bottom w:val="none" w:sz="0" w:space="0" w:color="auto"/>
        <w:right w:val="none" w:sz="0" w:space="0" w:color="auto"/>
      </w:divBdr>
    </w:div>
    <w:div w:id="1322999045">
      <w:bodyDiv w:val="1"/>
      <w:marLeft w:val="0"/>
      <w:marRight w:val="0"/>
      <w:marTop w:val="0"/>
      <w:marBottom w:val="0"/>
      <w:divBdr>
        <w:top w:val="none" w:sz="0" w:space="0" w:color="auto"/>
        <w:left w:val="none" w:sz="0" w:space="0" w:color="auto"/>
        <w:bottom w:val="none" w:sz="0" w:space="0" w:color="auto"/>
        <w:right w:val="none" w:sz="0" w:space="0" w:color="auto"/>
      </w:divBdr>
    </w:div>
    <w:div w:id="1334066402">
      <w:bodyDiv w:val="1"/>
      <w:marLeft w:val="0"/>
      <w:marRight w:val="0"/>
      <w:marTop w:val="0"/>
      <w:marBottom w:val="0"/>
      <w:divBdr>
        <w:top w:val="none" w:sz="0" w:space="0" w:color="auto"/>
        <w:left w:val="none" w:sz="0" w:space="0" w:color="auto"/>
        <w:bottom w:val="none" w:sz="0" w:space="0" w:color="auto"/>
        <w:right w:val="none" w:sz="0" w:space="0" w:color="auto"/>
      </w:divBdr>
    </w:div>
    <w:div w:id="1354576958">
      <w:bodyDiv w:val="1"/>
      <w:marLeft w:val="0"/>
      <w:marRight w:val="0"/>
      <w:marTop w:val="0"/>
      <w:marBottom w:val="0"/>
      <w:divBdr>
        <w:top w:val="none" w:sz="0" w:space="0" w:color="auto"/>
        <w:left w:val="none" w:sz="0" w:space="0" w:color="auto"/>
        <w:bottom w:val="none" w:sz="0" w:space="0" w:color="auto"/>
        <w:right w:val="none" w:sz="0" w:space="0" w:color="auto"/>
      </w:divBdr>
    </w:div>
    <w:div w:id="1358580378">
      <w:bodyDiv w:val="1"/>
      <w:marLeft w:val="0"/>
      <w:marRight w:val="0"/>
      <w:marTop w:val="0"/>
      <w:marBottom w:val="0"/>
      <w:divBdr>
        <w:top w:val="none" w:sz="0" w:space="0" w:color="auto"/>
        <w:left w:val="none" w:sz="0" w:space="0" w:color="auto"/>
        <w:bottom w:val="none" w:sz="0" w:space="0" w:color="auto"/>
        <w:right w:val="none" w:sz="0" w:space="0" w:color="auto"/>
      </w:divBdr>
    </w:div>
    <w:div w:id="1380974768">
      <w:bodyDiv w:val="1"/>
      <w:marLeft w:val="0"/>
      <w:marRight w:val="0"/>
      <w:marTop w:val="0"/>
      <w:marBottom w:val="0"/>
      <w:divBdr>
        <w:top w:val="none" w:sz="0" w:space="0" w:color="auto"/>
        <w:left w:val="none" w:sz="0" w:space="0" w:color="auto"/>
        <w:bottom w:val="none" w:sz="0" w:space="0" w:color="auto"/>
        <w:right w:val="none" w:sz="0" w:space="0" w:color="auto"/>
      </w:divBdr>
    </w:div>
    <w:div w:id="1393306799">
      <w:bodyDiv w:val="1"/>
      <w:marLeft w:val="0"/>
      <w:marRight w:val="0"/>
      <w:marTop w:val="0"/>
      <w:marBottom w:val="0"/>
      <w:divBdr>
        <w:top w:val="none" w:sz="0" w:space="0" w:color="auto"/>
        <w:left w:val="none" w:sz="0" w:space="0" w:color="auto"/>
        <w:bottom w:val="none" w:sz="0" w:space="0" w:color="auto"/>
        <w:right w:val="none" w:sz="0" w:space="0" w:color="auto"/>
      </w:divBdr>
    </w:div>
    <w:div w:id="1441559695">
      <w:bodyDiv w:val="1"/>
      <w:marLeft w:val="0"/>
      <w:marRight w:val="0"/>
      <w:marTop w:val="0"/>
      <w:marBottom w:val="0"/>
      <w:divBdr>
        <w:top w:val="none" w:sz="0" w:space="0" w:color="auto"/>
        <w:left w:val="none" w:sz="0" w:space="0" w:color="auto"/>
        <w:bottom w:val="none" w:sz="0" w:space="0" w:color="auto"/>
        <w:right w:val="none" w:sz="0" w:space="0" w:color="auto"/>
      </w:divBdr>
    </w:div>
    <w:div w:id="1494830798">
      <w:bodyDiv w:val="1"/>
      <w:marLeft w:val="0"/>
      <w:marRight w:val="0"/>
      <w:marTop w:val="0"/>
      <w:marBottom w:val="0"/>
      <w:divBdr>
        <w:top w:val="none" w:sz="0" w:space="0" w:color="auto"/>
        <w:left w:val="none" w:sz="0" w:space="0" w:color="auto"/>
        <w:bottom w:val="none" w:sz="0" w:space="0" w:color="auto"/>
        <w:right w:val="none" w:sz="0" w:space="0" w:color="auto"/>
      </w:divBdr>
    </w:div>
    <w:div w:id="1507861325">
      <w:bodyDiv w:val="1"/>
      <w:marLeft w:val="0"/>
      <w:marRight w:val="0"/>
      <w:marTop w:val="0"/>
      <w:marBottom w:val="0"/>
      <w:divBdr>
        <w:top w:val="none" w:sz="0" w:space="0" w:color="auto"/>
        <w:left w:val="none" w:sz="0" w:space="0" w:color="auto"/>
        <w:bottom w:val="none" w:sz="0" w:space="0" w:color="auto"/>
        <w:right w:val="none" w:sz="0" w:space="0" w:color="auto"/>
      </w:divBdr>
    </w:div>
    <w:div w:id="1520004575">
      <w:bodyDiv w:val="1"/>
      <w:marLeft w:val="0"/>
      <w:marRight w:val="0"/>
      <w:marTop w:val="0"/>
      <w:marBottom w:val="0"/>
      <w:divBdr>
        <w:top w:val="none" w:sz="0" w:space="0" w:color="auto"/>
        <w:left w:val="none" w:sz="0" w:space="0" w:color="auto"/>
        <w:bottom w:val="none" w:sz="0" w:space="0" w:color="auto"/>
        <w:right w:val="none" w:sz="0" w:space="0" w:color="auto"/>
      </w:divBdr>
    </w:div>
    <w:div w:id="1562785892">
      <w:bodyDiv w:val="1"/>
      <w:marLeft w:val="0"/>
      <w:marRight w:val="0"/>
      <w:marTop w:val="0"/>
      <w:marBottom w:val="0"/>
      <w:divBdr>
        <w:top w:val="none" w:sz="0" w:space="0" w:color="auto"/>
        <w:left w:val="none" w:sz="0" w:space="0" w:color="auto"/>
        <w:bottom w:val="none" w:sz="0" w:space="0" w:color="auto"/>
        <w:right w:val="none" w:sz="0" w:space="0" w:color="auto"/>
      </w:divBdr>
    </w:div>
    <w:div w:id="1586380185">
      <w:bodyDiv w:val="1"/>
      <w:marLeft w:val="0"/>
      <w:marRight w:val="0"/>
      <w:marTop w:val="0"/>
      <w:marBottom w:val="0"/>
      <w:divBdr>
        <w:top w:val="none" w:sz="0" w:space="0" w:color="auto"/>
        <w:left w:val="none" w:sz="0" w:space="0" w:color="auto"/>
        <w:bottom w:val="none" w:sz="0" w:space="0" w:color="auto"/>
        <w:right w:val="none" w:sz="0" w:space="0" w:color="auto"/>
      </w:divBdr>
    </w:div>
    <w:div w:id="1611549950">
      <w:bodyDiv w:val="1"/>
      <w:marLeft w:val="0"/>
      <w:marRight w:val="0"/>
      <w:marTop w:val="0"/>
      <w:marBottom w:val="0"/>
      <w:divBdr>
        <w:top w:val="none" w:sz="0" w:space="0" w:color="auto"/>
        <w:left w:val="none" w:sz="0" w:space="0" w:color="auto"/>
        <w:bottom w:val="none" w:sz="0" w:space="0" w:color="auto"/>
        <w:right w:val="none" w:sz="0" w:space="0" w:color="auto"/>
      </w:divBdr>
    </w:div>
    <w:div w:id="1639528392">
      <w:bodyDiv w:val="1"/>
      <w:marLeft w:val="0"/>
      <w:marRight w:val="0"/>
      <w:marTop w:val="0"/>
      <w:marBottom w:val="0"/>
      <w:divBdr>
        <w:top w:val="none" w:sz="0" w:space="0" w:color="auto"/>
        <w:left w:val="none" w:sz="0" w:space="0" w:color="auto"/>
        <w:bottom w:val="none" w:sz="0" w:space="0" w:color="auto"/>
        <w:right w:val="none" w:sz="0" w:space="0" w:color="auto"/>
      </w:divBdr>
    </w:div>
    <w:div w:id="1672104768">
      <w:bodyDiv w:val="1"/>
      <w:marLeft w:val="0"/>
      <w:marRight w:val="0"/>
      <w:marTop w:val="0"/>
      <w:marBottom w:val="0"/>
      <w:divBdr>
        <w:top w:val="none" w:sz="0" w:space="0" w:color="auto"/>
        <w:left w:val="none" w:sz="0" w:space="0" w:color="auto"/>
        <w:bottom w:val="none" w:sz="0" w:space="0" w:color="auto"/>
        <w:right w:val="none" w:sz="0" w:space="0" w:color="auto"/>
      </w:divBdr>
    </w:div>
    <w:div w:id="1734506848">
      <w:bodyDiv w:val="1"/>
      <w:marLeft w:val="0"/>
      <w:marRight w:val="0"/>
      <w:marTop w:val="0"/>
      <w:marBottom w:val="0"/>
      <w:divBdr>
        <w:top w:val="none" w:sz="0" w:space="0" w:color="auto"/>
        <w:left w:val="none" w:sz="0" w:space="0" w:color="auto"/>
        <w:bottom w:val="none" w:sz="0" w:space="0" w:color="auto"/>
        <w:right w:val="none" w:sz="0" w:space="0" w:color="auto"/>
      </w:divBdr>
    </w:div>
    <w:div w:id="1750032313">
      <w:bodyDiv w:val="1"/>
      <w:marLeft w:val="0"/>
      <w:marRight w:val="0"/>
      <w:marTop w:val="0"/>
      <w:marBottom w:val="0"/>
      <w:divBdr>
        <w:top w:val="none" w:sz="0" w:space="0" w:color="auto"/>
        <w:left w:val="none" w:sz="0" w:space="0" w:color="auto"/>
        <w:bottom w:val="none" w:sz="0" w:space="0" w:color="auto"/>
        <w:right w:val="none" w:sz="0" w:space="0" w:color="auto"/>
      </w:divBdr>
    </w:div>
    <w:div w:id="1764064010">
      <w:bodyDiv w:val="1"/>
      <w:marLeft w:val="0"/>
      <w:marRight w:val="0"/>
      <w:marTop w:val="0"/>
      <w:marBottom w:val="0"/>
      <w:divBdr>
        <w:top w:val="none" w:sz="0" w:space="0" w:color="auto"/>
        <w:left w:val="none" w:sz="0" w:space="0" w:color="auto"/>
        <w:bottom w:val="none" w:sz="0" w:space="0" w:color="auto"/>
        <w:right w:val="none" w:sz="0" w:space="0" w:color="auto"/>
      </w:divBdr>
    </w:div>
    <w:div w:id="1814716465">
      <w:bodyDiv w:val="1"/>
      <w:marLeft w:val="0"/>
      <w:marRight w:val="0"/>
      <w:marTop w:val="0"/>
      <w:marBottom w:val="0"/>
      <w:divBdr>
        <w:top w:val="none" w:sz="0" w:space="0" w:color="auto"/>
        <w:left w:val="none" w:sz="0" w:space="0" w:color="auto"/>
        <w:bottom w:val="none" w:sz="0" w:space="0" w:color="auto"/>
        <w:right w:val="none" w:sz="0" w:space="0" w:color="auto"/>
      </w:divBdr>
    </w:div>
    <w:div w:id="1819492916">
      <w:bodyDiv w:val="1"/>
      <w:marLeft w:val="0"/>
      <w:marRight w:val="0"/>
      <w:marTop w:val="0"/>
      <w:marBottom w:val="0"/>
      <w:divBdr>
        <w:top w:val="none" w:sz="0" w:space="0" w:color="auto"/>
        <w:left w:val="none" w:sz="0" w:space="0" w:color="auto"/>
        <w:bottom w:val="none" w:sz="0" w:space="0" w:color="auto"/>
        <w:right w:val="none" w:sz="0" w:space="0" w:color="auto"/>
      </w:divBdr>
    </w:div>
    <w:div w:id="1823697896">
      <w:bodyDiv w:val="1"/>
      <w:marLeft w:val="0"/>
      <w:marRight w:val="0"/>
      <w:marTop w:val="0"/>
      <w:marBottom w:val="0"/>
      <w:divBdr>
        <w:top w:val="none" w:sz="0" w:space="0" w:color="auto"/>
        <w:left w:val="none" w:sz="0" w:space="0" w:color="auto"/>
        <w:bottom w:val="none" w:sz="0" w:space="0" w:color="auto"/>
        <w:right w:val="none" w:sz="0" w:space="0" w:color="auto"/>
      </w:divBdr>
    </w:div>
    <w:div w:id="1846550634">
      <w:bodyDiv w:val="1"/>
      <w:marLeft w:val="0"/>
      <w:marRight w:val="0"/>
      <w:marTop w:val="0"/>
      <w:marBottom w:val="0"/>
      <w:divBdr>
        <w:top w:val="none" w:sz="0" w:space="0" w:color="auto"/>
        <w:left w:val="none" w:sz="0" w:space="0" w:color="auto"/>
        <w:bottom w:val="none" w:sz="0" w:space="0" w:color="auto"/>
        <w:right w:val="none" w:sz="0" w:space="0" w:color="auto"/>
      </w:divBdr>
    </w:div>
    <w:div w:id="1941837576">
      <w:bodyDiv w:val="1"/>
      <w:marLeft w:val="0"/>
      <w:marRight w:val="0"/>
      <w:marTop w:val="0"/>
      <w:marBottom w:val="0"/>
      <w:divBdr>
        <w:top w:val="none" w:sz="0" w:space="0" w:color="auto"/>
        <w:left w:val="none" w:sz="0" w:space="0" w:color="auto"/>
        <w:bottom w:val="none" w:sz="0" w:space="0" w:color="auto"/>
        <w:right w:val="none" w:sz="0" w:space="0" w:color="auto"/>
      </w:divBdr>
    </w:div>
    <w:div w:id="2029409076">
      <w:bodyDiv w:val="1"/>
      <w:marLeft w:val="0"/>
      <w:marRight w:val="0"/>
      <w:marTop w:val="0"/>
      <w:marBottom w:val="0"/>
      <w:divBdr>
        <w:top w:val="none" w:sz="0" w:space="0" w:color="auto"/>
        <w:left w:val="none" w:sz="0" w:space="0" w:color="auto"/>
        <w:bottom w:val="none" w:sz="0" w:space="0" w:color="auto"/>
        <w:right w:val="none" w:sz="0" w:space="0" w:color="auto"/>
      </w:divBdr>
    </w:div>
    <w:div w:id="2067948760">
      <w:bodyDiv w:val="1"/>
      <w:marLeft w:val="0"/>
      <w:marRight w:val="0"/>
      <w:marTop w:val="0"/>
      <w:marBottom w:val="0"/>
      <w:divBdr>
        <w:top w:val="none" w:sz="0" w:space="0" w:color="auto"/>
        <w:left w:val="none" w:sz="0" w:space="0" w:color="auto"/>
        <w:bottom w:val="none" w:sz="0" w:space="0" w:color="auto"/>
        <w:right w:val="none" w:sz="0" w:space="0" w:color="auto"/>
      </w:divBdr>
    </w:div>
    <w:div w:id="2072389301">
      <w:bodyDiv w:val="1"/>
      <w:marLeft w:val="0"/>
      <w:marRight w:val="0"/>
      <w:marTop w:val="0"/>
      <w:marBottom w:val="0"/>
      <w:divBdr>
        <w:top w:val="none" w:sz="0" w:space="0" w:color="auto"/>
        <w:left w:val="none" w:sz="0" w:space="0" w:color="auto"/>
        <w:bottom w:val="none" w:sz="0" w:space="0" w:color="auto"/>
        <w:right w:val="none" w:sz="0" w:space="0" w:color="auto"/>
      </w:divBdr>
    </w:div>
    <w:div w:id="2103917267">
      <w:bodyDiv w:val="1"/>
      <w:marLeft w:val="0"/>
      <w:marRight w:val="0"/>
      <w:marTop w:val="0"/>
      <w:marBottom w:val="0"/>
      <w:divBdr>
        <w:top w:val="none" w:sz="0" w:space="0" w:color="auto"/>
        <w:left w:val="none" w:sz="0" w:space="0" w:color="auto"/>
        <w:bottom w:val="none" w:sz="0" w:space="0" w:color="auto"/>
        <w:right w:val="none" w:sz="0" w:space="0" w:color="auto"/>
      </w:divBdr>
    </w:div>
    <w:div w:id="2105608504">
      <w:bodyDiv w:val="1"/>
      <w:marLeft w:val="0"/>
      <w:marRight w:val="0"/>
      <w:marTop w:val="0"/>
      <w:marBottom w:val="0"/>
      <w:divBdr>
        <w:top w:val="none" w:sz="0" w:space="0" w:color="auto"/>
        <w:left w:val="none" w:sz="0" w:space="0" w:color="auto"/>
        <w:bottom w:val="none" w:sz="0" w:space="0" w:color="auto"/>
        <w:right w:val="none" w:sz="0" w:space="0" w:color="auto"/>
      </w:divBdr>
    </w:div>
    <w:div w:id="2126461123">
      <w:bodyDiv w:val="1"/>
      <w:marLeft w:val="0"/>
      <w:marRight w:val="0"/>
      <w:marTop w:val="0"/>
      <w:marBottom w:val="0"/>
      <w:divBdr>
        <w:top w:val="none" w:sz="0" w:space="0" w:color="auto"/>
        <w:left w:val="none" w:sz="0" w:space="0" w:color="auto"/>
        <w:bottom w:val="none" w:sz="0" w:space="0" w:color="auto"/>
        <w:right w:val="none" w:sz="0" w:space="0" w:color="auto"/>
      </w:divBdr>
    </w:div>
    <w:div w:id="213629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The9</b:Tag>
    <b:SourceType>Misc</b:SourceType>
    <b:Guid>{543CF416-C424-48FF-B03E-25FFCF531CEE}</b:Guid>
    <b:Title>The Hindu Bureau. (2023, June 2). ‘Indian pharma industry likely to grow to $130  billion in size by 2030.’ The Hindu. </b:Title>
    <b:RefOrder>1</b:RefOrder>
  </b:Source>
  <b:Source>
    <b:Tag>EYO</b:Tag>
    <b:SourceType>Misc</b:SourceType>
    <b:Guid>{CE54AE8A-700C-4F03-892A-169267401A1E}</b:Guid>
    <b:Title>EY, &amp; Organisation of Pharmaceutical Producers of India. (November 21, 2023). Market size of pharmaceutical industry in India from 2000 to 2022, with forecast until 2047 (in billion U.S. dollars) [Graph]. In Statista.</b:Title>
    <b:RefOrder>2</b:RefOrder>
  </b:Source>
  <b:Source>
    <b:Tag>WHO</b:Tag>
    <b:SourceType>Misc</b:SourceType>
    <b:Guid>{DDCE2310-F472-4398-BB0B-CEC14F916AAE}</b:Guid>
    <b:Title>WHO Policy Perspectives on Medicines. Geneva: WHO; 2004. Geneva: World Health Organization. Looking at the Pharmacovigilance: ensuring the safe use of medicines.  </b:Title>
    <b:RefOrder>3</b:RefOrder>
  </b:Source>
  <b:Source>
    <b:Tag>Har3</b:Tag>
    <b:SourceType>Misc</b:SourceType>
    <b:Guid>{195E191B-D7EF-4E8F-BC83-C0B4910052F4}</b:Guid>
    <b:Title>Harmark L, van Grootheest AC. Pharmacovigilance: Methods, recent developments and future perspectives. Eur J Clin Pharmacol. 2008;64:743–52. doi: 10.1007/s00228-008-0475-9. </b:Title>
    <b:RefOrder>4</b:RefOrder>
  </b:Source>
  <b:Source>
    <b:Tag>Sha1</b:Tag>
    <b:SourceType>Report</b:SourceType>
    <b:Guid>{0A290307-42B9-42AC-BF39-F23392CF0090}</b:Guid>
    <b:Title>Shah, S., &amp; Singh, A. (2020). Drug labeling: The study of compliance of regulatory requirements for prescription drugs in India. Perspectives in clinical research, 11(4), 164–167. https://doi.org/10.4103/picr.PICR_195_18</b:Title>
    <b:RefOrder>5</b:RefOrder>
  </b:Source>
  <b:Source>
    <b:Tag>Ind2</b:Tag>
    <b:SourceType>Case</b:SourceType>
    <b:Guid>{82ACB746-599D-4E05-AB13-B29666875386}</b:Guid>
    <b:Title>Indian Pharmacopoeia Commission (IPC). (n.d.). Pharmacovigilance Programme of India (PvPI).</b:Title>
    <b:RefOrder>6</b:RefOrder>
  </b:Source>
  <b:Source>
    <b:Tag>Cen</b:Tag>
    <b:SourceType>Case</b:SourceType>
    <b:Guid>{7DA7D68D-0E00-4A58-8780-CF0D75BD8144}</b:Guid>
    <b:Title>Central Drugs Standard Control Organization (CDSCO). (n.d.). Suspected adverse drug reaction reporting form. </b:Title>
    <b:RefOrder>7</b:RefOrder>
  </b:Source>
  <b:Source>
    <b:Tag>Ind3</b:Tag>
    <b:SourceType>Case</b:SourceType>
    <b:Guid>{F0EB2B94-8B39-49BC-8F33-3954BF818FEB}</b:Guid>
    <b:Title>Indian Pharmacopoeia Commission (IPC). (n.d.). Materiovigilance Programme of India (MvPI).</b:Title>
    <b:RefOrder>8</b:RefOrder>
  </b:Source>
  <b:Source>
    <b:Tag>Nat2</b:Tag>
    <b:SourceType>Case</b:SourceType>
    <b:Guid>{5387BF6C-1B57-4085-851E-13C0FFC6D886}</b:Guid>
    <b:Title>National Coordination Centre-Pharmacovigilance Programme of India, Indian Pharmacopoeia Commission, &amp; Central Drugs Standard Control Organization. (2019). Pharmacovigilance Guidance Document for marketing authorization holders of pharmaceutical products. </b:Title>
    <b:RefOrder>9</b:RefOrder>
  </b:Source>
  <b:Source>
    <b:Tag>Pir</b:Tag>
    <b:SourceType>Case</b:SourceType>
    <b:Guid>{D53584C7-4308-4552-B55D-E013C11CFEA7}</b:Guid>
    <b:Title>Pirmohamed, M., et al. (2004). Adverse drug reactions as cause of admission to hospital: prospective analysis of 18,820 patients. BMJ, 329(7456), 15-19.</b:Title>
    <b:RefOrder>10</b:RefOrder>
  </b:Source>
  <b:Source>
    <b:Tag>Wor</b:Tag>
    <b:SourceType>Case</b:SourceType>
    <b:Guid>{191094EA-9A73-4FD2-A5D2-53F2EE1BCC2E}</b:Guid>
    <b:Title>World Health Organization. (2002). The Importance of Pharmacovigilance: Safety Monitoring of Medicinal Products.</b:Title>
    <b:RefOrder>11</b:RefOrder>
  </b:Source>
  <b:Source>
    <b:Tag>Ins</b:Tag>
    <b:SourceType>Case</b:SourceType>
    <b:Guid>{9DEBD1A1-79E5-4C3F-9E8B-AB61EF8516CC}</b:Guid>
    <b:Title>Institute of Medicine. (2007). The future of drug safety: Promoting and protecting the health of the public. National Academies Press.</b:Title>
    <b:RefOrder>12</b:RefOrder>
  </b:Source>
  <b:Source>
    <b:Tag>Tha</b:Tag>
    <b:SourceType>Case</b:SourceType>
    <b:Guid>{77FD3BA7-2441-4DCA-9D63-132AAB30FB8D}</b:Guid>
    <b:Title>Thapliyal, R., &amp; Singh, S. (2020). Regulatory evolution of clinical trials in India: A shift from Schedule Y to New Drugs and Clinical Trials Rules 2019. Perspectives in Clinical Research, 11(1), 3-8.</b:Title>
    <b:RefOrder>13</b:RefOrder>
  </b:Source>
  <b:Source>
    <b:Tag>Gog</b:Tag>
    <b:SourceType>Case</b:SourceType>
    <b:Guid>{73AE8DC4-8E3B-4A69-A37C-0CE2A56E6EC0}</b:Guid>
    <b:Title>Gogtay, N. J., &amp; Ravi, R. (2020). The New Drugs and Clinical Trials Rules, 2019: What it means for India’s clinical research landscape. Indian Journal of Medical Ethics, 5(1), 45–50.</b:Title>
    <b:RefOrder>14</b:RefOrder>
  </b:Source>
  <b:Source>
    <b:Tag>Rul</b:Tag>
    <b:SourceType>Case</b:SourceType>
    <b:Guid>{AEFE9085-3B98-4E05-A3DF-CD142749E9A3}</b:Guid>
    <b:Title>Rule 24, NDCTR, 2019. </b:Title>
    <b:RefOrder>15</b:RefOrder>
  </b:Source>
  <b:Source>
    <b:Tag>Rul1</b:Tag>
    <b:SourceType>Case</b:SourceType>
    <b:Guid>{AC80CDDB-C08B-4E65-A53C-E0A0160259A5}</b:Guid>
    <b:Title>Rule 80, NDCTR, 2019.</b:Title>
    <b:RefOrder>16</b:RefOrder>
  </b:Source>
  <b:Source>
    <b:Tag>Cen1</b:Tag>
    <b:SourceType>Case</b:SourceType>
    <b:Guid>{C0F5091B-6AC6-434D-B832-89D483095ED0}</b:Guid>
    <b:Title>Central Drugs Standard Control Organization, Ministry of Health and Family Welfare, Govt. of India. (2019). THE NEW DRUGS AND CLINICAL TRIALS RULES, 2019. </b:Title>
    <b:RefOrder>17</b:RefOrder>
  </b:Source>
</b:Sources>
</file>

<file path=customXml/itemProps1.xml><?xml version="1.0" encoding="utf-8"?>
<ds:datastoreItem xmlns:ds="http://schemas.openxmlformats.org/officeDocument/2006/customXml" ds:itemID="{E607B911-6290-4E41-9BFD-41A9F704C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988</TotalTime>
  <Pages>10</Pages>
  <Words>3178</Words>
  <Characters>18119</Characters>
  <Application>Microsoft Office Word</Application>
  <DocSecurity>0</DocSecurity>
  <Lines>150</Lines>
  <Paragraphs>42</Paragraphs>
  <ScaleCrop>false</ScaleCrop>
  <Company/>
  <LinksUpToDate>false</LinksUpToDate>
  <CharactersWithSpaces>21255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Amita kaloor</dc:creator>
  <cp:keywords/>
  <dc:description/>
  <cp:lastModifiedBy>Amita kaloor</cp:lastModifiedBy>
  <cp:revision>530</cp:revision>
  <dcterms:created xsi:type="dcterms:W3CDTF">2025-04-03T18:47:00Z</dcterms:created>
  <dcterms:modified xsi:type="dcterms:W3CDTF">2025-04-25T15:44:00Z</dcterms:modified>
</cp:coreProperties>
</file>