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9550F" w14:textId="5C80D704" w:rsidR="00B069F9" w:rsidRDefault="006949FA" w:rsidP="006949FA">
      <w:pPr>
        <w:jc w:val="center"/>
        <w:rPr>
          <w:rFonts w:ascii="Times New Roman" w:hAnsi="Times New Roman" w:cs="Times New Roman"/>
          <w:b/>
          <w:bCs/>
          <w:sz w:val="24"/>
          <w:szCs w:val="24"/>
        </w:rPr>
      </w:pPr>
      <w:r w:rsidRPr="006935C3">
        <w:rPr>
          <w:rFonts w:ascii="Times New Roman" w:hAnsi="Times New Roman" w:cs="Times New Roman"/>
          <w:b/>
          <w:bCs/>
          <w:sz w:val="24"/>
          <w:szCs w:val="24"/>
        </w:rPr>
        <w:t>Necrophilia- are rights of dead really dead</w:t>
      </w:r>
      <w:r w:rsidR="00102FC8">
        <w:rPr>
          <w:rFonts w:ascii="Times New Roman" w:hAnsi="Times New Roman" w:cs="Times New Roman"/>
          <w:b/>
          <w:bCs/>
          <w:sz w:val="24"/>
          <w:szCs w:val="24"/>
        </w:rPr>
        <w:t>?</w:t>
      </w:r>
    </w:p>
    <w:p w14:paraId="2E724B75" w14:textId="5B0BAD92" w:rsidR="00736C22" w:rsidRPr="006935C3" w:rsidRDefault="00736C22" w:rsidP="006949FA">
      <w:pPr>
        <w:jc w:val="center"/>
        <w:rPr>
          <w:rFonts w:ascii="Times New Roman" w:hAnsi="Times New Roman" w:cs="Times New Roman"/>
          <w:b/>
          <w:bCs/>
          <w:sz w:val="24"/>
          <w:szCs w:val="24"/>
        </w:rPr>
      </w:pPr>
      <w:r>
        <w:rPr>
          <w:rFonts w:ascii="Times New Roman" w:hAnsi="Times New Roman" w:cs="Times New Roman"/>
          <w:b/>
          <w:bCs/>
          <w:sz w:val="24"/>
          <w:szCs w:val="24"/>
        </w:rPr>
        <w:t>Riya Dubey</w:t>
      </w:r>
    </w:p>
    <w:p w14:paraId="62082505" w14:textId="77777777" w:rsidR="006949FA" w:rsidRDefault="006949FA" w:rsidP="006949FA">
      <w:pPr>
        <w:jc w:val="center"/>
        <w:rPr>
          <w:rFonts w:ascii="Times New Roman" w:hAnsi="Times New Roman" w:cs="Times New Roman"/>
          <w:sz w:val="24"/>
          <w:szCs w:val="24"/>
        </w:rPr>
      </w:pPr>
    </w:p>
    <w:p w14:paraId="0EF4ED7E" w14:textId="5F905DAC" w:rsidR="006949FA" w:rsidRPr="006935C3" w:rsidRDefault="006949FA" w:rsidP="00BF73E3">
      <w:pPr>
        <w:rPr>
          <w:rFonts w:ascii="Times New Roman" w:hAnsi="Times New Roman" w:cs="Times New Roman"/>
          <w:b/>
          <w:bCs/>
          <w:sz w:val="24"/>
          <w:szCs w:val="24"/>
        </w:rPr>
      </w:pPr>
      <w:r w:rsidRPr="006935C3">
        <w:rPr>
          <w:rFonts w:ascii="Times New Roman" w:hAnsi="Times New Roman" w:cs="Times New Roman"/>
          <w:b/>
          <w:bCs/>
          <w:sz w:val="24"/>
          <w:szCs w:val="24"/>
        </w:rPr>
        <w:t>Introduction</w:t>
      </w:r>
    </w:p>
    <w:p w14:paraId="0DCA8944" w14:textId="58B3B131" w:rsidR="008D6A44" w:rsidRDefault="00D2187F"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Are humans not at peace even after </w:t>
      </w:r>
      <w:r w:rsidR="00A13B14">
        <w:rPr>
          <w:rFonts w:ascii="Times New Roman" w:hAnsi="Times New Roman" w:cs="Times New Roman"/>
          <w:sz w:val="24"/>
          <w:szCs w:val="24"/>
        </w:rPr>
        <w:t xml:space="preserve">their </w:t>
      </w:r>
      <w:r>
        <w:rPr>
          <w:rFonts w:ascii="Times New Roman" w:hAnsi="Times New Roman" w:cs="Times New Roman"/>
          <w:sz w:val="24"/>
          <w:szCs w:val="24"/>
        </w:rPr>
        <w:t xml:space="preserve">death? </w:t>
      </w:r>
      <w:r w:rsidR="0060620E">
        <w:rPr>
          <w:rFonts w:ascii="Times New Roman" w:hAnsi="Times New Roman" w:cs="Times New Roman"/>
          <w:sz w:val="24"/>
          <w:szCs w:val="24"/>
        </w:rPr>
        <w:t xml:space="preserve">The popular </w:t>
      </w:r>
      <w:r w:rsidR="007165A5">
        <w:rPr>
          <w:rFonts w:ascii="Times New Roman" w:hAnsi="Times New Roman" w:cs="Times New Roman"/>
          <w:sz w:val="24"/>
          <w:szCs w:val="24"/>
        </w:rPr>
        <w:t>idiom ‘Rest in peace’</w:t>
      </w:r>
      <w:r w:rsidR="00AE6321">
        <w:rPr>
          <w:rFonts w:ascii="Times New Roman" w:hAnsi="Times New Roman" w:cs="Times New Roman"/>
          <w:sz w:val="24"/>
          <w:szCs w:val="24"/>
        </w:rPr>
        <w:t xml:space="preserve"> seems to be not </w:t>
      </w:r>
      <w:r w:rsidR="004C0AAA">
        <w:rPr>
          <w:rFonts w:ascii="Times New Roman" w:hAnsi="Times New Roman" w:cs="Times New Roman"/>
          <w:sz w:val="24"/>
          <w:szCs w:val="24"/>
        </w:rPr>
        <w:t xml:space="preserve">so practical </w:t>
      </w:r>
      <w:r w:rsidR="000455B2">
        <w:rPr>
          <w:rFonts w:ascii="Times New Roman" w:hAnsi="Times New Roman" w:cs="Times New Roman"/>
          <w:sz w:val="24"/>
          <w:szCs w:val="24"/>
        </w:rPr>
        <w:t xml:space="preserve">in real life. </w:t>
      </w:r>
      <w:r w:rsidR="008D6A44">
        <w:rPr>
          <w:rFonts w:ascii="Times New Roman" w:hAnsi="Times New Roman" w:cs="Times New Roman"/>
          <w:sz w:val="24"/>
          <w:szCs w:val="24"/>
        </w:rPr>
        <w:t xml:space="preserve">With the recent Supreme Court ruling in the case of </w:t>
      </w:r>
      <w:r w:rsidR="007869FC">
        <w:rPr>
          <w:rFonts w:ascii="Times New Roman" w:hAnsi="Times New Roman" w:cs="Times New Roman"/>
          <w:sz w:val="24"/>
          <w:szCs w:val="24"/>
        </w:rPr>
        <w:t>Ranga</w:t>
      </w:r>
      <w:r w:rsidR="00441FB1">
        <w:rPr>
          <w:rFonts w:ascii="Times New Roman" w:hAnsi="Times New Roman" w:cs="Times New Roman"/>
          <w:sz w:val="24"/>
          <w:szCs w:val="24"/>
        </w:rPr>
        <w:t xml:space="preserve">raju </w:t>
      </w:r>
      <w:r w:rsidR="007869FC">
        <w:rPr>
          <w:rFonts w:ascii="Times New Roman" w:hAnsi="Times New Roman" w:cs="Times New Roman"/>
          <w:sz w:val="24"/>
          <w:szCs w:val="24"/>
        </w:rPr>
        <w:t>Vaj</w:t>
      </w:r>
      <w:r w:rsidR="00736084">
        <w:rPr>
          <w:rFonts w:ascii="Times New Roman" w:hAnsi="Times New Roman" w:cs="Times New Roman"/>
          <w:sz w:val="24"/>
          <w:szCs w:val="24"/>
        </w:rPr>
        <w:t>a</w:t>
      </w:r>
      <w:r w:rsidR="007869FC">
        <w:rPr>
          <w:rFonts w:ascii="Times New Roman" w:hAnsi="Times New Roman" w:cs="Times New Roman"/>
          <w:sz w:val="24"/>
          <w:szCs w:val="24"/>
        </w:rPr>
        <w:t xml:space="preserve">payi v. </w:t>
      </w:r>
      <w:r w:rsidR="00441FB1">
        <w:rPr>
          <w:rFonts w:ascii="Times New Roman" w:hAnsi="Times New Roman" w:cs="Times New Roman"/>
          <w:sz w:val="24"/>
          <w:szCs w:val="24"/>
        </w:rPr>
        <w:t>State of Karnataka</w:t>
      </w:r>
      <w:r w:rsidR="009C2B1D">
        <w:rPr>
          <w:rStyle w:val="FootnoteReference"/>
          <w:rFonts w:ascii="Times New Roman" w:hAnsi="Times New Roman" w:cs="Times New Roman"/>
          <w:sz w:val="24"/>
          <w:szCs w:val="24"/>
        </w:rPr>
        <w:footnoteReference w:id="2"/>
      </w:r>
      <w:r w:rsidR="00441FB1">
        <w:rPr>
          <w:rFonts w:ascii="Times New Roman" w:hAnsi="Times New Roman" w:cs="Times New Roman"/>
          <w:sz w:val="24"/>
          <w:szCs w:val="24"/>
        </w:rPr>
        <w:t xml:space="preserve">, </w:t>
      </w:r>
      <w:r w:rsidR="006B22BC">
        <w:rPr>
          <w:rFonts w:ascii="Times New Roman" w:hAnsi="Times New Roman" w:cs="Times New Roman"/>
          <w:sz w:val="24"/>
          <w:szCs w:val="24"/>
        </w:rPr>
        <w:t xml:space="preserve">the debate on necrophilia has again come in the upfront. </w:t>
      </w:r>
    </w:p>
    <w:p w14:paraId="579683B4" w14:textId="3F43FBBB" w:rsidR="00263940" w:rsidRDefault="00134215"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The word</w:t>
      </w:r>
      <w:r w:rsidR="007C2BF5" w:rsidRPr="007C2BF5">
        <w:rPr>
          <w:rFonts w:ascii="Times New Roman" w:hAnsi="Times New Roman" w:cs="Times New Roman"/>
          <w:sz w:val="24"/>
          <w:szCs w:val="24"/>
        </w:rPr>
        <w:t xml:space="preserve"> Necrophilia finds its origins in the Greek words philios (attraction to/love) and nekros (dead body).</w:t>
      </w:r>
      <w:r w:rsidR="001B75F8">
        <w:rPr>
          <w:rStyle w:val="FootnoteReference"/>
          <w:rFonts w:ascii="Times New Roman" w:hAnsi="Times New Roman" w:cs="Times New Roman"/>
          <w:sz w:val="24"/>
          <w:szCs w:val="24"/>
        </w:rPr>
        <w:footnoteReference w:id="3"/>
      </w:r>
      <w:r w:rsidR="007C2BF5">
        <w:rPr>
          <w:rFonts w:ascii="Times New Roman" w:hAnsi="Times New Roman" w:cs="Times New Roman"/>
          <w:sz w:val="24"/>
          <w:szCs w:val="24"/>
        </w:rPr>
        <w:t xml:space="preserve"> It </w:t>
      </w:r>
      <w:r w:rsidR="001639B1">
        <w:rPr>
          <w:rFonts w:ascii="Times New Roman" w:hAnsi="Times New Roman" w:cs="Times New Roman"/>
          <w:sz w:val="24"/>
          <w:szCs w:val="24"/>
        </w:rPr>
        <w:t xml:space="preserve">means </w:t>
      </w:r>
      <w:r w:rsidR="00B068D5" w:rsidRPr="00B068D5">
        <w:rPr>
          <w:rFonts w:ascii="Times New Roman" w:hAnsi="Times New Roman" w:cs="Times New Roman"/>
          <w:sz w:val="24"/>
          <w:szCs w:val="24"/>
        </w:rPr>
        <w:t>a grotesque desire or fascination with the dead, or more specifically, an erotic desire towards corpses.</w:t>
      </w:r>
      <w:r w:rsidR="00FD44E4">
        <w:rPr>
          <w:rStyle w:val="FootnoteReference"/>
          <w:rFonts w:ascii="Times New Roman" w:hAnsi="Times New Roman" w:cs="Times New Roman"/>
          <w:sz w:val="24"/>
          <w:szCs w:val="24"/>
        </w:rPr>
        <w:footnoteReference w:id="4"/>
      </w:r>
      <w:r w:rsidR="000611BE">
        <w:rPr>
          <w:rFonts w:ascii="Times New Roman" w:hAnsi="Times New Roman" w:cs="Times New Roman"/>
          <w:sz w:val="24"/>
          <w:szCs w:val="24"/>
        </w:rPr>
        <w:t xml:space="preserve"> The main issue with majority of cases especially in India deal</w:t>
      </w:r>
      <w:r w:rsidR="00284ABF">
        <w:rPr>
          <w:rFonts w:ascii="Times New Roman" w:hAnsi="Times New Roman" w:cs="Times New Roman"/>
          <w:sz w:val="24"/>
          <w:szCs w:val="24"/>
        </w:rPr>
        <w:t>s</w:t>
      </w:r>
      <w:r w:rsidR="000611BE">
        <w:rPr>
          <w:rFonts w:ascii="Times New Roman" w:hAnsi="Times New Roman" w:cs="Times New Roman"/>
          <w:sz w:val="24"/>
          <w:szCs w:val="24"/>
        </w:rPr>
        <w:t xml:space="preserve"> with sexual </w:t>
      </w:r>
      <w:r w:rsidR="00AD02F6">
        <w:rPr>
          <w:rFonts w:ascii="Times New Roman" w:hAnsi="Times New Roman" w:cs="Times New Roman"/>
          <w:sz w:val="24"/>
          <w:szCs w:val="24"/>
        </w:rPr>
        <w:t>intercourse with the dead which should ideally be termed as rape</w:t>
      </w:r>
      <w:r w:rsidR="00C91991">
        <w:rPr>
          <w:rFonts w:ascii="Times New Roman" w:hAnsi="Times New Roman" w:cs="Times New Roman"/>
          <w:sz w:val="24"/>
          <w:szCs w:val="24"/>
        </w:rPr>
        <w:t>. Unfortunately, India</w:t>
      </w:r>
      <w:r w:rsidR="003B7091">
        <w:rPr>
          <w:rFonts w:ascii="Times New Roman" w:hAnsi="Times New Roman" w:cs="Times New Roman"/>
          <w:sz w:val="24"/>
          <w:szCs w:val="24"/>
        </w:rPr>
        <w:t>n criminal law doesn’t hold anyone acc</w:t>
      </w:r>
      <w:r w:rsidR="00954A19">
        <w:rPr>
          <w:rFonts w:ascii="Times New Roman" w:hAnsi="Times New Roman" w:cs="Times New Roman"/>
          <w:sz w:val="24"/>
          <w:szCs w:val="24"/>
        </w:rPr>
        <w:t xml:space="preserve">ountable for this gruesome act and hence it’s not recognised as a crime itself. </w:t>
      </w:r>
    </w:p>
    <w:p w14:paraId="2F6493C4" w14:textId="2E9DE75B" w:rsidR="002D234D" w:rsidRDefault="002D234D"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infamous cases of </w:t>
      </w:r>
      <w:r w:rsidR="002771BA">
        <w:rPr>
          <w:rFonts w:ascii="Times New Roman" w:hAnsi="Times New Roman" w:cs="Times New Roman"/>
          <w:sz w:val="24"/>
          <w:szCs w:val="24"/>
        </w:rPr>
        <w:t>Nithari</w:t>
      </w:r>
      <w:r w:rsidR="00504439">
        <w:rPr>
          <w:rStyle w:val="FootnoteReference"/>
          <w:rFonts w:ascii="Times New Roman" w:hAnsi="Times New Roman" w:cs="Times New Roman"/>
          <w:sz w:val="24"/>
          <w:szCs w:val="24"/>
        </w:rPr>
        <w:footnoteReference w:id="5"/>
      </w:r>
      <w:r w:rsidR="002771BA">
        <w:rPr>
          <w:rFonts w:ascii="Times New Roman" w:hAnsi="Times New Roman" w:cs="Times New Roman"/>
          <w:sz w:val="24"/>
          <w:szCs w:val="24"/>
        </w:rPr>
        <w:t>, Palghar</w:t>
      </w:r>
      <w:r w:rsidR="002E07D3">
        <w:rPr>
          <w:rFonts w:ascii="Times New Roman" w:hAnsi="Times New Roman" w:cs="Times New Roman"/>
          <w:sz w:val="24"/>
          <w:szCs w:val="24"/>
        </w:rPr>
        <w:t xml:space="preserve"> as well as cases involving </w:t>
      </w:r>
      <w:r w:rsidR="00D4203C">
        <w:rPr>
          <w:rFonts w:ascii="Times New Roman" w:hAnsi="Times New Roman" w:cs="Times New Roman"/>
          <w:sz w:val="24"/>
          <w:szCs w:val="24"/>
        </w:rPr>
        <w:t xml:space="preserve">corpses in </w:t>
      </w:r>
      <w:r w:rsidR="002E07D3">
        <w:rPr>
          <w:rFonts w:ascii="Times New Roman" w:hAnsi="Times New Roman" w:cs="Times New Roman"/>
          <w:sz w:val="24"/>
          <w:szCs w:val="24"/>
        </w:rPr>
        <w:t>mortuaries</w:t>
      </w:r>
      <w:r w:rsidR="003F54E9">
        <w:rPr>
          <w:rFonts w:ascii="Times New Roman" w:hAnsi="Times New Roman" w:cs="Times New Roman"/>
          <w:sz w:val="24"/>
          <w:szCs w:val="24"/>
        </w:rPr>
        <w:t xml:space="preserve"> mandate discussion and analysis over the issue to prevent </w:t>
      </w:r>
      <w:r w:rsidR="00D4203C">
        <w:rPr>
          <w:rFonts w:ascii="Times New Roman" w:hAnsi="Times New Roman" w:cs="Times New Roman"/>
          <w:sz w:val="24"/>
          <w:szCs w:val="24"/>
        </w:rPr>
        <w:t>further similar happenings.</w:t>
      </w:r>
    </w:p>
    <w:p w14:paraId="15144D7C" w14:textId="1B05B0FE" w:rsidR="00BB4F45" w:rsidRDefault="00263940"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legal intricasies with respect to </w:t>
      </w:r>
      <w:r w:rsidR="00492D38">
        <w:rPr>
          <w:rFonts w:ascii="Times New Roman" w:hAnsi="Times New Roman" w:cs="Times New Roman"/>
          <w:sz w:val="24"/>
          <w:szCs w:val="24"/>
        </w:rPr>
        <w:t xml:space="preserve">it involve interpretation of terms used in rape laws, recognition of unnatural offences, safeguards </w:t>
      </w:r>
      <w:r w:rsidR="007D674D">
        <w:rPr>
          <w:rFonts w:ascii="Times New Roman" w:hAnsi="Times New Roman" w:cs="Times New Roman"/>
          <w:sz w:val="24"/>
          <w:szCs w:val="24"/>
        </w:rPr>
        <w:t xml:space="preserve">towards the dead and many more. </w:t>
      </w:r>
      <w:r w:rsidR="00A31C66">
        <w:rPr>
          <w:rFonts w:ascii="Times New Roman" w:hAnsi="Times New Roman" w:cs="Times New Roman"/>
          <w:sz w:val="24"/>
          <w:szCs w:val="24"/>
        </w:rPr>
        <w:t xml:space="preserve">Although courts believe that it is a horrendous act but they’re bound by the law in place which necessitates parliamentary discussions and enactment of new provisions or modification to incorporate necrophilia under the ambit of Indian Criminal Law. </w:t>
      </w:r>
    </w:p>
    <w:p w14:paraId="6A572629" w14:textId="4E12DE12" w:rsidR="006535E3" w:rsidRPr="006E595B" w:rsidRDefault="00681639"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O</w:t>
      </w:r>
      <w:r w:rsidR="00113BDC">
        <w:rPr>
          <w:rFonts w:ascii="Times New Roman" w:hAnsi="Times New Roman" w:cs="Times New Roman"/>
          <w:sz w:val="24"/>
          <w:szCs w:val="24"/>
        </w:rPr>
        <w:t xml:space="preserve">ther aspects of the act including morality and </w:t>
      </w:r>
      <w:r w:rsidR="00051374">
        <w:rPr>
          <w:rFonts w:ascii="Times New Roman" w:hAnsi="Times New Roman" w:cs="Times New Roman"/>
          <w:sz w:val="24"/>
          <w:szCs w:val="24"/>
        </w:rPr>
        <w:t xml:space="preserve">biomedical research including mental disorders leave significant </w:t>
      </w:r>
      <w:r w:rsidR="00CD0A91">
        <w:rPr>
          <w:rFonts w:ascii="Times New Roman" w:hAnsi="Times New Roman" w:cs="Times New Roman"/>
          <w:sz w:val="24"/>
          <w:szCs w:val="24"/>
        </w:rPr>
        <w:t>gaps to study upon to reach the truth</w:t>
      </w:r>
      <w:r w:rsidR="003C68B0">
        <w:rPr>
          <w:rFonts w:ascii="Times New Roman" w:hAnsi="Times New Roman" w:cs="Times New Roman"/>
          <w:sz w:val="24"/>
          <w:szCs w:val="24"/>
        </w:rPr>
        <w:t xml:space="preserve"> about such harsh reality.</w:t>
      </w:r>
    </w:p>
    <w:p w14:paraId="1D792AA8" w14:textId="4B6A0C21" w:rsidR="006949FA" w:rsidRPr="006935C3" w:rsidRDefault="006949FA" w:rsidP="00113D72">
      <w:pPr>
        <w:spacing w:line="360" w:lineRule="auto"/>
        <w:rPr>
          <w:rFonts w:ascii="Times New Roman" w:hAnsi="Times New Roman" w:cs="Times New Roman"/>
          <w:b/>
          <w:bCs/>
          <w:sz w:val="24"/>
          <w:szCs w:val="24"/>
        </w:rPr>
      </w:pPr>
      <w:r w:rsidRPr="006935C3">
        <w:rPr>
          <w:rFonts w:ascii="Times New Roman" w:hAnsi="Times New Roman" w:cs="Times New Roman"/>
          <w:b/>
          <w:bCs/>
          <w:sz w:val="24"/>
          <w:szCs w:val="24"/>
        </w:rPr>
        <w:t xml:space="preserve">Status </w:t>
      </w:r>
      <w:r w:rsidR="00997B7F" w:rsidRPr="006935C3">
        <w:rPr>
          <w:rFonts w:ascii="Times New Roman" w:hAnsi="Times New Roman" w:cs="Times New Roman"/>
          <w:b/>
          <w:bCs/>
          <w:sz w:val="24"/>
          <w:szCs w:val="24"/>
        </w:rPr>
        <w:t>q</w:t>
      </w:r>
      <w:r w:rsidRPr="006935C3">
        <w:rPr>
          <w:rFonts w:ascii="Times New Roman" w:hAnsi="Times New Roman" w:cs="Times New Roman"/>
          <w:b/>
          <w:bCs/>
          <w:sz w:val="24"/>
          <w:szCs w:val="24"/>
        </w:rPr>
        <w:t xml:space="preserve">uo of </w:t>
      </w:r>
      <w:r w:rsidR="00997B7F" w:rsidRPr="006935C3">
        <w:rPr>
          <w:rFonts w:ascii="Times New Roman" w:hAnsi="Times New Roman" w:cs="Times New Roman"/>
          <w:b/>
          <w:bCs/>
          <w:sz w:val="24"/>
          <w:szCs w:val="24"/>
        </w:rPr>
        <w:t>laws in India</w:t>
      </w:r>
    </w:p>
    <w:p w14:paraId="699DF25A" w14:textId="244C206C" w:rsidR="00997B7F" w:rsidRDefault="00997B7F"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Indian laws in a stricter sense do not </w:t>
      </w:r>
      <w:r w:rsidR="006263D4">
        <w:rPr>
          <w:rFonts w:ascii="Times New Roman" w:hAnsi="Times New Roman" w:cs="Times New Roman"/>
          <w:sz w:val="24"/>
          <w:szCs w:val="24"/>
        </w:rPr>
        <w:t>criminalise necrophilia</w:t>
      </w:r>
      <w:r w:rsidR="00BD3A21">
        <w:rPr>
          <w:rFonts w:ascii="Times New Roman" w:hAnsi="Times New Roman" w:cs="Times New Roman"/>
          <w:sz w:val="24"/>
          <w:szCs w:val="24"/>
        </w:rPr>
        <w:t xml:space="preserve">. </w:t>
      </w:r>
      <w:r w:rsidR="00292C04">
        <w:rPr>
          <w:rFonts w:ascii="Times New Roman" w:hAnsi="Times New Roman" w:cs="Times New Roman"/>
          <w:sz w:val="24"/>
          <w:szCs w:val="24"/>
        </w:rPr>
        <w:t xml:space="preserve">Starting with the rape laws </w:t>
      </w:r>
      <w:r w:rsidR="00520EEA">
        <w:rPr>
          <w:rFonts w:ascii="Times New Roman" w:hAnsi="Times New Roman" w:cs="Times New Roman"/>
          <w:sz w:val="24"/>
          <w:szCs w:val="24"/>
        </w:rPr>
        <w:t xml:space="preserve">stretching from </w:t>
      </w:r>
      <w:r w:rsidR="00663B17">
        <w:rPr>
          <w:rFonts w:ascii="Times New Roman" w:hAnsi="Times New Roman" w:cs="Times New Roman"/>
          <w:sz w:val="24"/>
          <w:szCs w:val="24"/>
        </w:rPr>
        <w:t xml:space="preserve">Section 63 to 72 as well as other offences related to woman </w:t>
      </w:r>
      <w:r w:rsidR="00D33EB0">
        <w:rPr>
          <w:rFonts w:ascii="Times New Roman" w:hAnsi="Times New Roman" w:cs="Times New Roman"/>
          <w:sz w:val="24"/>
          <w:szCs w:val="24"/>
        </w:rPr>
        <w:t xml:space="preserve">including sexual harassment </w:t>
      </w:r>
      <w:r w:rsidR="00324585">
        <w:rPr>
          <w:rFonts w:ascii="Times New Roman" w:hAnsi="Times New Roman" w:cs="Times New Roman"/>
          <w:sz w:val="24"/>
          <w:szCs w:val="24"/>
        </w:rPr>
        <w:t>in B</w:t>
      </w:r>
      <w:r w:rsidR="00A116BC">
        <w:rPr>
          <w:rFonts w:ascii="Times New Roman" w:hAnsi="Times New Roman" w:cs="Times New Roman"/>
          <w:sz w:val="24"/>
          <w:szCs w:val="24"/>
        </w:rPr>
        <w:t>haratiya</w:t>
      </w:r>
      <w:r w:rsidR="00B67D4B">
        <w:rPr>
          <w:rFonts w:ascii="Times New Roman" w:hAnsi="Times New Roman" w:cs="Times New Roman"/>
          <w:sz w:val="24"/>
          <w:szCs w:val="24"/>
        </w:rPr>
        <w:t xml:space="preserve"> Nyaya Sanhita</w:t>
      </w:r>
      <w:r w:rsidR="00324585">
        <w:rPr>
          <w:rFonts w:ascii="Times New Roman" w:hAnsi="Times New Roman" w:cs="Times New Roman"/>
          <w:sz w:val="24"/>
          <w:szCs w:val="24"/>
        </w:rPr>
        <w:t xml:space="preserve"> </w:t>
      </w:r>
      <w:r w:rsidR="00D33EB0">
        <w:rPr>
          <w:rFonts w:ascii="Times New Roman" w:hAnsi="Times New Roman" w:cs="Times New Roman"/>
          <w:sz w:val="24"/>
          <w:szCs w:val="24"/>
        </w:rPr>
        <w:t>do not showcase any specific provision</w:t>
      </w:r>
      <w:r w:rsidR="00CD7D98">
        <w:rPr>
          <w:rFonts w:ascii="Times New Roman" w:hAnsi="Times New Roman" w:cs="Times New Roman"/>
          <w:sz w:val="24"/>
          <w:szCs w:val="24"/>
        </w:rPr>
        <w:t>s related to the heinous act.</w:t>
      </w:r>
      <w:r w:rsidR="00534E7A">
        <w:rPr>
          <w:rStyle w:val="FootnoteReference"/>
          <w:rFonts w:ascii="Times New Roman" w:hAnsi="Times New Roman" w:cs="Times New Roman"/>
          <w:sz w:val="24"/>
          <w:szCs w:val="24"/>
        </w:rPr>
        <w:footnoteReference w:id="6"/>
      </w:r>
      <w:r w:rsidR="00CD7D98">
        <w:rPr>
          <w:rFonts w:ascii="Times New Roman" w:hAnsi="Times New Roman" w:cs="Times New Roman"/>
          <w:sz w:val="24"/>
          <w:szCs w:val="24"/>
        </w:rPr>
        <w:t xml:space="preserve"> </w:t>
      </w:r>
      <w:r w:rsidR="00564674">
        <w:rPr>
          <w:rFonts w:ascii="Times New Roman" w:hAnsi="Times New Roman" w:cs="Times New Roman"/>
          <w:sz w:val="24"/>
          <w:szCs w:val="24"/>
        </w:rPr>
        <w:t xml:space="preserve">Other </w:t>
      </w:r>
      <w:r w:rsidR="00ED5305">
        <w:rPr>
          <w:rFonts w:ascii="Times New Roman" w:hAnsi="Times New Roman" w:cs="Times New Roman"/>
          <w:sz w:val="24"/>
          <w:szCs w:val="24"/>
        </w:rPr>
        <w:t>acts like POSCO also do not hold any special safeguards</w:t>
      </w:r>
      <w:r w:rsidR="003C27A2">
        <w:rPr>
          <w:rFonts w:ascii="Times New Roman" w:hAnsi="Times New Roman" w:cs="Times New Roman"/>
          <w:sz w:val="24"/>
          <w:szCs w:val="24"/>
        </w:rPr>
        <w:t xml:space="preserve"> in this matter.</w:t>
      </w:r>
      <w:r w:rsidR="009671CD">
        <w:rPr>
          <w:rStyle w:val="FootnoteReference"/>
          <w:rFonts w:ascii="Times New Roman" w:hAnsi="Times New Roman" w:cs="Times New Roman"/>
          <w:sz w:val="24"/>
          <w:szCs w:val="24"/>
        </w:rPr>
        <w:footnoteReference w:id="7"/>
      </w:r>
      <w:r w:rsidR="003C27A2">
        <w:rPr>
          <w:rFonts w:ascii="Times New Roman" w:hAnsi="Times New Roman" w:cs="Times New Roman"/>
          <w:sz w:val="24"/>
          <w:szCs w:val="24"/>
        </w:rPr>
        <w:t xml:space="preserve"> </w:t>
      </w:r>
    </w:p>
    <w:p w14:paraId="1556552D" w14:textId="3463B43F" w:rsidR="003A1A6B" w:rsidRDefault="008C71E3"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Section 63 becomes inapplicable by virtue of it </w:t>
      </w:r>
      <w:r w:rsidR="003E5AF0">
        <w:rPr>
          <w:rFonts w:ascii="Times New Roman" w:hAnsi="Times New Roman" w:cs="Times New Roman"/>
          <w:sz w:val="24"/>
          <w:szCs w:val="24"/>
        </w:rPr>
        <w:t>extending only to ‘woman’</w:t>
      </w:r>
      <w:r w:rsidR="003A1A6B">
        <w:rPr>
          <w:rFonts w:ascii="Times New Roman" w:hAnsi="Times New Roman" w:cs="Times New Roman"/>
          <w:sz w:val="24"/>
          <w:szCs w:val="24"/>
        </w:rPr>
        <w:t>.</w:t>
      </w:r>
      <w:r w:rsidR="00C669CC">
        <w:rPr>
          <w:rStyle w:val="FootnoteReference"/>
          <w:rFonts w:ascii="Times New Roman" w:hAnsi="Times New Roman" w:cs="Times New Roman"/>
          <w:sz w:val="24"/>
          <w:szCs w:val="24"/>
        </w:rPr>
        <w:footnoteReference w:id="8"/>
      </w:r>
      <w:r w:rsidR="003A1A6B" w:rsidRPr="003A1A6B">
        <w:rPr>
          <w:rFonts w:ascii="Times New Roman" w:hAnsi="Times New Roman" w:cs="Times New Roman"/>
          <w:sz w:val="24"/>
          <w:szCs w:val="24"/>
        </w:rPr>
        <w:t xml:space="preserve"> </w:t>
      </w:r>
      <w:r w:rsidR="003A1A6B">
        <w:rPr>
          <w:rFonts w:ascii="Times New Roman" w:hAnsi="Times New Roman" w:cs="Times New Roman"/>
          <w:sz w:val="24"/>
          <w:szCs w:val="24"/>
        </w:rPr>
        <w:t>According to BNS, the definition of woman or man under section 2(35)</w:t>
      </w:r>
      <w:r w:rsidR="00DE3992">
        <w:rPr>
          <w:rStyle w:val="FootnoteReference"/>
          <w:rFonts w:ascii="Times New Roman" w:hAnsi="Times New Roman" w:cs="Times New Roman"/>
          <w:sz w:val="24"/>
          <w:szCs w:val="24"/>
        </w:rPr>
        <w:footnoteReference w:id="9"/>
      </w:r>
      <w:r w:rsidR="003A1A6B">
        <w:rPr>
          <w:rFonts w:ascii="Times New Roman" w:hAnsi="Times New Roman" w:cs="Times New Roman"/>
          <w:sz w:val="24"/>
          <w:szCs w:val="24"/>
        </w:rPr>
        <w:t xml:space="preserve"> and 2(19)</w:t>
      </w:r>
      <w:r w:rsidR="00BA2FB9">
        <w:rPr>
          <w:rStyle w:val="FootnoteReference"/>
          <w:rFonts w:ascii="Times New Roman" w:hAnsi="Times New Roman" w:cs="Times New Roman"/>
          <w:sz w:val="24"/>
          <w:szCs w:val="24"/>
        </w:rPr>
        <w:footnoteReference w:id="10"/>
      </w:r>
      <w:r w:rsidR="003A1A6B">
        <w:rPr>
          <w:rFonts w:ascii="Times New Roman" w:hAnsi="Times New Roman" w:cs="Times New Roman"/>
          <w:sz w:val="24"/>
          <w:szCs w:val="24"/>
        </w:rPr>
        <w:t xml:space="preserve"> only extends to human beings. A dead person or corpse cannot be considered a human being in the first place. It was contended that the term ‘body’ used in Section 375(c) of IPC</w:t>
      </w:r>
      <w:r w:rsidR="00BA2FB9">
        <w:rPr>
          <w:rStyle w:val="FootnoteReference"/>
          <w:rFonts w:ascii="Times New Roman" w:hAnsi="Times New Roman" w:cs="Times New Roman"/>
          <w:sz w:val="24"/>
          <w:szCs w:val="24"/>
        </w:rPr>
        <w:footnoteReference w:id="11"/>
      </w:r>
      <w:r w:rsidR="003A1A6B">
        <w:rPr>
          <w:rFonts w:ascii="Times New Roman" w:hAnsi="Times New Roman" w:cs="Times New Roman"/>
          <w:sz w:val="24"/>
          <w:szCs w:val="24"/>
        </w:rPr>
        <w:t xml:space="preserve"> (now Section 63(c) of BNS)</w:t>
      </w:r>
      <w:r w:rsidR="00537B3B">
        <w:rPr>
          <w:rStyle w:val="FootnoteReference"/>
          <w:rFonts w:ascii="Times New Roman" w:hAnsi="Times New Roman" w:cs="Times New Roman"/>
          <w:sz w:val="24"/>
          <w:szCs w:val="24"/>
        </w:rPr>
        <w:footnoteReference w:id="12"/>
      </w:r>
      <w:r w:rsidR="003A1A6B">
        <w:rPr>
          <w:rFonts w:ascii="Times New Roman" w:hAnsi="Times New Roman" w:cs="Times New Roman"/>
          <w:sz w:val="24"/>
          <w:szCs w:val="24"/>
        </w:rPr>
        <w:t xml:space="preserve"> can be viewed as incorporating a dead body as well. This was rejected by the Supreme Court ruling that such an interpretation is outside judicial purview and the gap can only be filled by any parliament enactment on the same. </w:t>
      </w:r>
      <w:r w:rsidR="003A1A6B">
        <w:rPr>
          <w:rStyle w:val="FootnoteReference"/>
          <w:rFonts w:ascii="Times New Roman" w:hAnsi="Times New Roman" w:cs="Times New Roman"/>
          <w:sz w:val="24"/>
          <w:szCs w:val="24"/>
        </w:rPr>
        <w:footnoteReference w:id="13"/>
      </w:r>
    </w:p>
    <w:p w14:paraId="0F04E092" w14:textId="485BD45E" w:rsidR="00324585" w:rsidRDefault="007D48A4"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A</w:t>
      </w:r>
      <w:r w:rsidR="00656C93">
        <w:rPr>
          <w:rFonts w:ascii="Times New Roman" w:hAnsi="Times New Roman" w:cs="Times New Roman"/>
          <w:sz w:val="24"/>
          <w:szCs w:val="24"/>
        </w:rPr>
        <w:t xml:space="preserve">nother </w:t>
      </w:r>
      <w:r w:rsidR="00D5709E">
        <w:rPr>
          <w:rFonts w:ascii="Times New Roman" w:hAnsi="Times New Roman" w:cs="Times New Roman"/>
          <w:sz w:val="24"/>
          <w:szCs w:val="24"/>
        </w:rPr>
        <w:t>potential safeguard could have been</w:t>
      </w:r>
      <w:r w:rsidR="002D22AC">
        <w:rPr>
          <w:rFonts w:ascii="Times New Roman" w:hAnsi="Times New Roman" w:cs="Times New Roman"/>
          <w:sz w:val="24"/>
          <w:szCs w:val="24"/>
        </w:rPr>
        <w:t xml:space="preserve"> Section 377 </w:t>
      </w:r>
      <w:r w:rsidR="0046103A">
        <w:rPr>
          <w:rFonts w:ascii="Times New Roman" w:hAnsi="Times New Roman" w:cs="Times New Roman"/>
          <w:sz w:val="24"/>
          <w:szCs w:val="24"/>
        </w:rPr>
        <w:t xml:space="preserve">of IPC </w:t>
      </w:r>
      <w:r w:rsidR="002D22AC">
        <w:rPr>
          <w:rFonts w:ascii="Times New Roman" w:hAnsi="Times New Roman" w:cs="Times New Roman"/>
          <w:sz w:val="24"/>
          <w:szCs w:val="24"/>
        </w:rPr>
        <w:t>dealing with</w:t>
      </w:r>
      <w:r w:rsidR="00D5709E">
        <w:rPr>
          <w:rFonts w:ascii="Times New Roman" w:hAnsi="Times New Roman" w:cs="Times New Roman"/>
          <w:sz w:val="24"/>
          <w:szCs w:val="24"/>
        </w:rPr>
        <w:t xml:space="preserve"> the provision of unnatural offences</w:t>
      </w:r>
      <w:r w:rsidR="004C0CA2">
        <w:rPr>
          <w:rFonts w:ascii="Times New Roman" w:hAnsi="Times New Roman" w:cs="Times New Roman"/>
          <w:sz w:val="24"/>
          <w:szCs w:val="24"/>
        </w:rPr>
        <w:t>.</w:t>
      </w:r>
      <w:r w:rsidR="008F34E3">
        <w:rPr>
          <w:rStyle w:val="FootnoteReference"/>
          <w:rFonts w:ascii="Times New Roman" w:hAnsi="Times New Roman" w:cs="Times New Roman"/>
          <w:sz w:val="24"/>
          <w:szCs w:val="24"/>
        </w:rPr>
        <w:footnoteReference w:id="14"/>
      </w:r>
      <w:r w:rsidR="008F34E3">
        <w:rPr>
          <w:rFonts w:ascii="Times New Roman" w:hAnsi="Times New Roman" w:cs="Times New Roman"/>
          <w:sz w:val="24"/>
          <w:szCs w:val="24"/>
        </w:rPr>
        <w:t xml:space="preserve"> </w:t>
      </w:r>
      <w:r w:rsidR="002D22AC">
        <w:rPr>
          <w:rFonts w:ascii="Times New Roman" w:hAnsi="Times New Roman" w:cs="Times New Roman"/>
          <w:sz w:val="24"/>
          <w:szCs w:val="24"/>
        </w:rPr>
        <w:t>This was repealed following the Navtej Sin</w:t>
      </w:r>
      <w:r w:rsidR="00203E7A">
        <w:rPr>
          <w:rFonts w:ascii="Times New Roman" w:hAnsi="Times New Roman" w:cs="Times New Roman"/>
          <w:sz w:val="24"/>
          <w:szCs w:val="24"/>
        </w:rPr>
        <w:t>gh Johar judgement which</w:t>
      </w:r>
      <w:r w:rsidR="001853AA">
        <w:rPr>
          <w:rFonts w:ascii="Times New Roman" w:hAnsi="Times New Roman" w:cs="Times New Roman"/>
          <w:sz w:val="24"/>
          <w:szCs w:val="24"/>
        </w:rPr>
        <w:t xml:space="preserve"> although brought a significant positive change but </w:t>
      </w:r>
      <w:r w:rsidR="008D12C2">
        <w:rPr>
          <w:rFonts w:ascii="Times New Roman" w:hAnsi="Times New Roman" w:cs="Times New Roman"/>
          <w:sz w:val="24"/>
          <w:szCs w:val="24"/>
        </w:rPr>
        <w:t>turned out to be negative especially in this context.</w:t>
      </w:r>
      <w:r w:rsidR="007261FE">
        <w:rPr>
          <w:rStyle w:val="FootnoteReference"/>
          <w:rFonts w:ascii="Times New Roman" w:hAnsi="Times New Roman" w:cs="Times New Roman"/>
          <w:sz w:val="24"/>
          <w:szCs w:val="24"/>
        </w:rPr>
        <w:footnoteReference w:id="15"/>
      </w:r>
      <w:r w:rsidR="008D12C2">
        <w:rPr>
          <w:rFonts w:ascii="Times New Roman" w:hAnsi="Times New Roman" w:cs="Times New Roman"/>
          <w:sz w:val="24"/>
          <w:szCs w:val="24"/>
        </w:rPr>
        <w:t xml:space="preserve"> </w:t>
      </w:r>
    </w:p>
    <w:p w14:paraId="2534DABE" w14:textId="46A4C6EF" w:rsidR="00C76ED6" w:rsidRDefault="004C0CA2"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 </w:t>
      </w:r>
      <w:r w:rsidRPr="00134E5C">
        <w:rPr>
          <w:rFonts w:ascii="Times New Roman" w:hAnsi="Times New Roman" w:cs="Times New Roman"/>
          <w:sz w:val="24"/>
          <w:szCs w:val="24"/>
        </w:rPr>
        <w:t>stated that</w:t>
      </w:r>
      <w:r w:rsidR="00DE59AC">
        <w:rPr>
          <w:rFonts w:ascii="Times New Roman" w:hAnsi="Times New Roman" w:cs="Times New Roman"/>
          <w:sz w:val="24"/>
          <w:szCs w:val="24"/>
        </w:rPr>
        <w:t xml:space="preserve"> wh</w:t>
      </w:r>
      <w:r w:rsidR="00DE59AC" w:rsidRPr="00DE59AC">
        <w:rPr>
          <w:rFonts w:ascii="Times New Roman" w:hAnsi="Times New Roman" w:cs="Times New Roman"/>
          <w:sz w:val="24"/>
          <w:szCs w:val="24"/>
        </w:rPr>
        <w:t>oever voluntarily has</w:t>
      </w:r>
      <w:r w:rsidRPr="00134E5C">
        <w:rPr>
          <w:rFonts w:ascii="Times New Roman" w:hAnsi="Times New Roman" w:cs="Times New Roman"/>
          <w:sz w:val="24"/>
          <w:szCs w:val="24"/>
        </w:rPr>
        <w:t xml:space="preserve"> carnal intercourse against the order of nature with any man, woman, or animal could be punished with imprisonment for life or up to ten years</w:t>
      </w:r>
      <w:r w:rsidR="00A30EC7">
        <w:rPr>
          <w:rStyle w:val="FootnoteReference"/>
          <w:rFonts w:ascii="Times New Roman" w:hAnsi="Times New Roman" w:cs="Times New Roman"/>
          <w:sz w:val="24"/>
          <w:szCs w:val="24"/>
        </w:rPr>
        <w:footnoteReference w:id="16"/>
      </w:r>
      <w:r w:rsidRPr="00134E5C">
        <w:rPr>
          <w:rFonts w:ascii="Times New Roman" w:hAnsi="Times New Roman" w:cs="Times New Roman"/>
          <w:sz w:val="24"/>
          <w:szCs w:val="24"/>
        </w:rPr>
        <w:t>. </w:t>
      </w:r>
      <w:r w:rsidR="002803A7">
        <w:rPr>
          <w:rFonts w:ascii="Times New Roman" w:hAnsi="Times New Roman" w:cs="Times New Roman"/>
          <w:sz w:val="24"/>
          <w:szCs w:val="24"/>
        </w:rPr>
        <w:t>If we interpret the phrase ‘against the order of nature’</w:t>
      </w:r>
      <w:r w:rsidR="00A44DC2">
        <w:rPr>
          <w:rFonts w:ascii="Times New Roman" w:hAnsi="Times New Roman" w:cs="Times New Roman"/>
          <w:sz w:val="24"/>
          <w:szCs w:val="24"/>
        </w:rPr>
        <w:t xml:space="preserve">, we arrive at a conclusion that </w:t>
      </w:r>
      <w:r w:rsidR="006F1680">
        <w:rPr>
          <w:rFonts w:ascii="Times New Roman" w:hAnsi="Times New Roman" w:cs="Times New Roman"/>
          <w:sz w:val="24"/>
          <w:szCs w:val="24"/>
        </w:rPr>
        <w:t>it will encompass anything that cannot be considered natural</w:t>
      </w:r>
      <w:r w:rsidR="00F84B7A">
        <w:rPr>
          <w:rFonts w:ascii="Times New Roman" w:hAnsi="Times New Roman" w:cs="Times New Roman"/>
          <w:sz w:val="24"/>
          <w:szCs w:val="24"/>
        </w:rPr>
        <w:t xml:space="preserve">. This is widely interpreted </w:t>
      </w:r>
      <w:r w:rsidR="00BA19B4">
        <w:rPr>
          <w:rFonts w:ascii="Times New Roman" w:hAnsi="Times New Roman" w:cs="Times New Roman"/>
          <w:sz w:val="24"/>
          <w:szCs w:val="24"/>
        </w:rPr>
        <w:t>as any act</w:t>
      </w:r>
      <w:r w:rsidR="00996739">
        <w:rPr>
          <w:rFonts w:ascii="Times New Roman" w:hAnsi="Times New Roman" w:cs="Times New Roman"/>
          <w:sz w:val="24"/>
          <w:szCs w:val="24"/>
        </w:rPr>
        <w:t xml:space="preserve"> which does not lead to</w:t>
      </w:r>
      <w:r w:rsidR="00901B82">
        <w:rPr>
          <w:rFonts w:ascii="Times New Roman" w:hAnsi="Times New Roman" w:cs="Times New Roman"/>
          <w:sz w:val="24"/>
          <w:szCs w:val="24"/>
        </w:rPr>
        <w:t xml:space="preserve"> procreation </w:t>
      </w:r>
      <w:r w:rsidR="00B31104">
        <w:rPr>
          <w:rFonts w:ascii="Times New Roman" w:hAnsi="Times New Roman" w:cs="Times New Roman"/>
          <w:sz w:val="24"/>
          <w:szCs w:val="24"/>
        </w:rPr>
        <w:t>is against the order</w:t>
      </w:r>
      <w:r w:rsidR="00996739">
        <w:rPr>
          <w:rFonts w:ascii="Times New Roman" w:hAnsi="Times New Roman" w:cs="Times New Roman"/>
          <w:sz w:val="24"/>
          <w:szCs w:val="24"/>
        </w:rPr>
        <w:t xml:space="preserve"> of nature.</w:t>
      </w:r>
      <w:r w:rsidR="00B57E70">
        <w:rPr>
          <w:rStyle w:val="FootnoteReference"/>
          <w:rFonts w:ascii="Times New Roman" w:hAnsi="Times New Roman" w:cs="Times New Roman"/>
          <w:sz w:val="24"/>
          <w:szCs w:val="24"/>
        </w:rPr>
        <w:footnoteReference w:id="17"/>
      </w:r>
      <w:r w:rsidR="00996739">
        <w:rPr>
          <w:rFonts w:ascii="Times New Roman" w:hAnsi="Times New Roman" w:cs="Times New Roman"/>
          <w:sz w:val="24"/>
          <w:szCs w:val="24"/>
        </w:rPr>
        <w:t xml:space="preserve"> </w:t>
      </w:r>
      <w:r w:rsidR="00C76ED6">
        <w:rPr>
          <w:rFonts w:ascii="Times New Roman" w:hAnsi="Times New Roman" w:cs="Times New Roman"/>
          <w:sz w:val="24"/>
          <w:szCs w:val="24"/>
        </w:rPr>
        <w:t>This c</w:t>
      </w:r>
      <w:r w:rsidR="002C6909">
        <w:rPr>
          <w:rFonts w:ascii="Times New Roman" w:hAnsi="Times New Roman" w:cs="Times New Roman"/>
          <w:sz w:val="24"/>
          <w:szCs w:val="24"/>
        </w:rPr>
        <w:t>ould</w:t>
      </w:r>
      <w:r w:rsidR="00C76ED6">
        <w:rPr>
          <w:rFonts w:ascii="Times New Roman" w:hAnsi="Times New Roman" w:cs="Times New Roman"/>
          <w:sz w:val="24"/>
          <w:szCs w:val="24"/>
        </w:rPr>
        <w:t xml:space="preserve"> be said to be encompassing the </w:t>
      </w:r>
      <w:r w:rsidR="00FB3B22">
        <w:rPr>
          <w:rFonts w:ascii="Times New Roman" w:hAnsi="Times New Roman" w:cs="Times New Roman"/>
          <w:sz w:val="24"/>
          <w:szCs w:val="24"/>
        </w:rPr>
        <w:t xml:space="preserve">act of necrophilia </w:t>
      </w:r>
      <w:r w:rsidR="002C6909">
        <w:rPr>
          <w:rFonts w:ascii="Times New Roman" w:hAnsi="Times New Roman" w:cs="Times New Roman"/>
          <w:sz w:val="24"/>
          <w:szCs w:val="24"/>
        </w:rPr>
        <w:t xml:space="preserve">as it can’t lead to procreation like </w:t>
      </w:r>
      <w:r w:rsidR="00D23207">
        <w:rPr>
          <w:rFonts w:ascii="Times New Roman" w:hAnsi="Times New Roman" w:cs="Times New Roman"/>
          <w:sz w:val="24"/>
          <w:szCs w:val="24"/>
        </w:rPr>
        <w:t>sodomy,</w:t>
      </w:r>
      <w:r w:rsidR="00E36FBF">
        <w:rPr>
          <w:rFonts w:ascii="Times New Roman" w:hAnsi="Times New Roman" w:cs="Times New Roman"/>
          <w:sz w:val="24"/>
          <w:szCs w:val="24"/>
        </w:rPr>
        <w:t xml:space="preserve"> bestiality, etc which come under the purview of </w:t>
      </w:r>
      <w:r w:rsidR="0057518A">
        <w:rPr>
          <w:rFonts w:ascii="Times New Roman" w:hAnsi="Times New Roman" w:cs="Times New Roman"/>
          <w:sz w:val="24"/>
          <w:szCs w:val="24"/>
        </w:rPr>
        <w:t xml:space="preserve">this section. </w:t>
      </w:r>
    </w:p>
    <w:p w14:paraId="46F591D0" w14:textId="00B6D75F" w:rsidR="00236D6B" w:rsidRDefault="00244A98"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The problem here arises with</w:t>
      </w:r>
      <w:r w:rsidR="001E40AE">
        <w:rPr>
          <w:rFonts w:ascii="Times New Roman" w:hAnsi="Times New Roman" w:cs="Times New Roman"/>
          <w:sz w:val="24"/>
          <w:szCs w:val="24"/>
        </w:rPr>
        <w:t xml:space="preserve"> the</w:t>
      </w:r>
      <w:r w:rsidR="00A75510">
        <w:rPr>
          <w:rFonts w:ascii="Times New Roman" w:hAnsi="Times New Roman" w:cs="Times New Roman"/>
          <w:sz w:val="24"/>
          <w:szCs w:val="24"/>
        </w:rPr>
        <w:t xml:space="preserve"> complexity of</w:t>
      </w:r>
      <w:r w:rsidR="001E40AE">
        <w:rPr>
          <w:rFonts w:ascii="Times New Roman" w:hAnsi="Times New Roman" w:cs="Times New Roman"/>
          <w:sz w:val="24"/>
          <w:szCs w:val="24"/>
        </w:rPr>
        <w:t xml:space="preserve"> term ‘voluntarily’ which drives us to the consent aspect of the act.</w:t>
      </w:r>
      <w:r w:rsidR="007A23ED">
        <w:rPr>
          <w:rStyle w:val="FootnoteReference"/>
          <w:rFonts w:ascii="Times New Roman" w:hAnsi="Times New Roman" w:cs="Times New Roman"/>
          <w:sz w:val="24"/>
          <w:szCs w:val="24"/>
        </w:rPr>
        <w:footnoteReference w:id="18"/>
      </w:r>
      <w:r w:rsidR="001E40AE">
        <w:rPr>
          <w:rFonts w:ascii="Times New Roman" w:hAnsi="Times New Roman" w:cs="Times New Roman"/>
          <w:sz w:val="24"/>
          <w:szCs w:val="24"/>
        </w:rPr>
        <w:t xml:space="preserve"> </w:t>
      </w:r>
      <w:r w:rsidR="002C1E62">
        <w:rPr>
          <w:rFonts w:ascii="Times New Roman" w:hAnsi="Times New Roman" w:cs="Times New Roman"/>
          <w:sz w:val="24"/>
          <w:szCs w:val="24"/>
        </w:rPr>
        <w:t>A dead body cannot give consent and hence it’s difficult</w:t>
      </w:r>
      <w:r w:rsidR="00606850">
        <w:rPr>
          <w:rFonts w:ascii="Times New Roman" w:hAnsi="Times New Roman" w:cs="Times New Roman"/>
          <w:sz w:val="24"/>
          <w:szCs w:val="24"/>
        </w:rPr>
        <w:t xml:space="preserve"> to bring necrophilia under </w:t>
      </w:r>
      <w:r w:rsidR="00250621">
        <w:rPr>
          <w:rFonts w:ascii="Times New Roman" w:hAnsi="Times New Roman" w:cs="Times New Roman"/>
          <w:sz w:val="24"/>
          <w:szCs w:val="24"/>
        </w:rPr>
        <w:t>it</w:t>
      </w:r>
      <w:r w:rsidR="002C1E62">
        <w:rPr>
          <w:rFonts w:ascii="Times New Roman" w:hAnsi="Times New Roman" w:cs="Times New Roman"/>
          <w:sz w:val="24"/>
          <w:szCs w:val="24"/>
        </w:rPr>
        <w:t xml:space="preserve"> </w:t>
      </w:r>
      <w:r w:rsidR="00250621">
        <w:rPr>
          <w:rFonts w:ascii="Times New Roman" w:hAnsi="Times New Roman" w:cs="Times New Roman"/>
          <w:sz w:val="24"/>
          <w:szCs w:val="24"/>
        </w:rPr>
        <w:t>b</w:t>
      </w:r>
      <w:r w:rsidR="00264AE3">
        <w:rPr>
          <w:rFonts w:ascii="Times New Roman" w:hAnsi="Times New Roman" w:cs="Times New Roman"/>
          <w:sz w:val="24"/>
          <w:szCs w:val="24"/>
        </w:rPr>
        <w:t>ut then bestiality was treated as an offence</w:t>
      </w:r>
      <w:r w:rsidR="00BB1793">
        <w:rPr>
          <w:rFonts w:ascii="Times New Roman" w:hAnsi="Times New Roman" w:cs="Times New Roman"/>
          <w:sz w:val="24"/>
          <w:szCs w:val="24"/>
        </w:rPr>
        <w:t xml:space="preserve"> </w:t>
      </w:r>
      <w:r w:rsidR="00917B9A">
        <w:rPr>
          <w:rFonts w:ascii="Times New Roman" w:hAnsi="Times New Roman" w:cs="Times New Roman"/>
          <w:sz w:val="24"/>
          <w:szCs w:val="24"/>
        </w:rPr>
        <w:t>even though</w:t>
      </w:r>
      <w:r w:rsidR="00606850">
        <w:rPr>
          <w:rFonts w:ascii="Times New Roman" w:hAnsi="Times New Roman" w:cs="Times New Roman"/>
          <w:sz w:val="24"/>
          <w:szCs w:val="24"/>
        </w:rPr>
        <w:t xml:space="preserve"> </w:t>
      </w:r>
      <w:r w:rsidR="00250621">
        <w:rPr>
          <w:rFonts w:ascii="Times New Roman" w:hAnsi="Times New Roman" w:cs="Times New Roman"/>
          <w:sz w:val="24"/>
          <w:szCs w:val="24"/>
        </w:rPr>
        <w:t xml:space="preserve">same problem lies </w:t>
      </w:r>
      <w:r w:rsidR="005C083F">
        <w:rPr>
          <w:rFonts w:ascii="Times New Roman" w:hAnsi="Times New Roman" w:cs="Times New Roman"/>
          <w:sz w:val="24"/>
          <w:szCs w:val="24"/>
        </w:rPr>
        <w:t>t</w:t>
      </w:r>
      <w:r w:rsidR="00250621">
        <w:rPr>
          <w:rFonts w:ascii="Times New Roman" w:hAnsi="Times New Roman" w:cs="Times New Roman"/>
          <w:sz w:val="24"/>
          <w:szCs w:val="24"/>
        </w:rPr>
        <w:t>here as well.</w:t>
      </w:r>
      <w:r w:rsidR="00C572B3">
        <w:rPr>
          <w:rFonts w:ascii="Times New Roman" w:hAnsi="Times New Roman" w:cs="Times New Roman"/>
          <w:sz w:val="24"/>
          <w:szCs w:val="24"/>
        </w:rPr>
        <w:t xml:space="preserve"> </w:t>
      </w:r>
      <w:r w:rsidR="005049A8">
        <w:rPr>
          <w:rFonts w:ascii="Times New Roman" w:hAnsi="Times New Roman" w:cs="Times New Roman"/>
          <w:sz w:val="24"/>
          <w:szCs w:val="24"/>
        </w:rPr>
        <w:t>Nevertheless</w:t>
      </w:r>
      <w:r w:rsidR="00C572B3">
        <w:rPr>
          <w:rFonts w:ascii="Times New Roman" w:hAnsi="Times New Roman" w:cs="Times New Roman"/>
          <w:sz w:val="24"/>
          <w:szCs w:val="24"/>
        </w:rPr>
        <w:t xml:space="preserve">, </w:t>
      </w:r>
      <w:r w:rsidR="00452A2A">
        <w:rPr>
          <w:rFonts w:ascii="Times New Roman" w:hAnsi="Times New Roman" w:cs="Times New Roman"/>
          <w:sz w:val="24"/>
          <w:szCs w:val="24"/>
        </w:rPr>
        <w:t xml:space="preserve">it </w:t>
      </w:r>
      <w:r w:rsidR="005049A8">
        <w:rPr>
          <w:rFonts w:ascii="Times New Roman" w:hAnsi="Times New Roman" w:cs="Times New Roman"/>
          <w:sz w:val="24"/>
          <w:szCs w:val="24"/>
        </w:rPr>
        <w:t xml:space="preserve">also </w:t>
      </w:r>
      <w:r w:rsidR="00452A2A">
        <w:rPr>
          <w:rFonts w:ascii="Times New Roman" w:hAnsi="Times New Roman" w:cs="Times New Roman"/>
          <w:sz w:val="24"/>
          <w:szCs w:val="24"/>
        </w:rPr>
        <w:t xml:space="preserve">explicitly mentions man and woman </w:t>
      </w:r>
      <w:r w:rsidR="00F73D74">
        <w:rPr>
          <w:rFonts w:ascii="Times New Roman" w:hAnsi="Times New Roman" w:cs="Times New Roman"/>
          <w:sz w:val="24"/>
          <w:szCs w:val="24"/>
        </w:rPr>
        <w:t>which do not incorporate dead under the definition.</w:t>
      </w:r>
    </w:p>
    <w:p w14:paraId="53DC193F" w14:textId="78F75F91" w:rsidR="000658BF" w:rsidRDefault="000658BF"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closely related provision </w:t>
      </w:r>
      <w:r w:rsidR="00E44D5E">
        <w:rPr>
          <w:rFonts w:ascii="Times New Roman" w:hAnsi="Times New Roman" w:cs="Times New Roman"/>
          <w:sz w:val="24"/>
          <w:szCs w:val="24"/>
        </w:rPr>
        <w:t xml:space="preserve">regarding </w:t>
      </w:r>
      <w:r>
        <w:rPr>
          <w:rFonts w:ascii="Times New Roman" w:hAnsi="Times New Roman" w:cs="Times New Roman"/>
          <w:sz w:val="24"/>
          <w:szCs w:val="24"/>
        </w:rPr>
        <w:t xml:space="preserve">respecting dignity of a </w:t>
      </w:r>
      <w:r w:rsidR="00B75A60">
        <w:rPr>
          <w:rFonts w:ascii="Times New Roman" w:hAnsi="Times New Roman" w:cs="Times New Roman"/>
          <w:sz w:val="24"/>
          <w:szCs w:val="24"/>
        </w:rPr>
        <w:t xml:space="preserve">corpse is given under </w:t>
      </w:r>
      <w:r w:rsidR="00A23C9A">
        <w:rPr>
          <w:rFonts w:ascii="Times New Roman" w:hAnsi="Times New Roman" w:cs="Times New Roman"/>
          <w:sz w:val="24"/>
          <w:szCs w:val="24"/>
        </w:rPr>
        <w:t>301 of BNS.</w:t>
      </w:r>
      <w:r w:rsidR="00EE3CBF">
        <w:rPr>
          <w:rStyle w:val="FootnoteReference"/>
          <w:rFonts w:ascii="Times New Roman" w:hAnsi="Times New Roman" w:cs="Times New Roman"/>
          <w:sz w:val="24"/>
          <w:szCs w:val="24"/>
        </w:rPr>
        <w:footnoteReference w:id="19"/>
      </w:r>
      <w:r w:rsidR="00A23C9A">
        <w:rPr>
          <w:rFonts w:ascii="Times New Roman" w:hAnsi="Times New Roman" w:cs="Times New Roman"/>
          <w:sz w:val="24"/>
          <w:szCs w:val="24"/>
        </w:rPr>
        <w:t xml:space="preserve"> Th</w:t>
      </w:r>
      <w:r w:rsidR="00541A0C">
        <w:rPr>
          <w:rFonts w:ascii="Times New Roman" w:hAnsi="Times New Roman" w:cs="Times New Roman"/>
          <w:sz w:val="24"/>
          <w:szCs w:val="24"/>
        </w:rPr>
        <w:t>is remains inadequate considering</w:t>
      </w:r>
      <w:r w:rsidR="00A23C9A">
        <w:rPr>
          <w:rFonts w:ascii="Times New Roman" w:hAnsi="Times New Roman" w:cs="Times New Roman"/>
          <w:sz w:val="24"/>
          <w:szCs w:val="24"/>
        </w:rPr>
        <w:t xml:space="preserve"> it limits itself to religious purposes</w:t>
      </w:r>
      <w:r w:rsidR="00856698">
        <w:rPr>
          <w:rFonts w:ascii="Times New Roman" w:hAnsi="Times New Roman" w:cs="Times New Roman"/>
          <w:sz w:val="24"/>
          <w:szCs w:val="24"/>
        </w:rPr>
        <w:t xml:space="preserve"> </w:t>
      </w:r>
      <w:r w:rsidR="00E44D5E">
        <w:rPr>
          <w:rFonts w:ascii="Times New Roman" w:hAnsi="Times New Roman" w:cs="Times New Roman"/>
          <w:sz w:val="24"/>
          <w:szCs w:val="24"/>
        </w:rPr>
        <w:t>and is punish</w:t>
      </w:r>
      <w:r w:rsidR="002B1292">
        <w:rPr>
          <w:rFonts w:ascii="Times New Roman" w:hAnsi="Times New Roman" w:cs="Times New Roman"/>
          <w:sz w:val="24"/>
          <w:szCs w:val="24"/>
        </w:rPr>
        <w:t xml:space="preserve">able only </w:t>
      </w:r>
      <w:r w:rsidR="002B1292" w:rsidRPr="002B1292">
        <w:rPr>
          <w:rFonts w:ascii="Times New Roman" w:hAnsi="Times New Roman" w:cs="Times New Roman"/>
          <w:sz w:val="24"/>
          <w:szCs w:val="24"/>
        </w:rPr>
        <w:t>punished with imprisonment of either description for a term which may extend to one year, or with fine, or with both.</w:t>
      </w:r>
    </w:p>
    <w:p w14:paraId="1C4FDD22" w14:textId="4F6B6678" w:rsidR="005049A8" w:rsidRDefault="000658BF"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Another</w:t>
      </w:r>
      <w:r w:rsidR="005049A8">
        <w:rPr>
          <w:rFonts w:ascii="Times New Roman" w:hAnsi="Times New Roman" w:cs="Times New Roman"/>
          <w:sz w:val="24"/>
          <w:szCs w:val="24"/>
        </w:rPr>
        <w:t xml:space="preserve"> question that arises is if the corpse cannot be called a human being then is it an object or a property?</w:t>
      </w:r>
      <w:r w:rsidR="00B647F2">
        <w:rPr>
          <w:rStyle w:val="FootnoteReference"/>
          <w:rFonts w:ascii="Times New Roman" w:hAnsi="Times New Roman" w:cs="Times New Roman"/>
          <w:sz w:val="24"/>
          <w:szCs w:val="24"/>
        </w:rPr>
        <w:footnoteReference w:id="20"/>
      </w:r>
      <w:r w:rsidR="005049A8">
        <w:rPr>
          <w:rFonts w:ascii="Times New Roman" w:hAnsi="Times New Roman" w:cs="Times New Roman"/>
          <w:sz w:val="24"/>
          <w:szCs w:val="24"/>
        </w:rPr>
        <w:t xml:space="preserve"> </w:t>
      </w:r>
      <w:r w:rsidR="00315DB5">
        <w:rPr>
          <w:rFonts w:ascii="Times New Roman" w:hAnsi="Times New Roman" w:cs="Times New Roman"/>
          <w:sz w:val="24"/>
          <w:szCs w:val="24"/>
        </w:rPr>
        <w:t xml:space="preserve">If we analyse provisions regarding </w:t>
      </w:r>
      <w:r w:rsidR="00174FDD">
        <w:rPr>
          <w:rFonts w:ascii="Times New Roman" w:hAnsi="Times New Roman" w:cs="Times New Roman"/>
          <w:sz w:val="24"/>
          <w:szCs w:val="24"/>
        </w:rPr>
        <w:t>property</w:t>
      </w:r>
      <w:r w:rsidR="00ED45A8">
        <w:rPr>
          <w:rFonts w:ascii="Times New Roman" w:hAnsi="Times New Roman" w:cs="Times New Roman"/>
          <w:sz w:val="24"/>
          <w:szCs w:val="24"/>
        </w:rPr>
        <w:t>,</w:t>
      </w:r>
      <w:r w:rsidR="00D10BDE">
        <w:rPr>
          <w:rFonts w:ascii="Times New Roman" w:hAnsi="Times New Roman" w:cs="Times New Roman"/>
          <w:sz w:val="24"/>
          <w:szCs w:val="24"/>
        </w:rPr>
        <w:t xml:space="preserve"> nechrophilia</w:t>
      </w:r>
      <w:r w:rsidR="00595AB9">
        <w:rPr>
          <w:rFonts w:ascii="Times New Roman" w:hAnsi="Times New Roman" w:cs="Times New Roman"/>
          <w:sz w:val="24"/>
          <w:szCs w:val="24"/>
        </w:rPr>
        <w:t xml:space="preserve"> could be brought</w:t>
      </w:r>
      <w:r w:rsidR="00D10BDE">
        <w:rPr>
          <w:rFonts w:ascii="Times New Roman" w:hAnsi="Times New Roman" w:cs="Times New Roman"/>
          <w:sz w:val="24"/>
          <w:szCs w:val="24"/>
        </w:rPr>
        <w:t xml:space="preserve"> under vandalism</w:t>
      </w:r>
      <w:r w:rsidR="00595AB9">
        <w:rPr>
          <w:rFonts w:ascii="Times New Roman" w:hAnsi="Times New Roman" w:cs="Times New Roman"/>
          <w:sz w:val="24"/>
          <w:szCs w:val="24"/>
        </w:rPr>
        <w:t xml:space="preserve"> </w:t>
      </w:r>
      <w:r w:rsidR="00990FAB">
        <w:rPr>
          <w:rFonts w:ascii="Times New Roman" w:hAnsi="Times New Roman" w:cs="Times New Roman"/>
          <w:sz w:val="24"/>
          <w:szCs w:val="24"/>
        </w:rPr>
        <w:t>punishable under s</w:t>
      </w:r>
      <w:r w:rsidR="00595AB9">
        <w:rPr>
          <w:rFonts w:ascii="Times New Roman" w:hAnsi="Times New Roman" w:cs="Times New Roman"/>
          <w:sz w:val="24"/>
          <w:szCs w:val="24"/>
        </w:rPr>
        <w:t xml:space="preserve">ection 324 of </w:t>
      </w:r>
      <w:r w:rsidR="00FF0F5F">
        <w:rPr>
          <w:rFonts w:ascii="Times New Roman" w:hAnsi="Times New Roman" w:cs="Times New Roman"/>
          <w:sz w:val="24"/>
          <w:szCs w:val="24"/>
        </w:rPr>
        <w:t>BNS</w:t>
      </w:r>
      <w:r w:rsidR="005239ED">
        <w:rPr>
          <w:rFonts w:ascii="Times New Roman" w:hAnsi="Times New Roman" w:cs="Times New Roman"/>
          <w:sz w:val="24"/>
          <w:szCs w:val="24"/>
        </w:rPr>
        <w:t xml:space="preserve"> dealing with mischief.</w:t>
      </w:r>
      <w:r w:rsidR="00686430">
        <w:rPr>
          <w:rStyle w:val="FootnoteReference"/>
          <w:rFonts w:ascii="Times New Roman" w:hAnsi="Times New Roman" w:cs="Times New Roman"/>
          <w:sz w:val="24"/>
          <w:szCs w:val="24"/>
        </w:rPr>
        <w:footnoteReference w:id="21"/>
      </w:r>
      <w:r w:rsidR="005239ED">
        <w:rPr>
          <w:rFonts w:ascii="Times New Roman" w:hAnsi="Times New Roman" w:cs="Times New Roman"/>
          <w:sz w:val="24"/>
          <w:szCs w:val="24"/>
        </w:rPr>
        <w:t xml:space="preserve"> </w:t>
      </w:r>
      <w:r w:rsidR="00964539">
        <w:rPr>
          <w:rFonts w:ascii="Times New Roman" w:hAnsi="Times New Roman" w:cs="Times New Roman"/>
          <w:sz w:val="24"/>
          <w:szCs w:val="24"/>
        </w:rPr>
        <w:t xml:space="preserve">This again creates other legal issues as </w:t>
      </w:r>
      <w:r w:rsidR="00207F57">
        <w:rPr>
          <w:rFonts w:ascii="Times New Roman" w:hAnsi="Times New Roman" w:cs="Times New Roman"/>
          <w:sz w:val="24"/>
          <w:szCs w:val="24"/>
        </w:rPr>
        <w:t xml:space="preserve">to whose property a dead body is. </w:t>
      </w:r>
      <w:r w:rsidR="000666FC">
        <w:rPr>
          <w:rFonts w:ascii="Times New Roman" w:hAnsi="Times New Roman" w:cs="Times New Roman"/>
          <w:sz w:val="24"/>
          <w:szCs w:val="24"/>
        </w:rPr>
        <w:t>Also, the punishment given under 324(</w:t>
      </w:r>
      <w:r w:rsidR="000B049E">
        <w:rPr>
          <w:rFonts w:ascii="Times New Roman" w:hAnsi="Times New Roman" w:cs="Times New Roman"/>
          <w:sz w:val="24"/>
          <w:szCs w:val="24"/>
        </w:rPr>
        <w:t>3) does not solve our purpose of doing justice to the dead</w:t>
      </w:r>
      <w:r w:rsidR="005E607C">
        <w:rPr>
          <w:rFonts w:ascii="Times New Roman" w:hAnsi="Times New Roman" w:cs="Times New Roman"/>
          <w:sz w:val="24"/>
          <w:szCs w:val="24"/>
        </w:rPr>
        <w:t xml:space="preserve"> which extends only to imprisonment of one year.</w:t>
      </w:r>
      <w:r w:rsidR="00DE56F3">
        <w:rPr>
          <w:rStyle w:val="FootnoteReference"/>
          <w:rFonts w:ascii="Times New Roman" w:hAnsi="Times New Roman" w:cs="Times New Roman"/>
          <w:sz w:val="24"/>
          <w:szCs w:val="24"/>
        </w:rPr>
        <w:footnoteReference w:id="22"/>
      </w:r>
      <w:r w:rsidR="005E607C">
        <w:rPr>
          <w:rFonts w:ascii="Times New Roman" w:hAnsi="Times New Roman" w:cs="Times New Roman"/>
          <w:sz w:val="24"/>
          <w:szCs w:val="24"/>
        </w:rPr>
        <w:t xml:space="preserve"> </w:t>
      </w:r>
    </w:p>
    <w:p w14:paraId="19FAB387" w14:textId="3DE289B2" w:rsidR="003C68B0" w:rsidRDefault="00FF2D61"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Other safeguards related to the dead include provision regarding defamation, misappropriation, etc. but none of it addresses the issue of necrophilia</w:t>
      </w:r>
      <w:r w:rsidR="00A55D03">
        <w:rPr>
          <w:rFonts w:ascii="Times New Roman" w:hAnsi="Times New Roman" w:cs="Times New Roman"/>
          <w:sz w:val="24"/>
          <w:szCs w:val="24"/>
        </w:rPr>
        <w:t xml:space="preserve"> leaving behind a huge gap to fill in future.</w:t>
      </w:r>
    </w:p>
    <w:p w14:paraId="63239895" w14:textId="7F165A63" w:rsidR="003C68B0" w:rsidRPr="004A31E7" w:rsidRDefault="00774140" w:rsidP="00113D72">
      <w:pPr>
        <w:spacing w:line="360" w:lineRule="auto"/>
        <w:rPr>
          <w:rFonts w:ascii="Times New Roman" w:hAnsi="Times New Roman" w:cs="Times New Roman"/>
          <w:b/>
          <w:bCs/>
          <w:sz w:val="24"/>
          <w:szCs w:val="24"/>
        </w:rPr>
      </w:pPr>
      <w:r w:rsidRPr="004A31E7">
        <w:rPr>
          <w:rFonts w:ascii="Times New Roman" w:hAnsi="Times New Roman" w:cs="Times New Roman"/>
          <w:b/>
          <w:bCs/>
          <w:sz w:val="24"/>
          <w:szCs w:val="24"/>
        </w:rPr>
        <w:t>Psychological view and the defen</w:t>
      </w:r>
      <w:r w:rsidR="00BF73E3">
        <w:rPr>
          <w:rFonts w:ascii="Times New Roman" w:hAnsi="Times New Roman" w:cs="Times New Roman"/>
          <w:b/>
          <w:bCs/>
          <w:sz w:val="24"/>
          <w:szCs w:val="24"/>
        </w:rPr>
        <w:t>c</w:t>
      </w:r>
      <w:r w:rsidRPr="004A31E7">
        <w:rPr>
          <w:rFonts w:ascii="Times New Roman" w:hAnsi="Times New Roman" w:cs="Times New Roman"/>
          <w:b/>
          <w:bCs/>
          <w:sz w:val="24"/>
          <w:szCs w:val="24"/>
        </w:rPr>
        <w:t>e of insanity</w:t>
      </w:r>
    </w:p>
    <w:p w14:paraId="0F799E3B" w14:textId="4FFAEC72" w:rsidR="00F33148" w:rsidRDefault="00765F9A"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Necrophilia is widely viewed as paraphilia which denotes to deviant sexual behaviour</w:t>
      </w:r>
      <w:r w:rsidR="00730F3B">
        <w:rPr>
          <w:rFonts w:ascii="Times New Roman" w:hAnsi="Times New Roman" w:cs="Times New Roman"/>
          <w:sz w:val="24"/>
          <w:szCs w:val="24"/>
        </w:rPr>
        <w:t xml:space="preserve"> or </w:t>
      </w:r>
      <w:r w:rsidR="00E312D1">
        <w:rPr>
          <w:rFonts w:ascii="Times New Roman" w:hAnsi="Times New Roman" w:cs="Times New Roman"/>
          <w:sz w:val="24"/>
          <w:szCs w:val="24"/>
        </w:rPr>
        <w:t>sexual interest</w:t>
      </w:r>
      <w:r w:rsidR="00730F3B">
        <w:rPr>
          <w:rFonts w:ascii="Times New Roman" w:hAnsi="Times New Roman" w:cs="Times New Roman"/>
          <w:sz w:val="24"/>
          <w:szCs w:val="24"/>
        </w:rPr>
        <w:t xml:space="preserve"> that is atypical in nature. </w:t>
      </w:r>
      <w:r w:rsidR="007A09E1">
        <w:rPr>
          <w:rFonts w:ascii="Times New Roman" w:hAnsi="Times New Roman" w:cs="Times New Roman"/>
          <w:sz w:val="24"/>
          <w:szCs w:val="24"/>
        </w:rPr>
        <w:t>According to Internation</w:t>
      </w:r>
      <w:r w:rsidR="00221D94">
        <w:rPr>
          <w:rFonts w:ascii="Times New Roman" w:hAnsi="Times New Roman" w:cs="Times New Roman"/>
          <w:sz w:val="24"/>
          <w:szCs w:val="24"/>
        </w:rPr>
        <w:t>al</w:t>
      </w:r>
      <w:r w:rsidR="007A09E1">
        <w:rPr>
          <w:rFonts w:ascii="Times New Roman" w:hAnsi="Times New Roman" w:cs="Times New Roman"/>
          <w:sz w:val="24"/>
          <w:szCs w:val="24"/>
        </w:rPr>
        <w:t xml:space="preserve"> classification of diseases</w:t>
      </w:r>
      <w:r w:rsidR="00221D94">
        <w:rPr>
          <w:rFonts w:ascii="Times New Roman" w:hAnsi="Times New Roman" w:cs="Times New Roman"/>
          <w:sz w:val="24"/>
          <w:szCs w:val="24"/>
        </w:rPr>
        <w:t xml:space="preserve"> by </w:t>
      </w:r>
      <w:r w:rsidR="006B2123">
        <w:rPr>
          <w:rFonts w:ascii="Times New Roman" w:hAnsi="Times New Roman" w:cs="Times New Roman"/>
          <w:sz w:val="24"/>
          <w:szCs w:val="24"/>
        </w:rPr>
        <w:t xml:space="preserve">World Health Organization </w:t>
      </w:r>
      <w:r w:rsidR="00613E22">
        <w:rPr>
          <w:rFonts w:ascii="Times New Roman" w:hAnsi="Times New Roman" w:cs="Times New Roman"/>
          <w:sz w:val="24"/>
          <w:szCs w:val="24"/>
        </w:rPr>
        <w:t>(</w:t>
      </w:r>
      <w:r w:rsidR="00221D94">
        <w:rPr>
          <w:rFonts w:ascii="Times New Roman" w:hAnsi="Times New Roman" w:cs="Times New Roman"/>
          <w:sz w:val="24"/>
          <w:szCs w:val="24"/>
        </w:rPr>
        <w:t>WHO</w:t>
      </w:r>
      <w:r w:rsidR="00613E22">
        <w:rPr>
          <w:rFonts w:ascii="Times New Roman" w:hAnsi="Times New Roman" w:cs="Times New Roman"/>
          <w:sz w:val="24"/>
          <w:szCs w:val="24"/>
        </w:rPr>
        <w:t>)</w:t>
      </w:r>
      <w:r w:rsidR="00221D94">
        <w:rPr>
          <w:rFonts w:ascii="Times New Roman" w:hAnsi="Times New Roman" w:cs="Times New Roman"/>
          <w:sz w:val="24"/>
          <w:szCs w:val="24"/>
        </w:rPr>
        <w:t xml:space="preserve"> and </w:t>
      </w:r>
      <w:r w:rsidR="000F650C" w:rsidRPr="000F650C">
        <w:rPr>
          <w:rFonts w:ascii="Times New Roman" w:hAnsi="Times New Roman" w:cs="Times New Roman"/>
          <w:sz w:val="24"/>
          <w:szCs w:val="24"/>
        </w:rPr>
        <w:t>Diagnostic and Statistical Manual of Mental Disorders</w:t>
      </w:r>
      <w:r w:rsidR="000F650C">
        <w:rPr>
          <w:rFonts w:ascii="Times New Roman" w:hAnsi="Times New Roman" w:cs="Times New Roman"/>
          <w:sz w:val="24"/>
          <w:szCs w:val="24"/>
        </w:rPr>
        <w:t xml:space="preserve"> by </w:t>
      </w:r>
      <w:r w:rsidR="006B2123" w:rsidRPr="006B2123">
        <w:rPr>
          <w:rFonts w:ascii="Times New Roman" w:hAnsi="Times New Roman" w:cs="Times New Roman"/>
          <w:sz w:val="24"/>
          <w:szCs w:val="24"/>
        </w:rPr>
        <w:t>American Psychiatric Association (APA)</w:t>
      </w:r>
      <w:r w:rsidR="00E312D1">
        <w:rPr>
          <w:rFonts w:ascii="Times New Roman" w:hAnsi="Times New Roman" w:cs="Times New Roman"/>
          <w:sz w:val="24"/>
          <w:szCs w:val="24"/>
        </w:rPr>
        <w:t xml:space="preserve">, paraphilia has been recognised </w:t>
      </w:r>
      <w:r w:rsidR="00F33148">
        <w:rPr>
          <w:rFonts w:ascii="Times New Roman" w:hAnsi="Times New Roman" w:cs="Times New Roman"/>
          <w:sz w:val="24"/>
          <w:szCs w:val="24"/>
        </w:rPr>
        <w:t>as a disorder.</w:t>
      </w:r>
      <w:r w:rsidR="006500B8">
        <w:rPr>
          <w:rStyle w:val="FootnoteReference"/>
          <w:rFonts w:ascii="Times New Roman" w:hAnsi="Times New Roman" w:cs="Times New Roman"/>
          <w:sz w:val="24"/>
          <w:szCs w:val="24"/>
        </w:rPr>
        <w:footnoteReference w:id="23"/>
      </w:r>
      <w:r w:rsidR="00F33148">
        <w:rPr>
          <w:rFonts w:ascii="Times New Roman" w:hAnsi="Times New Roman" w:cs="Times New Roman"/>
          <w:sz w:val="24"/>
          <w:szCs w:val="24"/>
        </w:rPr>
        <w:t xml:space="preserve"> </w:t>
      </w:r>
      <w:r w:rsidR="00D6497E">
        <w:rPr>
          <w:rFonts w:ascii="Times New Roman" w:hAnsi="Times New Roman" w:cs="Times New Roman"/>
          <w:sz w:val="24"/>
          <w:szCs w:val="24"/>
        </w:rPr>
        <w:t xml:space="preserve">Indian law </w:t>
      </w:r>
      <w:r w:rsidR="003F5F3D">
        <w:rPr>
          <w:rFonts w:ascii="Times New Roman" w:hAnsi="Times New Roman" w:cs="Times New Roman"/>
          <w:sz w:val="24"/>
          <w:szCs w:val="24"/>
        </w:rPr>
        <w:t>heavily relies on these classifications for resolving psycho-legal issues.</w:t>
      </w:r>
    </w:p>
    <w:p w14:paraId="6287A180" w14:textId="365F5283" w:rsidR="00730F3B" w:rsidRDefault="004616A5"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ICD-10 talks about</w:t>
      </w:r>
      <w:r w:rsidR="00C328D4">
        <w:rPr>
          <w:rFonts w:ascii="Times New Roman" w:hAnsi="Times New Roman" w:cs="Times New Roman"/>
          <w:sz w:val="24"/>
          <w:szCs w:val="24"/>
        </w:rPr>
        <w:t xml:space="preserve"> </w:t>
      </w:r>
      <w:r w:rsidR="00C328D4" w:rsidRPr="006B66FC">
        <w:rPr>
          <w:rFonts w:ascii="Times New Roman" w:hAnsi="Times New Roman" w:cs="Times New Roman"/>
          <w:sz w:val="24"/>
          <w:szCs w:val="24"/>
        </w:rPr>
        <w:t>Disorders of Sexual Preference</w:t>
      </w:r>
      <w:r w:rsidR="00C328D4">
        <w:rPr>
          <w:rFonts w:ascii="Times New Roman" w:hAnsi="Times New Roman" w:cs="Times New Roman"/>
          <w:sz w:val="24"/>
          <w:szCs w:val="24"/>
        </w:rPr>
        <w:t xml:space="preserve"> under F65 </w:t>
      </w:r>
      <w:r w:rsidR="006B66FC">
        <w:rPr>
          <w:rFonts w:ascii="Times New Roman" w:hAnsi="Times New Roman" w:cs="Times New Roman"/>
          <w:sz w:val="24"/>
          <w:szCs w:val="24"/>
        </w:rPr>
        <w:t xml:space="preserve">which </w:t>
      </w:r>
      <w:r w:rsidR="00C328D4">
        <w:rPr>
          <w:rFonts w:ascii="Times New Roman" w:hAnsi="Times New Roman" w:cs="Times New Roman"/>
          <w:sz w:val="24"/>
          <w:szCs w:val="24"/>
        </w:rPr>
        <w:t>includes</w:t>
      </w:r>
      <w:r w:rsidR="006B66FC" w:rsidRPr="006B66FC">
        <w:rPr>
          <w:rFonts w:ascii="Times New Roman" w:hAnsi="Times New Roman" w:cs="Times New Roman"/>
          <w:sz w:val="24"/>
          <w:szCs w:val="24"/>
        </w:rPr>
        <w:t xml:space="preserve"> </w:t>
      </w:r>
      <w:r w:rsidR="006B66FC">
        <w:rPr>
          <w:rFonts w:ascii="Times New Roman" w:hAnsi="Times New Roman" w:cs="Times New Roman"/>
          <w:sz w:val="24"/>
          <w:szCs w:val="24"/>
        </w:rPr>
        <w:t>p</w:t>
      </w:r>
      <w:r w:rsidR="006B66FC" w:rsidRPr="006B66FC">
        <w:rPr>
          <w:rFonts w:ascii="Times New Roman" w:hAnsi="Times New Roman" w:cs="Times New Roman"/>
          <w:sz w:val="24"/>
          <w:szCs w:val="24"/>
        </w:rPr>
        <w:t>edophili</w:t>
      </w:r>
      <w:r w:rsidR="006B66FC">
        <w:rPr>
          <w:rFonts w:ascii="Times New Roman" w:hAnsi="Times New Roman" w:cs="Times New Roman"/>
          <w:sz w:val="24"/>
          <w:szCs w:val="24"/>
        </w:rPr>
        <w:t xml:space="preserve">a, </w:t>
      </w:r>
      <w:r w:rsidR="006B66FC" w:rsidRPr="006B66FC">
        <w:rPr>
          <w:rFonts w:ascii="Times New Roman" w:hAnsi="Times New Roman" w:cs="Times New Roman"/>
          <w:sz w:val="24"/>
          <w:szCs w:val="24"/>
        </w:rPr>
        <w:t>Sadomasochism</w:t>
      </w:r>
      <w:r w:rsidR="006B66FC">
        <w:rPr>
          <w:rFonts w:ascii="Times New Roman" w:hAnsi="Times New Roman" w:cs="Times New Roman"/>
          <w:sz w:val="24"/>
          <w:szCs w:val="24"/>
        </w:rPr>
        <w:t xml:space="preserve"> and other m</w:t>
      </w:r>
      <w:r w:rsidR="006B66FC" w:rsidRPr="006B66FC">
        <w:rPr>
          <w:rFonts w:ascii="Times New Roman" w:hAnsi="Times New Roman" w:cs="Times New Roman"/>
          <w:sz w:val="24"/>
          <w:szCs w:val="24"/>
        </w:rPr>
        <w:t>ultiple disorders of sexual preference</w:t>
      </w:r>
      <w:r w:rsidR="006B66FC">
        <w:rPr>
          <w:rFonts w:ascii="Times New Roman" w:hAnsi="Times New Roman" w:cs="Times New Roman"/>
          <w:sz w:val="24"/>
          <w:szCs w:val="24"/>
        </w:rPr>
        <w:t xml:space="preserve"> which </w:t>
      </w:r>
      <w:r w:rsidR="006E214D">
        <w:rPr>
          <w:rFonts w:ascii="Times New Roman" w:hAnsi="Times New Roman" w:cs="Times New Roman"/>
          <w:sz w:val="24"/>
          <w:szCs w:val="24"/>
        </w:rPr>
        <w:t>can be said to include necrophilia as well</w:t>
      </w:r>
      <w:r w:rsidR="00373481">
        <w:rPr>
          <w:rStyle w:val="FootnoteReference"/>
          <w:rFonts w:ascii="Times New Roman" w:hAnsi="Times New Roman" w:cs="Times New Roman"/>
          <w:sz w:val="24"/>
          <w:szCs w:val="24"/>
        </w:rPr>
        <w:footnoteReference w:id="24"/>
      </w:r>
      <w:r w:rsidR="006E214D">
        <w:rPr>
          <w:rFonts w:ascii="Times New Roman" w:hAnsi="Times New Roman" w:cs="Times New Roman"/>
          <w:sz w:val="24"/>
          <w:szCs w:val="24"/>
        </w:rPr>
        <w:t xml:space="preserve">. </w:t>
      </w:r>
      <w:r w:rsidR="00245A34">
        <w:rPr>
          <w:rFonts w:ascii="Times New Roman" w:hAnsi="Times New Roman" w:cs="Times New Roman"/>
          <w:sz w:val="24"/>
          <w:szCs w:val="24"/>
        </w:rPr>
        <w:t xml:space="preserve">This </w:t>
      </w:r>
      <w:r w:rsidR="00DC0B04">
        <w:rPr>
          <w:rFonts w:ascii="Times New Roman" w:hAnsi="Times New Roman" w:cs="Times New Roman"/>
          <w:sz w:val="24"/>
          <w:szCs w:val="24"/>
        </w:rPr>
        <w:t>i</w:t>
      </w:r>
      <w:r w:rsidR="00245A34">
        <w:rPr>
          <w:rFonts w:ascii="Times New Roman" w:hAnsi="Times New Roman" w:cs="Times New Roman"/>
          <w:sz w:val="24"/>
          <w:szCs w:val="24"/>
        </w:rPr>
        <w:t>s modified by ICD-11 by distinguishing</w:t>
      </w:r>
      <w:r w:rsidR="00643260">
        <w:rPr>
          <w:rFonts w:ascii="Times New Roman" w:hAnsi="Times New Roman" w:cs="Times New Roman"/>
          <w:sz w:val="24"/>
          <w:szCs w:val="24"/>
        </w:rPr>
        <w:t xml:space="preserve"> paraphili</w:t>
      </w:r>
      <w:r w:rsidR="00C3443E">
        <w:rPr>
          <w:rFonts w:ascii="Times New Roman" w:hAnsi="Times New Roman" w:cs="Times New Roman"/>
          <w:sz w:val="24"/>
          <w:szCs w:val="24"/>
        </w:rPr>
        <w:t xml:space="preserve">a into a </w:t>
      </w:r>
      <w:r w:rsidR="00643260">
        <w:rPr>
          <w:rFonts w:ascii="Times New Roman" w:hAnsi="Times New Roman" w:cs="Times New Roman"/>
          <w:sz w:val="24"/>
          <w:szCs w:val="24"/>
        </w:rPr>
        <w:t>disorder</w:t>
      </w:r>
      <w:r w:rsidR="00C3443E">
        <w:rPr>
          <w:rFonts w:ascii="Times New Roman" w:hAnsi="Times New Roman" w:cs="Times New Roman"/>
          <w:sz w:val="24"/>
          <w:szCs w:val="24"/>
        </w:rPr>
        <w:t xml:space="preserve"> </w:t>
      </w:r>
      <w:r w:rsidR="005F4B1D">
        <w:rPr>
          <w:rFonts w:ascii="Times New Roman" w:hAnsi="Times New Roman" w:cs="Times New Roman"/>
          <w:sz w:val="24"/>
          <w:szCs w:val="24"/>
        </w:rPr>
        <w:t>if it</w:t>
      </w:r>
      <w:r w:rsidR="00643260">
        <w:rPr>
          <w:rFonts w:ascii="Times New Roman" w:hAnsi="Times New Roman" w:cs="Times New Roman"/>
          <w:sz w:val="24"/>
          <w:szCs w:val="24"/>
        </w:rPr>
        <w:t xml:space="preserve"> cause</w:t>
      </w:r>
      <w:r w:rsidR="005F4B1D">
        <w:rPr>
          <w:rFonts w:ascii="Times New Roman" w:hAnsi="Times New Roman" w:cs="Times New Roman"/>
          <w:sz w:val="24"/>
          <w:szCs w:val="24"/>
        </w:rPr>
        <w:t>s</w:t>
      </w:r>
      <w:r w:rsidR="00643260">
        <w:rPr>
          <w:rFonts w:ascii="Times New Roman" w:hAnsi="Times New Roman" w:cs="Times New Roman"/>
          <w:sz w:val="24"/>
          <w:szCs w:val="24"/>
        </w:rPr>
        <w:t xml:space="preserve"> harm</w:t>
      </w:r>
      <w:r w:rsidR="004A5D4C">
        <w:rPr>
          <w:rFonts w:ascii="Times New Roman" w:hAnsi="Times New Roman" w:cs="Times New Roman"/>
          <w:sz w:val="24"/>
          <w:szCs w:val="24"/>
        </w:rPr>
        <w:t>, risk or distress</w:t>
      </w:r>
      <w:r w:rsidR="005F4B1D">
        <w:rPr>
          <w:rFonts w:ascii="Times New Roman" w:hAnsi="Times New Roman" w:cs="Times New Roman"/>
          <w:sz w:val="24"/>
          <w:szCs w:val="24"/>
        </w:rPr>
        <w:t xml:space="preserve">. </w:t>
      </w:r>
      <w:r w:rsidR="00C33BA3">
        <w:rPr>
          <w:rFonts w:ascii="Times New Roman" w:hAnsi="Times New Roman" w:cs="Times New Roman"/>
          <w:sz w:val="24"/>
          <w:szCs w:val="24"/>
        </w:rPr>
        <w:t>It is not considered a disorder if</w:t>
      </w:r>
      <w:r w:rsidR="001D6C3A">
        <w:rPr>
          <w:rFonts w:ascii="Times New Roman" w:hAnsi="Times New Roman" w:cs="Times New Roman"/>
          <w:sz w:val="24"/>
          <w:szCs w:val="24"/>
        </w:rPr>
        <w:t xml:space="preserve"> aren’t harmful</w:t>
      </w:r>
      <w:r w:rsidR="00C33BA3">
        <w:rPr>
          <w:rFonts w:ascii="Times New Roman" w:hAnsi="Times New Roman" w:cs="Times New Roman"/>
          <w:sz w:val="24"/>
          <w:szCs w:val="24"/>
        </w:rPr>
        <w:t xml:space="preserve"> or cause distress</w:t>
      </w:r>
      <w:r w:rsidR="001D6C3A">
        <w:rPr>
          <w:rFonts w:ascii="Times New Roman" w:hAnsi="Times New Roman" w:cs="Times New Roman"/>
          <w:sz w:val="24"/>
          <w:szCs w:val="24"/>
        </w:rPr>
        <w:t xml:space="preserve"> like consensual </w:t>
      </w:r>
      <w:r w:rsidR="00555D9B">
        <w:rPr>
          <w:rFonts w:ascii="Times New Roman" w:hAnsi="Times New Roman" w:cs="Times New Roman"/>
          <w:sz w:val="24"/>
          <w:szCs w:val="24"/>
        </w:rPr>
        <w:t xml:space="preserve">BDSM, fetishism, etc. </w:t>
      </w:r>
    </w:p>
    <w:p w14:paraId="0EE01E0F" w14:textId="1CB3B042" w:rsidR="00977386" w:rsidRDefault="00F77B37"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DSM</w:t>
      </w:r>
      <w:r w:rsidR="00117E58">
        <w:rPr>
          <w:rFonts w:ascii="Times New Roman" w:hAnsi="Times New Roman" w:cs="Times New Roman"/>
          <w:sz w:val="24"/>
          <w:szCs w:val="24"/>
        </w:rPr>
        <w:t>-5</w:t>
      </w:r>
      <w:r>
        <w:rPr>
          <w:rFonts w:ascii="Times New Roman" w:hAnsi="Times New Roman" w:cs="Times New Roman"/>
          <w:sz w:val="24"/>
          <w:szCs w:val="24"/>
        </w:rPr>
        <w:t xml:space="preserve"> also </w:t>
      </w:r>
      <w:r w:rsidR="00117E58">
        <w:rPr>
          <w:rFonts w:ascii="Times New Roman" w:hAnsi="Times New Roman" w:cs="Times New Roman"/>
          <w:sz w:val="24"/>
          <w:szCs w:val="24"/>
        </w:rPr>
        <w:t xml:space="preserve">distinguishes between paraphilias </w:t>
      </w:r>
      <w:r w:rsidR="00D21637">
        <w:rPr>
          <w:rFonts w:ascii="Times New Roman" w:hAnsi="Times New Roman" w:cs="Times New Roman"/>
          <w:sz w:val="24"/>
          <w:szCs w:val="24"/>
        </w:rPr>
        <w:t>and paraphilic disorder similarly</w:t>
      </w:r>
      <w:r w:rsidR="001C0F68">
        <w:rPr>
          <w:rFonts w:ascii="Times New Roman" w:hAnsi="Times New Roman" w:cs="Times New Roman"/>
          <w:sz w:val="24"/>
          <w:szCs w:val="24"/>
        </w:rPr>
        <w:t xml:space="preserve"> wherein latter involves a non</w:t>
      </w:r>
      <w:r w:rsidR="00E82129">
        <w:rPr>
          <w:rFonts w:ascii="Times New Roman" w:hAnsi="Times New Roman" w:cs="Times New Roman"/>
          <w:sz w:val="24"/>
          <w:szCs w:val="24"/>
        </w:rPr>
        <w:t>-</w:t>
      </w:r>
      <w:r w:rsidR="001C0F68">
        <w:rPr>
          <w:rFonts w:ascii="Times New Roman" w:hAnsi="Times New Roman" w:cs="Times New Roman"/>
          <w:sz w:val="24"/>
          <w:szCs w:val="24"/>
        </w:rPr>
        <w:t>consenting individual or causes distress.</w:t>
      </w:r>
      <w:r w:rsidR="00265D32">
        <w:rPr>
          <w:rStyle w:val="FootnoteReference"/>
          <w:rFonts w:ascii="Times New Roman" w:hAnsi="Times New Roman" w:cs="Times New Roman"/>
          <w:sz w:val="24"/>
          <w:szCs w:val="24"/>
        </w:rPr>
        <w:footnoteReference w:id="25"/>
      </w:r>
      <w:r w:rsidR="001C0F68">
        <w:rPr>
          <w:rFonts w:ascii="Times New Roman" w:hAnsi="Times New Roman" w:cs="Times New Roman"/>
          <w:sz w:val="24"/>
          <w:szCs w:val="24"/>
        </w:rPr>
        <w:t xml:space="preserve"> </w:t>
      </w:r>
    </w:p>
    <w:p w14:paraId="0B98C557" w14:textId="11702E4F" w:rsidR="00555D9B" w:rsidRDefault="00977386"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This raises a valid ground to be considered before penalizing </w:t>
      </w:r>
      <w:r w:rsidR="00030BFA">
        <w:rPr>
          <w:rFonts w:ascii="Times New Roman" w:hAnsi="Times New Roman" w:cs="Times New Roman"/>
          <w:sz w:val="24"/>
          <w:szCs w:val="24"/>
        </w:rPr>
        <w:t xml:space="preserve">necrophilia as a whole. </w:t>
      </w:r>
      <w:r w:rsidR="002C74BB">
        <w:rPr>
          <w:rFonts w:ascii="Times New Roman" w:hAnsi="Times New Roman" w:cs="Times New Roman"/>
          <w:sz w:val="24"/>
          <w:szCs w:val="24"/>
        </w:rPr>
        <w:t xml:space="preserve">The mere sexual interest in dead or attraction towards them cannot be criminalised if </w:t>
      </w:r>
      <w:r w:rsidR="007461F3">
        <w:rPr>
          <w:rFonts w:ascii="Times New Roman" w:hAnsi="Times New Roman" w:cs="Times New Roman"/>
          <w:sz w:val="24"/>
          <w:szCs w:val="24"/>
        </w:rPr>
        <w:t>there is no</w:t>
      </w:r>
      <w:r w:rsidR="002301A9">
        <w:rPr>
          <w:rFonts w:ascii="Times New Roman" w:hAnsi="Times New Roman" w:cs="Times New Roman"/>
          <w:sz w:val="24"/>
          <w:szCs w:val="24"/>
        </w:rPr>
        <w:t xml:space="preserve"> act associated with </w:t>
      </w:r>
      <w:r w:rsidR="002C74BB">
        <w:rPr>
          <w:rFonts w:ascii="Times New Roman" w:hAnsi="Times New Roman" w:cs="Times New Roman"/>
          <w:sz w:val="24"/>
          <w:szCs w:val="24"/>
        </w:rPr>
        <w:t>it</w:t>
      </w:r>
      <w:r w:rsidR="002301A9">
        <w:rPr>
          <w:rFonts w:ascii="Times New Roman" w:hAnsi="Times New Roman" w:cs="Times New Roman"/>
          <w:sz w:val="24"/>
          <w:szCs w:val="24"/>
        </w:rPr>
        <w:t xml:space="preserve">. But if there is a </w:t>
      </w:r>
      <w:r w:rsidR="000D7406">
        <w:rPr>
          <w:rFonts w:ascii="Times New Roman" w:hAnsi="Times New Roman" w:cs="Times New Roman"/>
          <w:sz w:val="24"/>
          <w:szCs w:val="24"/>
        </w:rPr>
        <w:t>succeeding act coupled with the interest that needs to be penalis</w:t>
      </w:r>
      <w:r w:rsidR="00095C6D">
        <w:rPr>
          <w:rFonts w:ascii="Times New Roman" w:hAnsi="Times New Roman" w:cs="Times New Roman"/>
          <w:sz w:val="24"/>
          <w:szCs w:val="24"/>
        </w:rPr>
        <w:t xml:space="preserve">ed. Question here is that if the latter is classified as a disorder </w:t>
      </w:r>
      <w:r w:rsidR="000F33DA">
        <w:rPr>
          <w:rFonts w:ascii="Times New Roman" w:hAnsi="Times New Roman" w:cs="Times New Roman"/>
          <w:sz w:val="24"/>
          <w:szCs w:val="24"/>
        </w:rPr>
        <w:t xml:space="preserve">does </w:t>
      </w:r>
      <w:r w:rsidR="00095C6D">
        <w:rPr>
          <w:rFonts w:ascii="Times New Roman" w:hAnsi="Times New Roman" w:cs="Times New Roman"/>
          <w:sz w:val="24"/>
          <w:szCs w:val="24"/>
        </w:rPr>
        <w:t>that mean</w:t>
      </w:r>
      <w:r w:rsidR="000F33DA">
        <w:rPr>
          <w:rFonts w:ascii="Times New Roman" w:hAnsi="Times New Roman" w:cs="Times New Roman"/>
          <w:sz w:val="24"/>
          <w:szCs w:val="24"/>
        </w:rPr>
        <w:t xml:space="preserve"> </w:t>
      </w:r>
      <w:r w:rsidR="00A955B2">
        <w:rPr>
          <w:rFonts w:ascii="Times New Roman" w:hAnsi="Times New Roman" w:cs="Times New Roman"/>
          <w:sz w:val="24"/>
          <w:szCs w:val="24"/>
        </w:rPr>
        <w:t>that the intent is not present</w:t>
      </w:r>
      <w:r w:rsidR="005E5EAE">
        <w:rPr>
          <w:rFonts w:ascii="Times New Roman" w:hAnsi="Times New Roman" w:cs="Times New Roman"/>
          <w:sz w:val="24"/>
          <w:szCs w:val="24"/>
        </w:rPr>
        <w:t xml:space="preserve"> or it can save the </w:t>
      </w:r>
      <w:r w:rsidR="002A0878">
        <w:rPr>
          <w:rFonts w:ascii="Times New Roman" w:hAnsi="Times New Roman" w:cs="Times New Roman"/>
          <w:sz w:val="24"/>
          <w:szCs w:val="24"/>
        </w:rPr>
        <w:t xml:space="preserve">necrophile from being </w:t>
      </w:r>
      <w:r w:rsidR="001C1D34">
        <w:rPr>
          <w:rFonts w:ascii="Times New Roman" w:hAnsi="Times New Roman" w:cs="Times New Roman"/>
          <w:sz w:val="24"/>
          <w:szCs w:val="24"/>
        </w:rPr>
        <w:t>convicted</w:t>
      </w:r>
      <w:r w:rsidR="004A31E7">
        <w:rPr>
          <w:rFonts w:ascii="Times New Roman" w:hAnsi="Times New Roman" w:cs="Times New Roman"/>
          <w:sz w:val="24"/>
          <w:szCs w:val="24"/>
        </w:rPr>
        <w:t xml:space="preserve"> if such a law comes in place. </w:t>
      </w:r>
    </w:p>
    <w:p w14:paraId="51BC719E" w14:textId="6D5FA9C2" w:rsidR="004A31E7" w:rsidRDefault="008F1B5B"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close nexus to this defence would be </w:t>
      </w:r>
      <w:r w:rsidR="004953E7">
        <w:rPr>
          <w:rFonts w:ascii="Times New Roman" w:hAnsi="Times New Roman" w:cs="Times New Roman"/>
          <w:sz w:val="24"/>
          <w:szCs w:val="24"/>
        </w:rPr>
        <w:t>section 22 of BNS which states that</w:t>
      </w:r>
      <w:r w:rsidR="004E5239">
        <w:rPr>
          <w:rFonts w:ascii="Times New Roman" w:hAnsi="Times New Roman" w:cs="Times New Roman"/>
          <w:sz w:val="24"/>
          <w:szCs w:val="24"/>
        </w:rPr>
        <w:t xml:space="preserve"> ‘</w:t>
      </w:r>
      <w:r w:rsidR="004E5239" w:rsidRPr="004E5239">
        <w:rPr>
          <w:rFonts w:ascii="Times New Roman" w:hAnsi="Times New Roman" w:cs="Times New Roman"/>
          <w:sz w:val="24"/>
          <w:szCs w:val="24"/>
        </w:rPr>
        <w:t>Nothing is an offence which is done by a person who, at the time of doing it, by reason of unsoundness of mind, is incapable of knowing the nature of the act, or that he is doing what is either wrong or contrary to law</w:t>
      </w:r>
      <w:r w:rsidR="00DE55D3">
        <w:rPr>
          <w:rFonts w:ascii="Times New Roman" w:hAnsi="Times New Roman" w:cs="Times New Roman"/>
          <w:sz w:val="24"/>
          <w:szCs w:val="24"/>
        </w:rPr>
        <w:t>’</w:t>
      </w:r>
      <w:r w:rsidR="004E5239" w:rsidRPr="004E5239">
        <w:rPr>
          <w:rFonts w:ascii="Times New Roman" w:hAnsi="Times New Roman" w:cs="Times New Roman"/>
          <w:sz w:val="24"/>
          <w:szCs w:val="24"/>
        </w:rPr>
        <w:t>.</w:t>
      </w:r>
      <w:r w:rsidR="00522C62">
        <w:rPr>
          <w:rStyle w:val="FootnoteReference"/>
          <w:rFonts w:ascii="Times New Roman" w:hAnsi="Times New Roman" w:cs="Times New Roman"/>
          <w:sz w:val="24"/>
          <w:szCs w:val="24"/>
        </w:rPr>
        <w:footnoteReference w:id="26"/>
      </w:r>
      <w:r w:rsidR="004A31E7">
        <w:rPr>
          <w:rFonts w:ascii="Times New Roman" w:hAnsi="Times New Roman" w:cs="Times New Roman"/>
          <w:sz w:val="24"/>
          <w:szCs w:val="24"/>
        </w:rPr>
        <w:t>Analysing this pr</w:t>
      </w:r>
      <w:r w:rsidR="009D6E2D">
        <w:rPr>
          <w:rFonts w:ascii="Times New Roman" w:hAnsi="Times New Roman" w:cs="Times New Roman"/>
          <w:sz w:val="24"/>
          <w:szCs w:val="24"/>
        </w:rPr>
        <w:t xml:space="preserve">ovision, it can be seen that it revolves around the intent of the act which is absent in case of many mental disorders </w:t>
      </w:r>
      <w:r w:rsidR="00235F2D">
        <w:rPr>
          <w:rFonts w:ascii="Times New Roman" w:hAnsi="Times New Roman" w:cs="Times New Roman"/>
          <w:sz w:val="24"/>
          <w:szCs w:val="24"/>
        </w:rPr>
        <w:t>involving unsoundness of mind.</w:t>
      </w:r>
      <w:r w:rsidR="00D078A6">
        <w:rPr>
          <w:rStyle w:val="FootnoteReference"/>
          <w:rFonts w:ascii="Times New Roman" w:hAnsi="Times New Roman" w:cs="Times New Roman"/>
          <w:sz w:val="24"/>
          <w:szCs w:val="24"/>
        </w:rPr>
        <w:footnoteReference w:id="27"/>
      </w:r>
      <w:r w:rsidR="00235F2D">
        <w:rPr>
          <w:rFonts w:ascii="Times New Roman" w:hAnsi="Times New Roman" w:cs="Times New Roman"/>
          <w:sz w:val="24"/>
          <w:szCs w:val="24"/>
        </w:rPr>
        <w:t xml:space="preserve"> </w:t>
      </w:r>
      <w:r w:rsidR="0038188C">
        <w:rPr>
          <w:rFonts w:ascii="Times New Roman" w:hAnsi="Times New Roman" w:cs="Times New Roman"/>
          <w:sz w:val="24"/>
          <w:szCs w:val="24"/>
        </w:rPr>
        <w:t xml:space="preserve">Even though necrophilia is considered a disorder but it differs in the very nature of the condition </w:t>
      </w:r>
      <w:r w:rsidR="005B7C6D">
        <w:rPr>
          <w:rFonts w:ascii="Times New Roman" w:hAnsi="Times New Roman" w:cs="Times New Roman"/>
          <w:sz w:val="24"/>
          <w:szCs w:val="24"/>
        </w:rPr>
        <w:t xml:space="preserve">wherein intention is present. </w:t>
      </w:r>
      <w:r w:rsidR="008762B4">
        <w:rPr>
          <w:rFonts w:ascii="Times New Roman" w:hAnsi="Times New Roman" w:cs="Times New Roman"/>
          <w:sz w:val="24"/>
          <w:szCs w:val="24"/>
        </w:rPr>
        <w:t xml:space="preserve">Also, to assess insanity as a plea one needs to ascertain the behaviour before and after commission of the act </w:t>
      </w:r>
      <w:r w:rsidR="000D4E52">
        <w:rPr>
          <w:rFonts w:ascii="Times New Roman" w:hAnsi="Times New Roman" w:cs="Times New Roman"/>
          <w:sz w:val="24"/>
          <w:szCs w:val="24"/>
        </w:rPr>
        <w:t xml:space="preserve">which proves to be normal in the case of a necrophile. </w:t>
      </w:r>
    </w:p>
    <w:p w14:paraId="44FF7CD6" w14:textId="448D4DD9" w:rsidR="000D4E52" w:rsidRDefault="00F964AE"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Hence, a law in place would</w:t>
      </w:r>
      <w:r w:rsidR="005800D9">
        <w:rPr>
          <w:rFonts w:ascii="Times New Roman" w:hAnsi="Times New Roman" w:cs="Times New Roman"/>
          <w:sz w:val="24"/>
          <w:szCs w:val="24"/>
        </w:rPr>
        <w:t xml:space="preserve"> prove to be </w:t>
      </w:r>
      <w:r w:rsidR="00DD63A5">
        <w:rPr>
          <w:rFonts w:ascii="Times New Roman" w:hAnsi="Times New Roman" w:cs="Times New Roman"/>
          <w:sz w:val="24"/>
          <w:szCs w:val="24"/>
        </w:rPr>
        <w:t xml:space="preserve">justified considering it lies beyond the ambit of </w:t>
      </w:r>
      <w:r w:rsidR="00E135DA">
        <w:rPr>
          <w:rFonts w:ascii="Times New Roman" w:hAnsi="Times New Roman" w:cs="Times New Roman"/>
          <w:sz w:val="24"/>
          <w:szCs w:val="24"/>
        </w:rPr>
        <w:t>any such defen</w:t>
      </w:r>
      <w:r w:rsidR="001E3290">
        <w:rPr>
          <w:rFonts w:ascii="Times New Roman" w:hAnsi="Times New Roman" w:cs="Times New Roman"/>
          <w:sz w:val="24"/>
          <w:szCs w:val="24"/>
        </w:rPr>
        <w:t>c</w:t>
      </w:r>
      <w:r w:rsidR="00E135DA">
        <w:rPr>
          <w:rFonts w:ascii="Times New Roman" w:hAnsi="Times New Roman" w:cs="Times New Roman"/>
          <w:sz w:val="24"/>
          <w:szCs w:val="24"/>
        </w:rPr>
        <w:t>e which would render it unsuccessful</w:t>
      </w:r>
      <w:r w:rsidR="001101DB">
        <w:rPr>
          <w:rFonts w:ascii="Times New Roman" w:hAnsi="Times New Roman" w:cs="Times New Roman"/>
          <w:sz w:val="24"/>
          <w:szCs w:val="24"/>
        </w:rPr>
        <w:t xml:space="preserve"> and the recognition of necrophilia as disorder will </w:t>
      </w:r>
      <w:r w:rsidR="00281D72">
        <w:rPr>
          <w:rFonts w:ascii="Times New Roman" w:hAnsi="Times New Roman" w:cs="Times New Roman"/>
          <w:sz w:val="24"/>
          <w:szCs w:val="24"/>
        </w:rPr>
        <w:t xml:space="preserve">help in rehabilitation and counselling of offenders to prevent future </w:t>
      </w:r>
      <w:r w:rsidR="00E04C0B">
        <w:rPr>
          <w:rFonts w:ascii="Times New Roman" w:hAnsi="Times New Roman" w:cs="Times New Roman"/>
          <w:sz w:val="24"/>
          <w:szCs w:val="24"/>
        </w:rPr>
        <w:t xml:space="preserve">similar </w:t>
      </w:r>
      <w:r w:rsidR="00281D72">
        <w:rPr>
          <w:rFonts w:ascii="Times New Roman" w:hAnsi="Times New Roman" w:cs="Times New Roman"/>
          <w:sz w:val="24"/>
          <w:szCs w:val="24"/>
        </w:rPr>
        <w:t>cases.</w:t>
      </w:r>
    </w:p>
    <w:p w14:paraId="410CD996" w14:textId="16C9BF99" w:rsidR="003D2788" w:rsidRDefault="00DC3E03" w:rsidP="00113D72">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Foreign jurisdiction </w:t>
      </w:r>
      <w:r w:rsidR="00736C22">
        <w:rPr>
          <w:rFonts w:ascii="Times New Roman" w:hAnsi="Times New Roman" w:cs="Times New Roman"/>
          <w:b/>
          <w:bCs/>
          <w:sz w:val="24"/>
          <w:szCs w:val="24"/>
        </w:rPr>
        <w:t xml:space="preserve">laws </w:t>
      </w:r>
      <w:r>
        <w:rPr>
          <w:rFonts w:ascii="Times New Roman" w:hAnsi="Times New Roman" w:cs="Times New Roman"/>
          <w:b/>
          <w:bCs/>
          <w:sz w:val="24"/>
          <w:szCs w:val="24"/>
        </w:rPr>
        <w:t xml:space="preserve">as </w:t>
      </w:r>
      <w:r w:rsidR="0003314D">
        <w:rPr>
          <w:rFonts w:ascii="Times New Roman" w:hAnsi="Times New Roman" w:cs="Times New Roman"/>
          <w:b/>
          <w:bCs/>
          <w:sz w:val="24"/>
          <w:szCs w:val="24"/>
        </w:rPr>
        <w:t>precedent</w:t>
      </w:r>
    </w:p>
    <w:p w14:paraId="6ECD2C09" w14:textId="3DFF858E" w:rsidR="008A151D" w:rsidRPr="008A151D" w:rsidRDefault="008A151D"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Many countries </w:t>
      </w:r>
      <w:r w:rsidR="002145BD">
        <w:rPr>
          <w:rFonts w:ascii="Times New Roman" w:hAnsi="Times New Roman" w:cs="Times New Roman"/>
          <w:sz w:val="24"/>
          <w:szCs w:val="24"/>
        </w:rPr>
        <w:t>are ahead of Indi</w:t>
      </w:r>
      <w:r w:rsidR="006B6183">
        <w:rPr>
          <w:rFonts w:ascii="Times New Roman" w:hAnsi="Times New Roman" w:cs="Times New Roman"/>
          <w:sz w:val="24"/>
          <w:szCs w:val="24"/>
        </w:rPr>
        <w:t>a in crim</w:t>
      </w:r>
      <w:r w:rsidR="003D63B4">
        <w:rPr>
          <w:rFonts w:ascii="Times New Roman" w:hAnsi="Times New Roman" w:cs="Times New Roman"/>
          <w:sz w:val="24"/>
          <w:szCs w:val="24"/>
        </w:rPr>
        <w:t>inalising the act of necrophilia</w:t>
      </w:r>
      <w:r w:rsidR="002E1D81">
        <w:rPr>
          <w:rFonts w:ascii="Times New Roman" w:hAnsi="Times New Roman" w:cs="Times New Roman"/>
          <w:sz w:val="24"/>
          <w:szCs w:val="24"/>
        </w:rPr>
        <w:t xml:space="preserve">. Majority do not have separate provision for this in their rape or sexual offences laws </w:t>
      </w:r>
      <w:r w:rsidR="009B49A3">
        <w:rPr>
          <w:rFonts w:ascii="Times New Roman" w:hAnsi="Times New Roman" w:cs="Times New Roman"/>
          <w:sz w:val="24"/>
          <w:szCs w:val="24"/>
        </w:rPr>
        <w:t xml:space="preserve">but provide safeguards under desecration of corpse. </w:t>
      </w:r>
    </w:p>
    <w:p w14:paraId="2E902562" w14:textId="72C6B540" w:rsidR="000253BC" w:rsidRDefault="00B54225"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UK </w:t>
      </w:r>
      <w:r w:rsidR="00120394">
        <w:rPr>
          <w:rFonts w:ascii="Times New Roman" w:hAnsi="Times New Roman" w:cs="Times New Roman"/>
          <w:sz w:val="24"/>
          <w:szCs w:val="24"/>
        </w:rPr>
        <w:t>has proved to be</w:t>
      </w:r>
      <w:r>
        <w:rPr>
          <w:rFonts w:ascii="Times New Roman" w:hAnsi="Times New Roman" w:cs="Times New Roman"/>
          <w:sz w:val="24"/>
          <w:szCs w:val="24"/>
        </w:rPr>
        <w:t xml:space="preserve"> a </w:t>
      </w:r>
      <w:r w:rsidR="00120394">
        <w:rPr>
          <w:rFonts w:ascii="Times New Roman" w:hAnsi="Times New Roman" w:cs="Times New Roman"/>
          <w:sz w:val="24"/>
          <w:szCs w:val="24"/>
        </w:rPr>
        <w:t xml:space="preserve">pioneer is this area. </w:t>
      </w:r>
      <w:r w:rsidR="0054108C" w:rsidRPr="0054108C">
        <w:rPr>
          <w:rFonts w:ascii="Times New Roman" w:hAnsi="Times New Roman" w:cs="Times New Roman"/>
          <w:sz w:val="24"/>
          <w:szCs w:val="24"/>
        </w:rPr>
        <w:t xml:space="preserve">According to Section 70 </w:t>
      </w:r>
      <w:r w:rsidR="0063572E">
        <w:rPr>
          <w:rFonts w:ascii="Times New Roman" w:hAnsi="Times New Roman" w:cs="Times New Roman"/>
          <w:sz w:val="24"/>
          <w:szCs w:val="24"/>
        </w:rPr>
        <w:t>of Sexual Offences Act, 2003</w:t>
      </w:r>
      <w:r w:rsidR="00AB75D1">
        <w:rPr>
          <w:rFonts w:ascii="Times New Roman" w:hAnsi="Times New Roman" w:cs="Times New Roman"/>
          <w:sz w:val="24"/>
          <w:szCs w:val="24"/>
        </w:rPr>
        <w:t xml:space="preserve"> in UK, </w:t>
      </w:r>
      <w:r w:rsidR="002477AE">
        <w:rPr>
          <w:rFonts w:ascii="Times New Roman" w:hAnsi="Times New Roman" w:cs="Times New Roman"/>
          <w:sz w:val="24"/>
          <w:szCs w:val="24"/>
        </w:rPr>
        <w:t>it’s an offence for whoever</w:t>
      </w:r>
      <w:r w:rsidR="00355AA2">
        <w:rPr>
          <w:rFonts w:ascii="Times New Roman" w:hAnsi="Times New Roman" w:cs="Times New Roman"/>
          <w:sz w:val="24"/>
          <w:szCs w:val="24"/>
        </w:rPr>
        <w:t xml:space="preserve"> tries to</w:t>
      </w:r>
      <w:r w:rsidR="002477AE">
        <w:rPr>
          <w:rFonts w:ascii="Times New Roman" w:hAnsi="Times New Roman" w:cs="Times New Roman"/>
          <w:sz w:val="24"/>
          <w:szCs w:val="24"/>
        </w:rPr>
        <w:t xml:space="preserve"> </w:t>
      </w:r>
      <w:r w:rsidR="00AB75D1" w:rsidRPr="00AB75D1">
        <w:rPr>
          <w:rFonts w:ascii="Times New Roman" w:hAnsi="Times New Roman" w:cs="Times New Roman"/>
          <w:sz w:val="24"/>
          <w:szCs w:val="24"/>
        </w:rPr>
        <w:t>(</w:t>
      </w:r>
      <w:r w:rsidR="002477AE">
        <w:rPr>
          <w:rFonts w:ascii="Times New Roman" w:hAnsi="Times New Roman" w:cs="Times New Roman"/>
          <w:sz w:val="24"/>
          <w:szCs w:val="24"/>
        </w:rPr>
        <w:t>a</w:t>
      </w:r>
      <w:r w:rsidR="00AB75D1" w:rsidRPr="00AB75D1">
        <w:rPr>
          <w:rFonts w:ascii="Times New Roman" w:hAnsi="Times New Roman" w:cs="Times New Roman"/>
          <w:sz w:val="24"/>
          <w:szCs w:val="24"/>
        </w:rPr>
        <w:t>) intentionally penetrate any part of the body of a dead person (</w:t>
      </w:r>
      <w:r w:rsidR="002477AE">
        <w:rPr>
          <w:rFonts w:ascii="Times New Roman" w:hAnsi="Times New Roman" w:cs="Times New Roman"/>
          <w:sz w:val="24"/>
          <w:szCs w:val="24"/>
        </w:rPr>
        <w:t>b</w:t>
      </w:r>
      <w:r w:rsidR="00AB75D1" w:rsidRPr="00AB75D1">
        <w:rPr>
          <w:rFonts w:ascii="Times New Roman" w:hAnsi="Times New Roman" w:cs="Times New Roman"/>
          <w:sz w:val="24"/>
          <w:szCs w:val="24"/>
        </w:rPr>
        <w:t>) with his penis, any other body part (for example his finger), or any other object, where that penetration is sexual.</w:t>
      </w:r>
      <w:r w:rsidR="00EB52DF">
        <w:rPr>
          <w:rStyle w:val="FootnoteReference"/>
          <w:rFonts w:ascii="Times New Roman" w:hAnsi="Times New Roman" w:cs="Times New Roman"/>
          <w:sz w:val="24"/>
          <w:szCs w:val="24"/>
        </w:rPr>
        <w:footnoteReference w:id="28"/>
      </w:r>
      <w:r w:rsidR="00AB75D1" w:rsidRPr="00AB75D1">
        <w:rPr>
          <w:rFonts w:ascii="Times New Roman" w:hAnsi="Times New Roman" w:cs="Times New Roman"/>
          <w:sz w:val="24"/>
          <w:szCs w:val="24"/>
        </w:rPr>
        <w:t> </w:t>
      </w:r>
      <w:r w:rsidR="00990CC6">
        <w:rPr>
          <w:rFonts w:ascii="Times New Roman" w:hAnsi="Times New Roman" w:cs="Times New Roman"/>
          <w:sz w:val="24"/>
          <w:szCs w:val="24"/>
        </w:rPr>
        <w:t xml:space="preserve"> </w:t>
      </w:r>
    </w:p>
    <w:p w14:paraId="27E056F3" w14:textId="3E474519" w:rsidR="00E67FE6" w:rsidRPr="00FC27FC" w:rsidRDefault="000253BC"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 </w:t>
      </w:r>
      <w:r w:rsidR="008E67AD">
        <w:rPr>
          <w:rFonts w:ascii="Times New Roman" w:hAnsi="Times New Roman" w:cs="Times New Roman"/>
          <w:sz w:val="24"/>
          <w:szCs w:val="24"/>
        </w:rPr>
        <w:t>S</w:t>
      </w:r>
      <w:r w:rsidR="00F56771">
        <w:rPr>
          <w:rFonts w:ascii="Times New Roman" w:hAnsi="Times New Roman" w:cs="Times New Roman"/>
          <w:sz w:val="24"/>
          <w:szCs w:val="24"/>
        </w:rPr>
        <w:t>outh Africa</w:t>
      </w:r>
      <w:r>
        <w:rPr>
          <w:rFonts w:ascii="Times New Roman" w:hAnsi="Times New Roman" w:cs="Times New Roman"/>
          <w:sz w:val="24"/>
          <w:szCs w:val="24"/>
        </w:rPr>
        <w:t xml:space="preserve">, under </w:t>
      </w:r>
      <w:r w:rsidR="00FC27FC">
        <w:rPr>
          <w:rFonts w:ascii="Times New Roman" w:hAnsi="Times New Roman" w:cs="Times New Roman"/>
          <w:sz w:val="24"/>
          <w:szCs w:val="24"/>
        </w:rPr>
        <w:t xml:space="preserve">Section 15 of </w:t>
      </w:r>
      <w:r w:rsidR="00FC27FC" w:rsidRPr="00FC27FC">
        <w:rPr>
          <w:rFonts w:ascii="Times New Roman" w:hAnsi="Times New Roman" w:cs="Times New Roman"/>
          <w:sz w:val="24"/>
          <w:szCs w:val="24"/>
        </w:rPr>
        <w:t>Criminal Law (Sexual Offences and Related Matters) Amendment Act, 2007</w:t>
      </w:r>
      <w:r w:rsidR="00FC27FC">
        <w:rPr>
          <w:rFonts w:ascii="Times New Roman" w:hAnsi="Times New Roman" w:cs="Times New Roman"/>
          <w:sz w:val="24"/>
          <w:szCs w:val="24"/>
        </w:rPr>
        <w:t xml:space="preserve">, </w:t>
      </w:r>
      <w:r>
        <w:rPr>
          <w:rFonts w:ascii="Times New Roman" w:hAnsi="Times New Roman" w:cs="Times New Roman"/>
          <w:sz w:val="24"/>
          <w:szCs w:val="24"/>
        </w:rPr>
        <w:t>s</w:t>
      </w:r>
      <w:r w:rsidRPr="000253BC">
        <w:rPr>
          <w:rFonts w:ascii="Times New Roman" w:hAnsi="Times New Roman" w:cs="Times New Roman"/>
          <w:sz w:val="24"/>
          <w:szCs w:val="24"/>
        </w:rPr>
        <w:t>exual violation of a corpse is a criminal offense, punishable by imprisonment.</w:t>
      </w:r>
      <w:r w:rsidR="00E93616">
        <w:rPr>
          <w:rStyle w:val="FootnoteReference"/>
          <w:rFonts w:ascii="Times New Roman" w:hAnsi="Times New Roman" w:cs="Times New Roman"/>
          <w:sz w:val="24"/>
          <w:szCs w:val="24"/>
        </w:rPr>
        <w:footnoteReference w:id="29"/>
      </w:r>
    </w:p>
    <w:p w14:paraId="68D1E084" w14:textId="19ED467D" w:rsidR="00F56771" w:rsidRDefault="00F56771" w:rsidP="00113D72">
      <w:pPr>
        <w:spacing w:line="360" w:lineRule="auto"/>
        <w:jc w:val="both"/>
        <w:rPr>
          <w:rFonts w:ascii="Times New Roman" w:hAnsi="Times New Roman" w:cs="Times New Roman"/>
          <w:sz w:val="24"/>
          <w:szCs w:val="24"/>
        </w:rPr>
      </w:pPr>
      <w:r w:rsidRPr="00FC27FC">
        <w:rPr>
          <w:rFonts w:ascii="Times New Roman" w:hAnsi="Times New Roman" w:cs="Times New Roman"/>
          <w:sz w:val="24"/>
          <w:szCs w:val="24"/>
        </w:rPr>
        <w:t>In Canada, Section 182</w:t>
      </w:r>
      <w:r w:rsidRPr="003D6B3C">
        <w:rPr>
          <w:rFonts w:ascii="Times New Roman" w:hAnsi="Times New Roman" w:cs="Times New Roman"/>
          <w:sz w:val="24"/>
          <w:szCs w:val="24"/>
        </w:rPr>
        <w:t> </w:t>
      </w:r>
      <w:r>
        <w:rPr>
          <w:rFonts w:ascii="Times New Roman" w:hAnsi="Times New Roman" w:cs="Times New Roman"/>
          <w:sz w:val="24"/>
          <w:szCs w:val="24"/>
        </w:rPr>
        <w:t>of the Criminal Code states that e</w:t>
      </w:r>
      <w:r w:rsidRPr="003D6B3C">
        <w:rPr>
          <w:rFonts w:ascii="Times New Roman" w:hAnsi="Times New Roman" w:cs="Times New Roman"/>
          <w:sz w:val="24"/>
          <w:szCs w:val="24"/>
        </w:rPr>
        <w:t>very person is guilty of an indictable offence and liable to imprisonment for a term of not more than five years or is guilty of an offence punishable on summary conviction who</w:t>
      </w:r>
      <w:r>
        <w:rPr>
          <w:rFonts w:ascii="Times New Roman" w:hAnsi="Times New Roman" w:cs="Times New Roman"/>
          <w:sz w:val="24"/>
          <w:szCs w:val="24"/>
        </w:rPr>
        <w:t xml:space="preserve"> </w:t>
      </w:r>
      <w:r w:rsidRPr="005B2351">
        <w:rPr>
          <w:rFonts w:ascii="Times New Roman" w:hAnsi="Times New Roman" w:cs="Times New Roman"/>
          <w:sz w:val="24"/>
          <w:szCs w:val="24"/>
        </w:rPr>
        <w:t>improperly or indecently interferes with or offers any indignity to a dead human body or human remains, whether buried or not.</w:t>
      </w:r>
      <w:r w:rsidR="001401E3">
        <w:rPr>
          <w:rStyle w:val="FootnoteReference"/>
          <w:rFonts w:ascii="Times New Roman" w:hAnsi="Times New Roman" w:cs="Times New Roman"/>
          <w:sz w:val="24"/>
          <w:szCs w:val="24"/>
        </w:rPr>
        <w:footnoteReference w:id="30"/>
      </w:r>
    </w:p>
    <w:p w14:paraId="7CEFA9D3" w14:textId="3FB4EC83" w:rsidR="00FB7CD7" w:rsidRDefault="00056C41"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Countries like US, Germany, Australia etc. hav</w:t>
      </w:r>
      <w:r w:rsidR="00255B16">
        <w:rPr>
          <w:rFonts w:ascii="Times New Roman" w:hAnsi="Times New Roman" w:cs="Times New Roman"/>
          <w:sz w:val="24"/>
          <w:szCs w:val="24"/>
        </w:rPr>
        <w:t>e state recognised laws</w:t>
      </w:r>
      <w:r>
        <w:rPr>
          <w:rFonts w:ascii="Times New Roman" w:hAnsi="Times New Roman" w:cs="Times New Roman"/>
          <w:sz w:val="24"/>
          <w:szCs w:val="24"/>
        </w:rPr>
        <w:t xml:space="preserve"> </w:t>
      </w:r>
      <w:r w:rsidR="00CD4AD2">
        <w:rPr>
          <w:rFonts w:ascii="Times New Roman" w:hAnsi="Times New Roman" w:cs="Times New Roman"/>
          <w:sz w:val="24"/>
          <w:szCs w:val="24"/>
        </w:rPr>
        <w:t xml:space="preserve">which </w:t>
      </w:r>
      <w:r>
        <w:rPr>
          <w:rFonts w:ascii="Times New Roman" w:hAnsi="Times New Roman" w:cs="Times New Roman"/>
          <w:sz w:val="24"/>
          <w:szCs w:val="24"/>
        </w:rPr>
        <w:t>penalise the act</w:t>
      </w:r>
      <w:r w:rsidR="00CD4AD2">
        <w:rPr>
          <w:rFonts w:ascii="Times New Roman" w:hAnsi="Times New Roman" w:cs="Times New Roman"/>
          <w:sz w:val="24"/>
          <w:szCs w:val="24"/>
        </w:rPr>
        <w:t xml:space="preserve">. 47 out of 50 US States provide legal safeguards </w:t>
      </w:r>
      <w:r w:rsidR="006D0E14">
        <w:rPr>
          <w:rFonts w:ascii="Times New Roman" w:hAnsi="Times New Roman" w:cs="Times New Roman"/>
          <w:sz w:val="24"/>
          <w:szCs w:val="24"/>
        </w:rPr>
        <w:t xml:space="preserve">to punish such act </w:t>
      </w:r>
      <w:r w:rsidR="00A52382">
        <w:rPr>
          <w:rFonts w:ascii="Times New Roman" w:hAnsi="Times New Roman" w:cs="Times New Roman"/>
          <w:sz w:val="24"/>
          <w:szCs w:val="24"/>
        </w:rPr>
        <w:t xml:space="preserve">whereas </w:t>
      </w:r>
      <w:r w:rsidR="00A52382" w:rsidRPr="00A52382">
        <w:rPr>
          <w:rFonts w:ascii="Times New Roman" w:hAnsi="Times New Roman" w:cs="Times New Roman"/>
          <w:sz w:val="24"/>
          <w:szCs w:val="24"/>
        </w:rPr>
        <w:t>Strafgesetzbuch</w:t>
      </w:r>
      <w:r w:rsidR="00A52382">
        <w:rPr>
          <w:rFonts w:ascii="Times New Roman" w:hAnsi="Times New Roman" w:cs="Times New Roman"/>
          <w:sz w:val="24"/>
          <w:szCs w:val="24"/>
        </w:rPr>
        <w:t xml:space="preserve"> and Victoria </w:t>
      </w:r>
      <w:r w:rsidR="000E48FA">
        <w:rPr>
          <w:rFonts w:ascii="Times New Roman" w:hAnsi="Times New Roman" w:cs="Times New Roman"/>
          <w:sz w:val="24"/>
          <w:szCs w:val="24"/>
        </w:rPr>
        <w:t xml:space="preserve">criminalise </w:t>
      </w:r>
      <w:r w:rsidR="00C17B34">
        <w:rPr>
          <w:rFonts w:ascii="Times New Roman" w:hAnsi="Times New Roman" w:cs="Times New Roman"/>
          <w:sz w:val="24"/>
          <w:szCs w:val="24"/>
        </w:rPr>
        <w:t xml:space="preserve">the same in Germany and Australia respectively. </w:t>
      </w:r>
      <w:r w:rsidR="001A3ED4" w:rsidRPr="002A373A">
        <w:rPr>
          <w:rFonts w:ascii="Times New Roman" w:hAnsi="Times New Roman" w:cs="Times New Roman"/>
          <w:sz w:val="24"/>
          <w:szCs w:val="24"/>
        </w:rPr>
        <w:t>Section 195 of the Norwegian Penal Code</w:t>
      </w:r>
      <w:r w:rsidR="001A3ED4" w:rsidRPr="001A3ED4">
        <w:rPr>
          <w:rFonts w:ascii="Times New Roman" w:hAnsi="Times New Roman" w:cs="Times New Roman"/>
          <w:sz w:val="24"/>
          <w:szCs w:val="24"/>
        </w:rPr>
        <w:t xml:space="preserve"> criminalizes "sexual activity with a corpse."</w:t>
      </w:r>
      <w:r w:rsidR="00FB5241">
        <w:rPr>
          <w:rStyle w:val="FootnoteReference"/>
          <w:rFonts w:ascii="Times New Roman" w:hAnsi="Times New Roman" w:cs="Times New Roman"/>
          <w:sz w:val="24"/>
          <w:szCs w:val="24"/>
        </w:rPr>
        <w:footnoteReference w:id="31"/>
      </w:r>
      <w:r w:rsidR="008A4963" w:rsidRPr="008A4963">
        <w:rPr>
          <w:rFonts w:ascii="Times New Roman" w:eastAsia="Times New Roman" w:hAnsi="Times New Roman" w:cs="Times New Roman"/>
          <w:b/>
          <w:bCs/>
          <w:kern w:val="0"/>
          <w:sz w:val="27"/>
          <w:szCs w:val="27"/>
          <w:lang w:eastAsia="en-IN"/>
          <w14:ligatures w14:val="none"/>
        </w:rPr>
        <w:t xml:space="preserve"> </w:t>
      </w:r>
      <w:r w:rsidR="008A4963" w:rsidRPr="008A4963">
        <w:rPr>
          <w:rFonts w:ascii="Times New Roman" w:hAnsi="Times New Roman" w:cs="Times New Roman"/>
          <w:sz w:val="24"/>
          <w:szCs w:val="24"/>
        </w:rPr>
        <w:t>New Zealand explicitly criminalized under Section 150 of the Crimes Act 1961.</w:t>
      </w:r>
      <w:r w:rsidR="008B5F59">
        <w:rPr>
          <w:rStyle w:val="FootnoteReference"/>
          <w:rFonts w:ascii="Times New Roman" w:hAnsi="Times New Roman" w:cs="Times New Roman"/>
          <w:sz w:val="24"/>
          <w:szCs w:val="24"/>
        </w:rPr>
        <w:footnoteReference w:id="32"/>
      </w:r>
      <w:r w:rsidR="00FB7CD7">
        <w:rPr>
          <w:rFonts w:ascii="Times New Roman" w:hAnsi="Times New Roman" w:cs="Times New Roman"/>
          <w:sz w:val="24"/>
          <w:szCs w:val="24"/>
        </w:rPr>
        <w:t>Other Countries including Russia</w:t>
      </w:r>
      <w:r w:rsidR="00B96612">
        <w:rPr>
          <w:rFonts w:ascii="Times New Roman" w:hAnsi="Times New Roman" w:cs="Times New Roman"/>
          <w:sz w:val="24"/>
          <w:szCs w:val="24"/>
        </w:rPr>
        <w:t xml:space="preserve"> and </w:t>
      </w:r>
      <w:r w:rsidR="008B41D9">
        <w:rPr>
          <w:rFonts w:ascii="Times New Roman" w:hAnsi="Times New Roman" w:cs="Times New Roman"/>
          <w:sz w:val="24"/>
          <w:szCs w:val="24"/>
        </w:rPr>
        <w:t>France do not provide explicit provisions related to necrophilia</w:t>
      </w:r>
      <w:r w:rsidR="00EE532A">
        <w:rPr>
          <w:rFonts w:ascii="Times New Roman" w:hAnsi="Times New Roman" w:cs="Times New Roman"/>
          <w:sz w:val="24"/>
          <w:szCs w:val="24"/>
        </w:rPr>
        <w:t>.</w:t>
      </w:r>
    </w:p>
    <w:p w14:paraId="78D244FD" w14:textId="7BF05A84" w:rsidR="007B1114" w:rsidRDefault="0089331C"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Although</w:t>
      </w:r>
      <w:r w:rsidR="00D91D48">
        <w:rPr>
          <w:rFonts w:ascii="Times New Roman" w:hAnsi="Times New Roman" w:cs="Times New Roman"/>
          <w:sz w:val="24"/>
          <w:szCs w:val="24"/>
        </w:rPr>
        <w:t xml:space="preserve"> the punishments given under these enactments do not do justice to the gr</w:t>
      </w:r>
      <w:r w:rsidR="007B1114">
        <w:rPr>
          <w:rFonts w:ascii="Times New Roman" w:hAnsi="Times New Roman" w:cs="Times New Roman"/>
          <w:sz w:val="24"/>
          <w:szCs w:val="24"/>
        </w:rPr>
        <w:t>ievous</w:t>
      </w:r>
      <w:r w:rsidR="00D91D48">
        <w:rPr>
          <w:rFonts w:ascii="Times New Roman" w:hAnsi="Times New Roman" w:cs="Times New Roman"/>
          <w:sz w:val="24"/>
          <w:szCs w:val="24"/>
        </w:rPr>
        <w:t xml:space="preserve"> ac</w:t>
      </w:r>
      <w:r w:rsidR="00461B84">
        <w:rPr>
          <w:rFonts w:ascii="Times New Roman" w:hAnsi="Times New Roman" w:cs="Times New Roman"/>
          <w:sz w:val="24"/>
          <w:szCs w:val="24"/>
        </w:rPr>
        <w:t xml:space="preserve">t </w:t>
      </w:r>
      <w:r w:rsidR="00D91D48">
        <w:rPr>
          <w:rFonts w:ascii="Times New Roman" w:hAnsi="Times New Roman" w:cs="Times New Roman"/>
          <w:sz w:val="24"/>
          <w:szCs w:val="24"/>
        </w:rPr>
        <w:t>committed</w:t>
      </w:r>
      <w:r w:rsidR="00461B84">
        <w:rPr>
          <w:rFonts w:ascii="Times New Roman" w:hAnsi="Times New Roman" w:cs="Times New Roman"/>
          <w:sz w:val="24"/>
          <w:szCs w:val="24"/>
        </w:rPr>
        <w:t xml:space="preserve"> but recognition </w:t>
      </w:r>
      <w:r w:rsidR="00BA7B0C">
        <w:rPr>
          <w:rFonts w:ascii="Times New Roman" w:hAnsi="Times New Roman" w:cs="Times New Roman"/>
          <w:sz w:val="24"/>
          <w:szCs w:val="24"/>
        </w:rPr>
        <w:t>of such crime is a milestone in itself.</w:t>
      </w:r>
      <w:r w:rsidR="00D91D48">
        <w:rPr>
          <w:rFonts w:ascii="Times New Roman" w:hAnsi="Times New Roman" w:cs="Times New Roman"/>
          <w:sz w:val="24"/>
          <w:szCs w:val="24"/>
        </w:rPr>
        <w:t xml:space="preserve"> </w:t>
      </w:r>
      <w:r w:rsidR="00EE532A">
        <w:rPr>
          <w:rFonts w:ascii="Times New Roman" w:hAnsi="Times New Roman" w:cs="Times New Roman"/>
          <w:sz w:val="24"/>
          <w:szCs w:val="24"/>
        </w:rPr>
        <w:t xml:space="preserve">This </w:t>
      </w:r>
      <w:r w:rsidR="0013599C">
        <w:rPr>
          <w:rFonts w:ascii="Times New Roman" w:hAnsi="Times New Roman" w:cs="Times New Roman"/>
          <w:sz w:val="24"/>
          <w:szCs w:val="24"/>
        </w:rPr>
        <w:t xml:space="preserve">shows the need </w:t>
      </w:r>
      <w:r w:rsidR="002D4355">
        <w:rPr>
          <w:rFonts w:ascii="Times New Roman" w:hAnsi="Times New Roman" w:cs="Times New Roman"/>
          <w:sz w:val="24"/>
          <w:szCs w:val="24"/>
        </w:rPr>
        <w:t xml:space="preserve">for India to have a law related </w:t>
      </w:r>
      <w:r w:rsidR="0092760E">
        <w:rPr>
          <w:rFonts w:ascii="Times New Roman" w:hAnsi="Times New Roman" w:cs="Times New Roman"/>
          <w:sz w:val="24"/>
          <w:szCs w:val="24"/>
        </w:rPr>
        <w:t>to sexual activity with corpse or at</w:t>
      </w:r>
      <w:r w:rsidR="001E3290">
        <w:rPr>
          <w:rFonts w:ascii="Times New Roman" w:hAnsi="Times New Roman" w:cs="Times New Roman"/>
          <w:sz w:val="24"/>
          <w:szCs w:val="24"/>
        </w:rPr>
        <w:t xml:space="preserve"> </w:t>
      </w:r>
      <w:r w:rsidR="0092760E">
        <w:rPr>
          <w:rFonts w:ascii="Times New Roman" w:hAnsi="Times New Roman" w:cs="Times New Roman"/>
          <w:sz w:val="24"/>
          <w:szCs w:val="24"/>
        </w:rPr>
        <w:t xml:space="preserve">least something </w:t>
      </w:r>
      <w:r w:rsidR="00964244">
        <w:rPr>
          <w:rFonts w:ascii="Times New Roman" w:hAnsi="Times New Roman" w:cs="Times New Roman"/>
          <w:sz w:val="24"/>
          <w:szCs w:val="24"/>
        </w:rPr>
        <w:t xml:space="preserve">in </w:t>
      </w:r>
      <w:r w:rsidR="0092760E">
        <w:rPr>
          <w:rFonts w:ascii="Times New Roman" w:hAnsi="Times New Roman" w:cs="Times New Roman"/>
          <w:sz w:val="24"/>
          <w:szCs w:val="24"/>
        </w:rPr>
        <w:t>par</w:t>
      </w:r>
      <w:r>
        <w:rPr>
          <w:rFonts w:ascii="Times New Roman" w:hAnsi="Times New Roman" w:cs="Times New Roman"/>
          <w:sz w:val="24"/>
          <w:szCs w:val="24"/>
        </w:rPr>
        <w:t>la</w:t>
      </w:r>
      <w:r w:rsidR="0092760E">
        <w:rPr>
          <w:rFonts w:ascii="Times New Roman" w:hAnsi="Times New Roman" w:cs="Times New Roman"/>
          <w:sz w:val="24"/>
          <w:szCs w:val="24"/>
        </w:rPr>
        <w:t xml:space="preserve">nce to desecration or corpse unlike the limited </w:t>
      </w:r>
      <w:r w:rsidR="00964244">
        <w:rPr>
          <w:rFonts w:ascii="Times New Roman" w:hAnsi="Times New Roman" w:cs="Times New Roman"/>
          <w:sz w:val="24"/>
          <w:szCs w:val="24"/>
        </w:rPr>
        <w:t xml:space="preserve">provisions at place. </w:t>
      </w:r>
    </w:p>
    <w:p w14:paraId="1B5A5424" w14:textId="4D30E61D" w:rsidR="000D1DC7" w:rsidRPr="00736C22" w:rsidRDefault="005B26B3" w:rsidP="00113D72">
      <w:pPr>
        <w:spacing w:line="360" w:lineRule="auto"/>
        <w:rPr>
          <w:rFonts w:ascii="Times New Roman" w:hAnsi="Times New Roman" w:cs="Times New Roman"/>
          <w:b/>
          <w:bCs/>
          <w:sz w:val="24"/>
          <w:szCs w:val="24"/>
        </w:rPr>
      </w:pPr>
      <w:r w:rsidRPr="00736C22">
        <w:rPr>
          <w:rFonts w:ascii="Times New Roman" w:hAnsi="Times New Roman" w:cs="Times New Roman"/>
          <w:b/>
          <w:bCs/>
          <w:sz w:val="24"/>
          <w:szCs w:val="24"/>
        </w:rPr>
        <w:t xml:space="preserve">Challenges and </w:t>
      </w:r>
      <w:r w:rsidR="004111BB">
        <w:rPr>
          <w:rFonts w:ascii="Times New Roman" w:hAnsi="Times New Roman" w:cs="Times New Roman"/>
          <w:b/>
          <w:bCs/>
          <w:sz w:val="24"/>
          <w:szCs w:val="24"/>
        </w:rPr>
        <w:t>proposal for reform</w:t>
      </w:r>
    </w:p>
    <w:p w14:paraId="6E718A21" w14:textId="4ECD6E3E" w:rsidR="005B26B3" w:rsidRDefault="00D24294"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In the landmark judgement of Paramanand Katara v Union of India</w:t>
      </w:r>
      <w:r w:rsidR="00B760C0">
        <w:rPr>
          <w:rStyle w:val="FootnoteReference"/>
          <w:rFonts w:ascii="Times New Roman" w:hAnsi="Times New Roman" w:cs="Times New Roman"/>
          <w:sz w:val="24"/>
          <w:szCs w:val="24"/>
        </w:rPr>
        <w:footnoteReference w:id="33"/>
      </w:r>
      <w:r w:rsidR="006C7154">
        <w:rPr>
          <w:rFonts w:ascii="Times New Roman" w:hAnsi="Times New Roman" w:cs="Times New Roman"/>
          <w:sz w:val="24"/>
          <w:szCs w:val="24"/>
        </w:rPr>
        <w:t>, t</w:t>
      </w:r>
      <w:r w:rsidR="006C7154" w:rsidRPr="006C7154">
        <w:rPr>
          <w:rFonts w:ascii="Times New Roman" w:hAnsi="Times New Roman" w:cs="Times New Roman"/>
          <w:sz w:val="24"/>
          <w:szCs w:val="24"/>
        </w:rPr>
        <w:t>he Supreme Court emphasized that even a dead person has dignity under Article 21 of the Indian Constitution (Right to Life and Personal Liberty).</w:t>
      </w:r>
      <w:r w:rsidR="00A43041">
        <w:rPr>
          <w:rStyle w:val="FootnoteReference"/>
          <w:rFonts w:ascii="Times New Roman" w:hAnsi="Times New Roman" w:cs="Times New Roman"/>
          <w:sz w:val="24"/>
          <w:szCs w:val="24"/>
        </w:rPr>
        <w:footnoteReference w:id="34"/>
      </w:r>
      <w:r w:rsidR="00EA1549" w:rsidRPr="00EA1549">
        <w:t xml:space="preserve"> </w:t>
      </w:r>
      <w:r w:rsidR="00EA1549" w:rsidRPr="00EA1549">
        <w:rPr>
          <w:rFonts w:ascii="Times New Roman" w:hAnsi="Times New Roman" w:cs="Times New Roman"/>
          <w:sz w:val="24"/>
          <w:szCs w:val="24"/>
        </w:rPr>
        <w:t>The dead must be treated with respect, and their bodies should not be subjected to unnecessary delays, mutilation, or dishono</w:t>
      </w:r>
      <w:r w:rsidR="001E3290">
        <w:rPr>
          <w:rFonts w:ascii="Times New Roman" w:hAnsi="Times New Roman" w:cs="Times New Roman"/>
          <w:sz w:val="24"/>
          <w:szCs w:val="24"/>
        </w:rPr>
        <w:t>u</w:t>
      </w:r>
      <w:r w:rsidR="00EA1549" w:rsidRPr="00EA1549">
        <w:rPr>
          <w:rFonts w:ascii="Times New Roman" w:hAnsi="Times New Roman" w:cs="Times New Roman"/>
          <w:sz w:val="24"/>
          <w:szCs w:val="24"/>
        </w:rPr>
        <w:t>r.</w:t>
      </w:r>
      <w:r w:rsidR="00EA1549">
        <w:rPr>
          <w:rFonts w:ascii="Times New Roman" w:hAnsi="Times New Roman" w:cs="Times New Roman"/>
          <w:sz w:val="24"/>
          <w:szCs w:val="24"/>
        </w:rPr>
        <w:t xml:space="preserve"> </w:t>
      </w:r>
      <w:r w:rsidR="00405F5D">
        <w:rPr>
          <w:rFonts w:ascii="Times New Roman" w:hAnsi="Times New Roman" w:cs="Times New Roman"/>
          <w:sz w:val="24"/>
          <w:szCs w:val="24"/>
        </w:rPr>
        <w:t xml:space="preserve">This was reaffirmed in case of </w:t>
      </w:r>
      <w:r w:rsidR="00B344C9">
        <w:rPr>
          <w:rFonts w:ascii="Times New Roman" w:hAnsi="Times New Roman" w:cs="Times New Roman"/>
          <w:sz w:val="24"/>
          <w:szCs w:val="24"/>
        </w:rPr>
        <w:t xml:space="preserve">Ramji </w:t>
      </w:r>
      <w:r w:rsidR="000A1BE0">
        <w:rPr>
          <w:rFonts w:ascii="Times New Roman" w:hAnsi="Times New Roman" w:cs="Times New Roman"/>
          <w:sz w:val="24"/>
          <w:szCs w:val="24"/>
        </w:rPr>
        <w:t>Singh and Mujeeb Bhai v State of UP and Ors</w:t>
      </w:r>
      <w:r w:rsidR="00CD48BD">
        <w:rPr>
          <w:rFonts w:ascii="Times New Roman" w:hAnsi="Times New Roman" w:cs="Times New Roman"/>
          <w:sz w:val="24"/>
          <w:szCs w:val="24"/>
        </w:rPr>
        <w:t>.</w:t>
      </w:r>
      <w:r w:rsidR="004568EB">
        <w:rPr>
          <w:rStyle w:val="FootnoteReference"/>
          <w:rFonts w:ascii="Times New Roman" w:hAnsi="Times New Roman" w:cs="Times New Roman"/>
          <w:sz w:val="24"/>
          <w:szCs w:val="24"/>
        </w:rPr>
        <w:footnoteReference w:id="35"/>
      </w:r>
      <w:r w:rsidR="00CD48BD">
        <w:rPr>
          <w:rFonts w:ascii="Times New Roman" w:hAnsi="Times New Roman" w:cs="Times New Roman"/>
          <w:sz w:val="24"/>
          <w:szCs w:val="24"/>
        </w:rPr>
        <w:t xml:space="preserve"> </w:t>
      </w:r>
    </w:p>
    <w:p w14:paraId="72A654F0" w14:textId="4F5D26E2" w:rsidR="00224F97" w:rsidRDefault="00C10FB9"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Analysing the current state of events with rising cases </w:t>
      </w:r>
      <w:r w:rsidR="001F3CDC">
        <w:rPr>
          <w:rFonts w:ascii="Times New Roman" w:hAnsi="Times New Roman" w:cs="Times New Roman"/>
          <w:sz w:val="24"/>
          <w:szCs w:val="24"/>
        </w:rPr>
        <w:t xml:space="preserve">of necrophilia, it’s the need of the hour to come up with a strong </w:t>
      </w:r>
      <w:r w:rsidR="009D2468">
        <w:rPr>
          <w:rFonts w:ascii="Times New Roman" w:hAnsi="Times New Roman" w:cs="Times New Roman"/>
          <w:sz w:val="24"/>
          <w:szCs w:val="24"/>
        </w:rPr>
        <w:t>provision</w:t>
      </w:r>
      <w:r w:rsidR="001F3CDC">
        <w:rPr>
          <w:rFonts w:ascii="Times New Roman" w:hAnsi="Times New Roman" w:cs="Times New Roman"/>
          <w:sz w:val="24"/>
          <w:szCs w:val="24"/>
        </w:rPr>
        <w:t xml:space="preserve"> on the issue or </w:t>
      </w:r>
      <w:r w:rsidR="009D2468">
        <w:rPr>
          <w:rFonts w:ascii="Times New Roman" w:hAnsi="Times New Roman" w:cs="Times New Roman"/>
          <w:sz w:val="24"/>
          <w:szCs w:val="24"/>
        </w:rPr>
        <w:t xml:space="preserve">amend the already existing laws </w:t>
      </w:r>
      <w:r w:rsidR="0081748E">
        <w:rPr>
          <w:rFonts w:ascii="Times New Roman" w:hAnsi="Times New Roman" w:cs="Times New Roman"/>
          <w:sz w:val="24"/>
          <w:szCs w:val="24"/>
        </w:rPr>
        <w:t xml:space="preserve">to penalise </w:t>
      </w:r>
      <w:r w:rsidR="00EE1B4B">
        <w:rPr>
          <w:rFonts w:ascii="Times New Roman" w:hAnsi="Times New Roman" w:cs="Times New Roman"/>
          <w:sz w:val="24"/>
          <w:szCs w:val="24"/>
        </w:rPr>
        <w:t>s</w:t>
      </w:r>
      <w:r w:rsidR="004C538C">
        <w:rPr>
          <w:rFonts w:ascii="Times New Roman" w:hAnsi="Times New Roman" w:cs="Times New Roman"/>
          <w:sz w:val="24"/>
          <w:szCs w:val="24"/>
        </w:rPr>
        <w:t>uch horrifying acts.</w:t>
      </w:r>
    </w:p>
    <w:p w14:paraId="20CB05FD" w14:textId="5860A829" w:rsidR="00C20760" w:rsidRDefault="0095654D"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Problem </w:t>
      </w:r>
      <w:r w:rsidR="000C2A22">
        <w:rPr>
          <w:rFonts w:ascii="Times New Roman" w:hAnsi="Times New Roman" w:cs="Times New Roman"/>
          <w:sz w:val="24"/>
          <w:szCs w:val="24"/>
        </w:rPr>
        <w:t>here</w:t>
      </w:r>
      <w:r>
        <w:rPr>
          <w:rFonts w:ascii="Times New Roman" w:hAnsi="Times New Roman" w:cs="Times New Roman"/>
          <w:sz w:val="24"/>
          <w:szCs w:val="24"/>
        </w:rPr>
        <w:t xml:space="preserve"> is that there</w:t>
      </w:r>
      <w:r w:rsidR="000C2A22">
        <w:rPr>
          <w:rFonts w:ascii="Times New Roman" w:hAnsi="Times New Roman" w:cs="Times New Roman"/>
          <w:sz w:val="24"/>
          <w:szCs w:val="24"/>
        </w:rPr>
        <w:t xml:space="preserve"> are </w:t>
      </w:r>
      <w:r>
        <w:rPr>
          <w:rFonts w:ascii="Times New Roman" w:hAnsi="Times New Roman" w:cs="Times New Roman"/>
          <w:sz w:val="24"/>
          <w:szCs w:val="24"/>
        </w:rPr>
        <w:t>various challenges in implementation of such a law. Firstly, it’s difficult to</w:t>
      </w:r>
      <w:r w:rsidR="00D97751">
        <w:rPr>
          <w:rFonts w:ascii="Times New Roman" w:hAnsi="Times New Roman" w:cs="Times New Roman"/>
          <w:sz w:val="24"/>
          <w:szCs w:val="24"/>
        </w:rPr>
        <w:t xml:space="preserve"> find out </w:t>
      </w:r>
      <w:r w:rsidR="00690F25">
        <w:rPr>
          <w:rFonts w:ascii="Times New Roman" w:hAnsi="Times New Roman" w:cs="Times New Roman"/>
          <w:sz w:val="24"/>
          <w:szCs w:val="24"/>
        </w:rPr>
        <w:t>if the offence has occurred considering two post mortems are needed to assess the same</w:t>
      </w:r>
      <w:r w:rsidR="009F0FA2">
        <w:rPr>
          <w:rFonts w:ascii="Times New Roman" w:hAnsi="Times New Roman" w:cs="Times New Roman"/>
          <w:sz w:val="24"/>
          <w:szCs w:val="24"/>
        </w:rPr>
        <w:t xml:space="preserve"> which is rare in India</w:t>
      </w:r>
      <w:r w:rsidR="00690F25">
        <w:rPr>
          <w:rFonts w:ascii="Times New Roman" w:hAnsi="Times New Roman" w:cs="Times New Roman"/>
          <w:sz w:val="24"/>
          <w:szCs w:val="24"/>
        </w:rPr>
        <w:t>.</w:t>
      </w:r>
      <w:r w:rsidR="00284416">
        <w:rPr>
          <w:rFonts w:ascii="Times New Roman" w:hAnsi="Times New Roman" w:cs="Times New Roman"/>
          <w:sz w:val="24"/>
          <w:szCs w:val="24"/>
        </w:rPr>
        <w:t xml:space="preserve"> T</w:t>
      </w:r>
      <w:r w:rsidR="0074346F">
        <w:rPr>
          <w:rFonts w:ascii="Times New Roman" w:hAnsi="Times New Roman" w:cs="Times New Roman"/>
          <w:sz w:val="24"/>
          <w:szCs w:val="24"/>
        </w:rPr>
        <w:t>his uncertainty to prove is one of the grounds for exception of marital rape in our laws.</w:t>
      </w:r>
      <w:r w:rsidR="00690F25">
        <w:rPr>
          <w:rFonts w:ascii="Times New Roman" w:hAnsi="Times New Roman" w:cs="Times New Roman"/>
          <w:sz w:val="24"/>
          <w:szCs w:val="24"/>
        </w:rPr>
        <w:t xml:space="preserve"> </w:t>
      </w:r>
      <w:r w:rsidR="000C4D7F">
        <w:rPr>
          <w:rFonts w:ascii="Times New Roman" w:hAnsi="Times New Roman" w:cs="Times New Roman"/>
          <w:sz w:val="24"/>
          <w:szCs w:val="24"/>
        </w:rPr>
        <w:t xml:space="preserve">Secondly, necrophilia being recognised as a </w:t>
      </w:r>
      <w:r w:rsidR="001B547D">
        <w:rPr>
          <w:rFonts w:ascii="Times New Roman" w:hAnsi="Times New Roman" w:cs="Times New Roman"/>
          <w:sz w:val="24"/>
          <w:szCs w:val="24"/>
        </w:rPr>
        <w:t>disorder</w:t>
      </w:r>
      <w:r w:rsidR="00102FC8">
        <w:rPr>
          <w:rFonts w:ascii="Times New Roman" w:hAnsi="Times New Roman" w:cs="Times New Roman"/>
          <w:sz w:val="24"/>
          <w:szCs w:val="24"/>
        </w:rPr>
        <w:t>,</w:t>
      </w:r>
      <w:r w:rsidR="001B547D">
        <w:rPr>
          <w:rFonts w:ascii="Times New Roman" w:hAnsi="Times New Roman" w:cs="Times New Roman"/>
          <w:sz w:val="24"/>
          <w:szCs w:val="24"/>
        </w:rPr>
        <w:t xml:space="preserve"> backfires </w:t>
      </w:r>
      <w:r w:rsidR="00285076">
        <w:rPr>
          <w:rFonts w:ascii="Times New Roman" w:hAnsi="Times New Roman" w:cs="Times New Roman"/>
          <w:sz w:val="24"/>
          <w:szCs w:val="24"/>
        </w:rPr>
        <w:t>when it comes to judicial process as it’s difficult to ascertain the intent</w:t>
      </w:r>
      <w:r w:rsidR="00DE5336">
        <w:rPr>
          <w:rFonts w:ascii="Times New Roman" w:hAnsi="Times New Roman" w:cs="Times New Roman"/>
          <w:sz w:val="24"/>
          <w:szCs w:val="24"/>
        </w:rPr>
        <w:t xml:space="preserve">. </w:t>
      </w:r>
      <w:r w:rsidR="00C20760">
        <w:rPr>
          <w:rFonts w:ascii="Times New Roman" w:hAnsi="Times New Roman" w:cs="Times New Roman"/>
          <w:sz w:val="24"/>
          <w:szCs w:val="24"/>
        </w:rPr>
        <w:t>Thirdly, the punishment given under various foreign jurisdictions is not ade</w:t>
      </w:r>
      <w:r w:rsidR="00AA2B07">
        <w:rPr>
          <w:rFonts w:ascii="Times New Roman" w:hAnsi="Times New Roman" w:cs="Times New Roman"/>
          <w:sz w:val="24"/>
          <w:szCs w:val="24"/>
        </w:rPr>
        <w:t xml:space="preserve">quate which will form the basis of such a new enactment in India. </w:t>
      </w:r>
    </w:p>
    <w:p w14:paraId="1263992C" w14:textId="0FF20015" w:rsidR="00B0047F" w:rsidRDefault="00D42A6B"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Keeping these challenges in mind</w:t>
      </w:r>
      <w:r w:rsidR="00B0047F">
        <w:rPr>
          <w:rFonts w:ascii="Times New Roman" w:hAnsi="Times New Roman" w:cs="Times New Roman"/>
          <w:sz w:val="24"/>
          <w:szCs w:val="24"/>
        </w:rPr>
        <w:t xml:space="preserve">, </w:t>
      </w:r>
      <w:r w:rsidR="004E2000">
        <w:rPr>
          <w:rFonts w:ascii="Times New Roman" w:hAnsi="Times New Roman" w:cs="Times New Roman"/>
          <w:sz w:val="24"/>
          <w:szCs w:val="24"/>
        </w:rPr>
        <w:t xml:space="preserve">India should step forward </w:t>
      </w:r>
      <w:r w:rsidR="003B5704">
        <w:rPr>
          <w:rFonts w:ascii="Times New Roman" w:hAnsi="Times New Roman" w:cs="Times New Roman"/>
          <w:sz w:val="24"/>
          <w:szCs w:val="24"/>
        </w:rPr>
        <w:t xml:space="preserve">in </w:t>
      </w:r>
      <w:r w:rsidR="00D2211F">
        <w:rPr>
          <w:rFonts w:ascii="Times New Roman" w:hAnsi="Times New Roman" w:cs="Times New Roman"/>
          <w:sz w:val="24"/>
          <w:szCs w:val="24"/>
        </w:rPr>
        <w:t xml:space="preserve">a way which does justice to the both the ones living and dead. </w:t>
      </w:r>
      <w:r w:rsidR="00490F01">
        <w:rPr>
          <w:rFonts w:ascii="Times New Roman" w:hAnsi="Times New Roman" w:cs="Times New Roman"/>
          <w:sz w:val="24"/>
          <w:szCs w:val="24"/>
        </w:rPr>
        <w:t>The most feasible approach will be to add another provision in Section 63 of BNS regarding sexual intercourse with a corpse. Although this would only include men</w:t>
      </w:r>
      <w:r w:rsidR="00B8595E">
        <w:rPr>
          <w:rFonts w:ascii="Times New Roman" w:hAnsi="Times New Roman" w:cs="Times New Roman"/>
          <w:sz w:val="24"/>
          <w:szCs w:val="24"/>
        </w:rPr>
        <w:t xml:space="preserve"> as perpetrators but it would be in par</w:t>
      </w:r>
      <w:r w:rsidR="00E8162B">
        <w:rPr>
          <w:rFonts w:ascii="Times New Roman" w:hAnsi="Times New Roman" w:cs="Times New Roman"/>
          <w:sz w:val="24"/>
          <w:szCs w:val="24"/>
        </w:rPr>
        <w:t xml:space="preserve"> with </w:t>
      </w:r>
      <w:r w:rsidR="003E30DC">
        <w:rPr>
          <w:rFonts w:ascii="Times New Roman" w:hAnsi="Times New Roman" w:cs="Times New Roman"/>
          <w:sz w:val="24"/>
          <w:szCs w:val="24"/>
        </w:rPr>
        <w:t>rape provisions for any other case</w:t>
      </w:r>
      <w:r w:rsidR="00A95737">
        <w:rPr>
          <w:rFonts w:ascii="Times New Roman" w:hAnsi="Times New Roman" w:cs="Times New Roman"/>
          <w:sz w:val="24"/>
          <w:szCs w:val="24"/>
        </w:rPr>
        <w:t xml:space="preserve"> including adequate punishment. </w:t>
      </w:r>
    </w:p>
    <w:p w14:paraId="5E8328F8" w14:textId="7E3DA3A6" w:rsidR="007E3ABF" w:rsidRDefault="004C7A33"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idea to penalise unnatural offences like this </w:t>
      </w:r>
      <w:r w:rsidR="00EA7C51">
        <w:rPr>
          <w:rFonts w:ascii="Times New Roman" w:hAnsi="Times New Roman" w:cs="Times New Roman"/>
          <w:sz w:val="24"/>
          <w:szCs w:val="24"/>
        </w:rPr>
        <w:t>seems difficult considering the repeal</w:t>
      </w:r>
      <w:r w:rsidR="008B1F8D">
        <w:rPr>
          <w:rFonts w:ascii="Times New Roman" w:hAnsi="Times New Roman" w:cs="Times New Roman"/>
          <w:sz w:val="24"/>
          <w:szCs w:val="24"/>
        </w:rPr>
        <w:t xml:space="preserve"> that took place</w:t>
      </w:r>
      <w:r w:rsidR="00BE7BDF">
        <w:rPr>
          <w:rFonts w:ascii="Times New Roman" w:hAnsi="Times New Roman" w:cs="Times New Roman"/>
          <w:sz w:val="24"/>
          <w:szCs w:val="24"/>
        </w:rPr>
        <w:t>. A new provision</w:t>
      </w:r>
      <w:r w:rsidR="001030A2">
        <w:rPr>
          <w:rFonts w:ascii="Times New Roman" w:hAnsi="Times New Roman" w:cs="Times New Roman"/>
          <w:sz w:val="24"/>
          <w:szCs w:val="24"/>
        </w:rPr>
        <w:t xml:space="preserve"> of unnatural offences</w:t>
      </w:r>
      <w:r w:rsidR="00BE7BDF">
        <w:rPr>
          <w:rFonts w:ascii="Times New Roman" w:hAnsi="Times New Roman" w:cs="Times New Roman"/>
          <w:sz w:val="24"/>
          <w:szCs w:val="24"/>
        </w:rPr>
        <w:t xml:space="preserve"> altogether brought in place with a definition inclusive of offences like necrophilia, bestiality, etc. </w:t>
      </w:r>
      <w:r w:rsidR="001030A2">
        <w:rPr>
          <w:rFonts w:ascii="Times New Roman" w:hAnsi="Times New Roman" w:cs="Times New Roman"/>
          <w:sz w:val="24"/>
          <w:szCs w:val="24"/>
        </w:rPr>
        <w:t xml:space="preserve">is what should be looked forward to. </w:t>
      </w:r>
    </w:p>
    <w:p w14:paraId="3DD95C9E" w14:textId="0DDE91FB" w:rsidR="00BA0029" w:rsidRDefault="00683AFA"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Apart from the above two, if </w:t>
      </w:r>
      <w:r w:rsidR="001F352D">
        <w:rPr>
          <w:rFonts w:ascii="Times New Roman" w:hAnsi="Times New Roman" w:cs="Times New Roman"/>
          <w:sz w:val="24"/>
          <w:szCs w:val="24"/>
        </w:rPr>
        <w:t xml:space="preserve">provisions regarding desecration of corpse can be enacted, it would prove beneficial for not just cases of </w:t>
      </w:r>
      <w:r w:rsidR="00BF5DB4">
        <w:rPr>
          <w:rFonts w:ascii="Times New Roman" w:hAnsi="Times New Roman" w:cs="Times New Roman"/>
          <w:sz w:val="24"/>
          <w:szCs w:val="24"/>
        </w:rPr>
        <w:t>necrophilia but many more gruesome acts related to dead</w:t>
      </w:r>
      <w:r w:rsidR="008679D4">
        <w:rPr>
          <w:rFonts w:ascii="Times New Roman" w:hAnsi="Times New Roman" w:cs="Times New Roman"/>
          <w:sz w:val="24"/>
          <w:szCs w:val="24"/>
        </w:rPr>
        <w:t xml:space="preserve"> in order to keep up with judicial precedents and fundamental rights enshrined in the constitution. </w:t>
      </w:r>
    </w:p>
    <w:p w14:paraId="75036658" w14:textId="0F2012E0" w:rsidR="00550BB1" w:rsidRDefault="00550BB1"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For better implementation, CCTV cameras should be in</w:t>
      </w:r>
      <w:r w:rsidR="00423367">
        <w:rPr>
          <w:rFonts w:ascii="Times New Roman" w:hAnsi="Times New Roman" w:cs="Times New Roman"/>
          <w:sz w:val="24"/>
          <w:szCs w:val="24"/>
        </w:rPr>
        <w:t>st</w:t>
      </w:r>
      <w:r>
        <w:rPr>
          <w:rFonts w:ascii="Times New Roman" w:hAnsi="Times New Roman" w:cs="Times New Roman"/>
          <w:sz w:val="24"/>
          <w:szCs w:val="24"/>
        </w:rPr>
        <w:t>alled and tight security provided in mortuaries which i</w:t>
      </w:r>
      <w:r w:rsidR="00423367">
        <w:rPr>
          <w:rFonts w:ascii="Times New Roman" w:hAnsi="Times New Roman" w:cs="Times New Roman"/>
          <w:sz w:val="24"/>
          <w:szCs w:val="24"/>
        </w:rPr>
        <w:t>s the primary place of such offence</w:t>
      </w:r>
      <w:r w:rsidR="00190474">
        <w:rPr>
          <w:rFonts w:ascii="Times New Roman" w:hAnsi="Times New Roman" w:cs="Times New Roman"/>
          <w:sz w:val="24"/>
          <w:szCs w:val="24"/>
        </w:rPr>
        <w:t xml:space="preserve">s. </w:t>
      </w:r>
      <w:r w:rsidR="0042607F">
        <w:rPr>
          <w:rFonts w:ascii="Times New Roman" w:hAnsi="Times New Roman" w:cs="Times New Roman"/>
          <w:sz w:val="24"/>
          <w:szCs w:val="24"/>
        </w:rPr>
        <w:t xml:space="preserve">Secondly, </w:t>
      </w:r>
      <w:r w:rsidR="00CC3FD1">
        <w:rPr>
          <w:rFonts w:ascii="Times New Roman" w:hAnsi="Times New Roman" w:cs="Times New Roman"/>
          <w:sz w:val="24"/>
          <w:szCs w:val="24"/>
        </w:rPr>
        <w:t xml:space="preserve">the extent to which insanity is invoked should be </w:t>
      </w:r>
      <w:r w:rsidR="001754B3">
        <w:rPr>
          <w:rFonts w:ascii="Times New Roman" w:hAnsi="Times New Roman" w:cs="Times New Roman"/>
          <w:sz w:val="24"/>
          <w:szCs w:val="24"/>
        </w:rPr>
        <w:t xml:space="preserve">consistent with </w:t>
      </w:r>
      <w:r w:rsidR="001754B3" w:rsidRPr="001754B3">
        <w:rPr>
          <w:rFonts w:ascii="Times New Roman" w:hAnsi="Times New Roman" w:cs="Times New Roman"/>
          <w:sz w:val="24"/>
          <w:szCs w:val="24"/>
        </w:rPr>
        <w:t>contemporary psychological and psychiatric viewpoints, acknowledging the complex interplay between mental health disorders and criminal behavio</w:t>
      </w:r>
      <w:r w:rsidR="00102FC8">
        <w:rPr>
          <w:rFonts w:ascii="Times New Roman" w:hAnsi="Times New Roman" w:cs="Times New Roman"/>
          <w:sz w:val="24"/>
          <w:szCs w:val="24"/>
        </w:rPr>
        <w:t>u</w:t>
      </w:r>
      <w:r w:rsidR="001754B3" w:rsidRPr="001754B3">
        <w:rPr>
          <w:rFonts w:ascii="Times New Roman" w:hAnsi="Times New Roman" w:cs="Times New Roman"/>
          <w:sz w:val="24"/>
          <w:szCs w:val="24"/>
        </w:rPr>
        <w:t>r.</w:t>
      </w:r>
      <w:r w:rsidR="00EC20E3">
        <w:rPr>
          <w:rStyle w:val="FootnoteReference"/>
          <w:rFonts w:ascii="Times New Roman" w:hAnsi="Times New Roman" w:cs="Times New Roman"/>
          <w:sz w:val="24"/>
          <w:szCs w:val="24"/>
        </w:rPr>
        <w:footnoteReference w:id="36"/>
      </w:r>
    </w:p>
    <w:p w14:paraId="1F3DBDDA" w14:textId="38466489" w:rsidR="002C36D0" w:rsidRPr="00343CCE" w:rsidRDefault="002C36D0" w:rsidP="00113D72">
      <w:pPr>
        <w:spacing w:line="360" w:lineRule="auto"/>
        <w:rPr>
          <w:rFonts w:ascii="Times New Roman" w:hAnsi="Times New Roman" w:cs="Times New Roman"/>
          <w:b/>
          <w:bCs/>
          <w:sz w:val="24"/>
          <w:szCs w:val="24"/>
        </w:rPr>
      </w:pPr>
      <w:r w:rsidRPr="00343CCE">
        <w:rPr>
          <w:rFonts w:ascii="Times New Roman" w:hAnsi="Times New Roman" w:cs="Times New Roman"/>
          <w:b/>
          <w:bCs/>
          <w:sz w:val="24"/>
          <w:szCs w:val="24"/>
        </w:rPr>
        <w:t>Conclusion</w:t>
      </w:r>
    </w:p>
    <w:p w14:paraId="09653701" w14:textId="124F93AA" w:rsidR="00FD393C" w:rsidRDefault="007E360C"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The legal lacuna</w:t>
      </w:r>
      <w:r w:rsidR="00F61C35">
        <w:rPr>
          <w:rFonts w:ascii="Times New Roman" w:hAnsi="Times New Roman" w:cs="Times New Roman"/>
          <w:sz w:val="24"/>
          <w:szCs w:val="24"/>
        </w:rPr>
        <w:t xml:space="preserve"> surrounding necrophilia in India highlights the dire need </w:t>
      </w:r>
      <w:r w:rsidR="00057090">
        <w:rPr>
          <w:rFonts w:ascii="Times New Roman" w:hAnsi="Times New Roman" w:cs="Times New Roman"/>
          <w:sz w:val="24"/>
          <w:szCs w:val="24"/>
        </w:rPr>
        <w:t xml:space="preserve">for legislative action to protect the rights of the deceased. </w:t>
      </w:r>
      <w:r w:rsidR="00EB3BF3">
        <w:rPr>
          <w:rFonts w:ascii="Times New Roman" w:hAnsi="Times New Roman" w:cs="Times New Roman"/>
          <w:sz w:val="24"/>
          <w:szCs w:val="24"/>
        </w:rPr>
        <w:t xml:space="preserve">Although judiciary acknowledges the severity of the issue, it remains bound by the status quo of laws which lies beyond their jurisdiction to control. </w:t>
      </w:r>
      <w:r w:rsidR="009D193D">
        <w:rPr>
          <w:rFonts w:ascii="Times New Roman" w:hAnsi="Times New Roman" w:cs="Times New Roman"/>
          <w:sz w:val="24"/>
          <w:szCs w:val="24"/>
        </w:rPr>
        <w:t xml:space="preserve">The detailed comparative analysis with foreign jurisdictions demonstrates </w:t>
      </w:r>
      <w:r w:rsidR="00F33D63">
        <w:rPr>
          <w:rFonts w:ascii="Times New Roman" w:hAnsi="Times New Roman" w:cs="Times New Roman"/>
          <w:sz w:val="24"/>
          <w:szCs w:val="24"/>
        </w:rPr>
        <w:t xml:space="preserve">how such an action can be taken following those precedents. </w:t>
      </w:r>
    </w:p>
    <w:p w14:paraId="6EA97EB8" w14:textId="1009D30B" w:rsidR="00F33D63" w:rsidRDefault="00F33D63"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 multi-faceted approach is mandated to address this issue </w:t>
      </w:r>
      <w:r w:rsidR="00B41BA7">
        <w:rPr>
          <w:rFonts w:ascii="Times New Roman" w:hAnsi="Times New Roman" w:cs="Times New Roman"/>
          <w:sz w:val="24"/>
          <w:szCs w:val="24"/>
        </w:rPr>
        <w:t xml:space="preserve">in all aspects and </w:t>
      </w:r>
      <w:r w:rsidR="00481864">
        <w:rPr>
          <w:rFonts w:ascii="Times New Roman" w:hAnsi="Times New Roman" w:cs="Times New Roman"/>
          <w:sz w:val="24"/>
          <w:szCs w:val="24"/>
        </w:rPr>
        <w:t xml:space="preserve">proceed forward from the grey area created in terms of legal status of dead, rights conferred as well as </w:t>
      </w:r>
      <w:r w:rsidR="00096979">
        <w:rPr>
          <w:rFonts w:ascii="Times New Roman" w:hAnsi="Times New Roman" w:cs="Times New Roman"/>
          <w:sz w:val="24"/>
          <w:szCs w:val="24"/>
        </w:rPr>
        <w:t xml:space="preserve">uncertainty regarding enforcement </w:t>
      </w:r>
      <w:r w:rsidR="006632C9">
        <w:rPr>
          <w:rFonts w:ascii="Times New Roman" w:hAnsi="Times New Roman" w:cs="Times New Roman"/>
          <w:sz w:val="24"/>
          <w:szCs w:val="24"/>
        </w:rPr>
        <w:t>by way of</w:t>
      </w:r>
      <w:r w:rsidR="00096979">
        <w:rPr>
          <w:rFonts w:ascii="Times New Roman" w:hAnsi="Times New Roman" w:cs="Times New Roman"/>
          <w:sz w:val="24"/>
          <w:szCs w:val="24"/>
        </w:rPr>
        <w:t xml:space="preserve"> the proposed reforms.</w:t>
      </w:r>
    </w:p>
    <w:p w14:paraId="2C54E81A" w14:textId="523B563C" w:rsidR="00002AED" w:rsidRDefault="00BF3F39" w:rsidP="00113D72">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Ultimately, </w:t>
      </w:r>
      <w:r w:rsidR="002D7951">
        <w:rPr>
          <w:rFonts w:ascii="Times New Roman" w:hAnsi="Times New Roman" w:cs="Times New Roman"/>
          <w:sz w:val="24"/>
          <w:szCs w:val="24"/>
        </w:rPr>
        <w:t xml:space="preserve">recognition of necrophilia as a crime is not confined to penalising the offenders but </w:t>
      </w:r>
      <w:r w:rsidR="001926A5">
        <w:rPr>
          <w:rFonts w:ascii="Times New Roman" w:hAnsi="Times New Roman" w:cs="Times New Roman"/>
          <w:sz w:val="24"/>
          <w:szCs w:val="24"/>
        </w:rPr>
        <w:t>it goes beyond that protecting the dignity and rights of a deceased person</w:t>
      </w:r>
      <w:r w:rsidR="009351EC">
        <w:rPr>
          <w:rFonts w:ascii="Times New Roman" w:hAnsi="Times New Roman" w:cs="Times New Roman"/>
          <w:sz w:val="24"/>
          <w:szCs w:val="24"/>
        </w:rPr>
        <w:t xml:space="preserve">. Strengthening </w:t>
      </w:r>
      <w:r w:rsidR="000C48AE">
        <w:rPr>
          <w:rFonts w:ascii="Times New Roman" w:hAnsi="Times New Roman" w:cs="Times New Roman"/>
          <w:sz w:val="24"/>
          <w:szCs w:val="24"/>
        </w:rPr>
        <w:t xml:space="preserve">legal safeguards will help pave a way for the dead ensuring that they truly ‘rest in peace’. </w:t>
      </w:r>
    </w:p>
    <w:sectPr w:rsidR="00002AE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700FBC" w14:textId="77777777" w:rsidR="00A34AB1" w:rsidRDefault="00A34AB1" w:rsidP="00525F8F">
      <w:pPr>
        <w:spacing w:after="0" w:line="240" w:lineRule="auto"/>
      </w:pPr>
      <w:r>
        <w:separator/>
      </w:r>
    </w:p>
  </w:endnote>
  <w:endnote w:type="continuationSeparator" w:id="0">
    <w:p w14:paraId="287F7858" w14:textId="77777777" w:rsidR="00A34AB1" w:rsidRDefault="00A34AB1" w:rsidP="00525F8F">
      <w:pPr>
        <w:spacing w:after="0" w:line="240" w:lineRule="auto"/>
      </w:pPr>
      <w:r>
        <w:continuationSeparator/>
      </w:r>
    </w:p>
  </w:endnote>
  <w:endnote w:type="continuationNotice" w:id="1">
    <w:p w14:paraId="6F8C1153" w14:textId="77777777" w:rsidR="002D58CD" w:rsidRDefault="002D58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94F115" w14:textId="77777777" w:rsidR="00A34AB1" w:rsidRDefault="00A34AB1" w:rsidP="00525F8F">
      <w:pPr>
        <w:spacing w:after="0" w:line="240" w:lineRule="auto"/>
      </w:pPr>
      <w:r>
        <w:separator/>
      </w:r>
    </w:p>
  </w:footnote>
  <w:footnote w:type="continuationSeparator" w:id="0">
    <w:p w14:paraId="128A989A" w14:textId="77777777" w:rsidR="00A34AB1" w:rsidRDefault="00A34AB1" w:rsidP="00525F8F">
      <w:pPr>
        <w:spacing w:after="0" w:line="240" w:lineRule="auto"/>
      </w:pPr>
      <w:r>
        <w:continuationSeparator/>
      </w:r>
    </w:p>
  </w:footnote>
  <w:footnote w:type="continuationNotice" w:id="1">
    <w:p w14:paraId="44046A69" w14:textId="77777777" w:rsidR="002D58CD" w:rsidRDefault="002D58CD">
      <w:pPr>
        <w:spacing w:after="0" w:line="240" w:lineRule="auto"/>
      </w:pPr>
    </w:p>
  </w:footnote>
  <w:footnote w:id="2">
    <w:p w14:paraId="00A18696" w14:textId="576E34E7" w:rsidR="009C2B1D" w:rsidRPr="00343CCE" w:rsidRDefault="009C2B1D">
      <w:pPr>
        <w:pStyle w:val="FootnoteText"/>
        <w:rPr>
          <w:rFonts w:ascii="Times New Roman" w:hAnsi="Times New Roman" w:cs="Times New Roman"/>
        </w:rPr>
      </w:pPr>
      <w:r w:rsidRPr="004D6C71">
        <w:rPr>
          <w:rStyle w:val="FootnoteReference"/>
          <w:rFonts w:ascii="Times New Roman" w:hAnsi="Times New Roman" w:cs="Times New Roman"/>
        </w:rPr>
        <w:footnoteRef/>
      </w:r>
      <w:r w:rsidRPr="004D6C71">
        <w:rPr>
          <w:rFonts w:ascii="Times New Roman" w:hAnsi="Times New Roman" w:cs="Times New Roman"/>
        </w:rPr>
        <w:t xml:space="preserve"> </w:t>
      </w:r>
      <w:r w:rsidR="006302C4" w:rsidRPr="00343CCE">
        <w:rPr>
          <w:rFonts w:ascii="Times New Roman" w:hAnsi="Times New Roman" w:cs="Times New Roman"/>
        </w:rPr>
        <w:t>Rangaraju v. State of Karnataka, 2023 SCC OnLine Kar 23</w:t>
      </w:r>
      <w:r w:rsidR="00BB569C" w:rsidRPr="00343CCE">
        <w:rPr>
          <w:rFonts w:ascii="Times New Roman" w:hAnsi="Times New Roman" w:cs="Times New Roman"/>
        </w:rPr>
        <w:t>.</w:t>
      </w:r>
    </w:p>
  </w:footnote>
  <w:footnote w:id="3">
    <w:p w14:paraId="57F6B64C" w14:textId="295B301C" w:rsidR="001B75F8" w:rsidRPr="00343CCE" w:rsidRDefault="001B75F8">
      <w:pPr>
        <w:pStyle w:val="FootnoteText"/>
        <w:rPr>
          <w:rFonts w:ascii="Times New Roman" w:hAnsi="Times New Roman" w:cs="Times New Roman"/>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6935C3" w:rsidRPr="00343CCE">
        <w:rPr>
          <w:rFonts w:ascii="Times New Roman" w:hAnsi="Times New Roman" w:cs="Times New Roman"/>
        </w:rPr>
        <w:t>Arunima Singh</w:t>
      </w:r>
      <w:r w:rsidRPr="00343CCE">
        <w:rPr>
          <w:rFonts w:ascii="Times New Roman" w:hAnsi="Times New Roman" w:cs="Times New Roman"/>
        </w:rPr>
        <w:t>,</w:t>
      </w:r>
      <w:r w:rsidR="00693A2A" w:rsidRPr="00343CCE">
        <w:rPr>
          <w:rFonts w:ascii="Times New Roman" w:eastAsia="Times New Roman" w:hAnsi="Times New Roman" w:cs="Times New Roman"/>
          <w:color w:val="1A1A1A"/>
          <w:kern w:val="36"/>
          <w:lang w:eastAsia="en-IN"/>
          <w14:ligatures w14:val="none"/>
        </w:rPr>
        <w:t xml:space="preserve"> </w:t>
      </w:r>
      <w:r w:rsidR="00693A2A" w:rsidRPr="00343CCE">
        <w:rPr>
          <w:rFonts w:ascii="Times New Roman" w:hAnsi="Times New Roman" w:cs="Times New Roman"/>
          <w:i/>
          <w:iCs/>
        </w:rPr>
        <w:t>NECROPHILIA – A Legal Lacuna in India</w:t>
      </w:r>
      <w:r w:rsidR="00504439" w:rsidRPr="00343CCE">
        <w:rPr>
          <w:rFonts w:ascii="Times New Roman" w:hAnsi="Times New Roman" w:cs="Times New Roman"/>
        </w:rPr>
        <w:t xml:space="preserve">, </w:t>
      </w:r>
      <w:r w:rsidR="00497A94" w:rsidRPr="00343CCE">
        <w:rPr>
          <w:rFonts w:ascii="Times New Roman" w:hAnsi="Times New Roman" w:cs="Times New Roman"/>
        </w:rPr>
        <w:t xml:space="preserve">AMIKUS QRIAE, </w:t>
      </w:r>
      <w:hyperlink r:id="rId1" w:history="1">
        <w:r w:rsidR="00497A94" w:rsidRPr="00343CCE">
          <w:rPr>
            <w:rStyle w:val="Hyperlink"/>
            <w:rFonts w:ascii="Times New Roman" w:hAnsi="Times New Roman" w:cs="Times New Roman"/>
          </w:rPr>
          <w:t>https://theamikusqriae.com/necrophilia-a-legal-lacuna-in-india/</w:t>
        </w:r>
      </w:hyperlink>
      <w:r w:rsidR="00497A94" w:rsidRPr="00343CCE">
        <w:rPr>
          <w:rFonts w:ascii="Times New Roman" w:hAnsi="Times New Roman" w:cs="Times New Roman"/>
        </w:rPr>
        <w:t>.</w:t>
      </w:r>
    </w:p>
  </w:footnote>
  <w:footnote w:id="4">
    <w:p w14:paraId="6BAC9FF6" w14:textId="3223F599" w:rsidR="00FD44E4" w:rsidRPr="00343CCE" w:rsidRDefault="00FD44E4">
      <w:pPr>
        <w:pStyle w:val="FootnoteText"/>
        <w:rPr>
          <w:rFonts w:ascii="Times New Roman" w:hAnsi="Times New Roman" w:cs="Times New Roman"/>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Astha Pasricha,</w:t>
      </w:r>
      <w:r w:rsidR="004D6C71" w:rsidRPr="00343CCE">
        <w:rPr>
          <w:rFonts w:ascii="Times New Roman" w:eastAsia="Times New Roman" w:hAnsi="Times New Roman" w:cs="Times New Roman"/>
          <w:color w:val="000000"/>
          <w:kern w:val="36"/>
          <w:lang w:eastAsia="en-IN"/>
          <w14:ligatures w14:val="none"/>
        </w:rPr>
        <w:t xml:space="preserve"> </w:t>
      </w:r>
      <w:r w:rsidR="00BD4F68" w:rsidRPr="00343CCE">
        <w:rPr>
          <w:rFonts w:ascii="Times New Roman" w:hAnsi="Times New Roman" w:cs="Times New Roman"/>
          <w:i/>
          <w:iCs/>
        </w:rPr>
        <w:t>What is meant by necrophilia? Is it an offense punishable in India right now?,</w:t>
      </w:r>
      <w:r w:rsidR="00BD4F68" w:rsidRPr="00343CCE">
        <w:rPr>
          <w:rFonts w:ascii="Times New Roman" w:hAnsi="Times New Roman" w:cs="Times New Roman"/>
        </w:rPr>
        <w:t xml:space="preserve"> JAGRAN JOSH, ( Jun.</w:t>
      </w:r>
      <w:r w:rsidR="00E449CE" w:rsidRPr="00343CCE">
        <w:rPr>
          <w:rFonts w:ascii="Times New Roman" w:hAnsi="Times New Roman" w:cs="Times New Roman"/>
        </w:rPr>
        <w:t>4</w:t>
      </w:r>
      <w:r w:rsidR="00BD4F68" w:rsidRPr="00343CCE">
        <w:rPr>
          <w:rFonts w:ascii="Times New Roman" w:hAnsi="Times New Roman" w:cs="Times New Roman"/>
        </w:rPr>
        <w:t>, 2023)</w:t>
      </w:r>
      <w:r w:rsidR="00E449CE" w:rsidRPr="00343CCE">
        <w:rPr>
          <w:rFonts w:ascii="Times New Roman" w:hAnsi="Times New Roman" w:cs="Times New Roman"/>
        </w:rPr>
        <w:t xml:space="preserve">, </w:t>
      </w:r>
      <w:hyperlink r:id="rId2" w:history="1">
        <w:r w:rsidR="00E449CE" w:rsidRPr="00343CCE">
          <w:rPr>
            <w:rStyle w:val="Hyperlink"/>
            <w:rFonts w:ascii="Times New Roman" w:hAnsi="Times New Roman" w:cs="Times New Roman"/>
          </w:rPr>
          <w:t>https://www.jagranjosh.com/general-knowledge/what-is-meant-by-necrophilia-is-it-an-offense-punishable-in-india-right-now-1685890693-1</w:t>
        </w:r>
      </w:hyperlink>
      <w:r w:rsidR="002C5FCC" w:rsidRPr="00343CCE">
        <w:rPr>
          <w:rFonts w:ascii="Times New Roman" w:hAnsi="Times New Roman" w:cs="Times New Roman"/>
        </w:rPr>
        <w:t>.</w:t>
      </w:r>
    </w:p>
  </w:footnote>
  <w:footnote w:id="5">
    <w:p w14:paraId="7AC1619A" w14:textId="100813A3" w:rsidR="00504439" w:rsidRPr="00343CCE" w:rsidRDefault="00504439">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7D1D60" w:rsidRPr="00343CCE">
        <w:rPr>
          <w:rFonts w:ascii="Times New Roman" w:hAnsi="Times New Roman" w:cs="Times New Roman"/>
        </w:rPr>
        <w:t>Surendra Koli Vs. State of U.P. and Others</w:t>
      </w:r>
      <w:r w:rsidR="0066654B" w:rsidRPr="00343CCE">
        <w:rPr>
          <w:rFonts w:ascii="Times New Roman" w:hAnsi="Times New Roman" w:cs="Times New Roman"/>
        </w:rPr>
        <w:t>, MANU/SC/0119/2011</w:t>
      </w:r>
      <w:r w:rsidR="002C5FCC" w:rsidRPr="00343CCE">
        <w:rPr>
          <w:rFonts w:ascii="Times New Roman" w:hAnsi="Times New Roman" w:cs="Times New Roman"/>
        </w:rPr>
        <w:t>.</w:t>
      </w:r>
    </w:p>
  </w:footnote>
  <w:footnote w:id="6">
    <w:p w14:paraId="67203F50" w14:textId="0E8D028F" w:rsidR="00534E7A" w:rsidRPr="00343CCE" w:rsidRDefault="00534E7A">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C53EEA" w:rsidRPr="00343CCE">
        <w:rPr>
          <w:rFonts w:ascii="Times New Roman" w:hAnsi="Times New Roman" w:cs="Times New Roman"/>
          <w:lang w:val="en-US"/>
        </w:rPr>
        <w:t>The Bharatiya Nyaya Sanhita</w:t>
      </w:r>
      <w:r w:rsidR="00BD7DAA" w:rsidRPr="00343CCE">
        <w:rPr>
          <w:rFonts w:ascii="Times New Roman" w:hAnsi="Times New Roman" w:cs="Times New Roman"/>
          <w:lang w:val="en-US"/>
        </w:rPr>
        <w:t>,</w:t>
      </w:r>
      <w:r w:rsidR="00BD7DAA" w:rsidRPr="00343CCE">
        <w:rPr>
          <w:rFonts w:ascii="Times New Roman" w:hAnsi="Times New Roman" w:cs="Times New Roman"/>
        </w:rPr>
        <w:t>2023, No. 45, Act of Parliament, 2023(India).</w:t>
      </w:r>
    </w:p>
  </w:footnote>
  <w:footnote w:id="7">
    <w:p w14:paraId="1784A03C" w14:textId="4B65C0E4" w:rsidR="009671CD" w:rsidRPr="00343CCE" w:rsidRDefault="009671CD">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DE3992" w:rsidRPr="00343CCE">
        <w:rPr>
          <w:rFonts w:ascii="Times New Roman" w:hAnsi="Times New Roman" w:cs="Times New Roman"/>
        </w:rPr>
        <w:t>The Protection of Children from Sexual Offences Act, 2012, No.32, Act of Parliament, 2012 (India).</w:t>
      </w:r>
    </w:p>
  </w:footnote>
  <w:footnote w:id="8">
    <w:p w14:paraId="4744CB38" w14:textId="0E42B6B3" w:rsidR="00C669CC" w:rsidRPr="00343CCE" w:rsidRDefault="00C669CC">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 xml:space="preserve">2023, § </w:t>
      </w:r>
      <w:r w:rsidR="000B3AFD" w:rsidRPr="00343CCE">
        <w:rPr>
          <w:rFonts w:ascii="Times New Roman" w:hAnsi="Times New Roman" w:cs="Times New Roman"/>
        </w:rPr>
        <w:t>63</w:t>
      </w:r>
      <w:r w:rsidRPr="00343CCE">
        <w:rPr>
          <w:rFonts w:ascii="Times New Roman" w:hAnsi="Times New Roman" w:cs="Times New Roman"/>
        </w:rPr>
        <w:t>, No. 45, Act of Parliament, 2023(India).</w:t>
      </w:r>
    </w:p>
  </w:footnote>
  <w:footnote w:id="9">
    <w:p w14:paraId="0E20A4AF" w14:textId="4F797EB4" w:rsidR="00DE3992" w:rsidRPr="00343CCE" w:rsidRDefault="00DE3992">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861EF0" w:rsidRPr="00343CCE">
        <w:rPr>
          <w:rFonts w:ascii="Times New Roman" w:hAnsi="Times New Roman" w:cs="Times New Roman"/>
          <w:lang w:val="en-US"/>
        </w:rPr>
        <w:t>The Bharatiya Nyaya Sanhita,</w:t>
      </w:r>
      <w:r w:rsidR="00861EF0" w:rsidRPr="00343CCE">
        <w:rPr>
          <w:rFonts w:ascii="Times New Roman" w:hAnsi="Times New Roman" w:cs="Times New Roman"/>
        </w:rPr>
        <w:t xml:space="preserve">2023, § </w:t>
      </w:r>
      <w:r w:rsidR="00BA2FB9" w:rsidRPr="00343CCE">
        <w:rPr>
          <w:rFonts w:ascii="Times New Roman" w:hAnsi="Times New Roman" w:cs="Times New Roman"/>
        </w:rPr>
        <w:t xml:space="preserve">2(35), </w:t>
      </w:r>
      <w:r w:rsidR="00861EF0" w:rsidRPr="00343CCE">
        <w:rPr>
          <w:rFonts w:ascii="Times New Roman" w:hAnsi="Times New Roman" w:cs="Times New Roman"/>
        </w:rPr>
        <w:t>No. 45, Act of Parliament, 2023(India).</w:t>
      </w:r>
    </w:p>
  </w:footnote>
  <w:footnote w:id="10">
    <w:p w14:paraId="0623750F" w14:textId="04E823D7" w:rsidR="00BA2FB9" w:rsidRPr="00343CCE" w:rsidRDefault="00BA2FB9">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2023, § 2(19), No. 45, Act of Parliament, 2023(India).</w:t>
      </w:r>
    </w:p>
  </w:footnote>
  <w:footnote w:id="11">
    <w:p w14:paraId="20C2355D" w14:textId="5297E8EE" w:rsidR="00BA2FB9" w:rsidRPr="00343CCE" w:rsidRDefault="00BA2FB9">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537B3B" w:rsidRPr="00343CCE">
        <w:rPr>
          <w:rFonts w:ascii="Times New Roman" w:hAnsi="Times New Roman" w:cs="Times New Roman"/>
        </w:rPr>
        <w:t>The Indian Penal Code, 1860, § 375(c), No. 45, Act of Parliament, 1860 (Britain).</w:t>
      </w:r>
    </w:p>
  </w:footnote>
  <w:footnote w:id="12">
    <w:p w14:paraId="26A98D6F" w14:textId="06C258C2" w:rsidR="00537B3B" w:rsidRPr="00343CCE" w:rsidRDefault="00537B3B">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 xml:space="preserve">2023, § </w:t>
      </w:r>
      <w:r w:rsidR="009C2B1D" w:rsidRPr="00343CCE">
        <w:rPr>
          <w:rFonts w:ascii="Times New Roman" w:hAnsi="Times New Roman" w:cs="Times New Roman"/>
        </w:rPr>
        <w:t>63(c</w:t>
      </w:r>
      <w:r w:rsidRPr="00343CCE">
        <w:rPr>
          <w:rFonts w:ascii="Times New Roman" w:hAnsi="Times New Roman" w:cs="Times New Roman"/>
        </w:rPr>
        <w:t>), No. 45, Act of Parliament, 2023(India).</w:t>
      </w:r>
    </w:p>
  </w:footnote>
  <w:footnote w:id="13">
    <w:p w14:paraId="3EE4FF4C" w14:textId="23019D9B" w:rsidR="003A1A6B" w:rsidRPr="00343CCE" w:rsidRDefault="003A1A6B" w:rsidP="003A1A6B">
      <w:pPr>
        <w:pStyle w:val="FootnoteText"/>
        <w:rPr>
          <w:rFonts w:ascii="Times New Roman" w:hAnsi="Times New Roman" w:cs="Times New Roman"/>
        </w:rPr>
      </w:pPr>
      <w:r w:rsidRPr="00343CCE">
        <w:rPr>
          <w:rStyle w:val="FootnoteReference"/>
          <w:rFonts w:ascii="Times New Roman" w:hAnsi="Times New Roman" w:cs="Times New Roman"/>
        </w:rPr>
        <w:footnoteRef/>
      </w:r>
      <w:r w:rsidR="00D86218" w:rsidRPr="00343CCE">
        <w:rPr>
          <w:rFonts w:ascii="Times New Roman" w:hAnsi="Times New Roman" w:cs="Times New Roman"/>
        </w:rPr>
        <w:t>Utkarsh Anand,</w:t>
      </w:r>
      <w:r w:rsidR="00E355BE" w:rsidRPr="00343CCE">
        <w:rPr>
          <w:rFonts w:ascii="Times New Roman" w:eastAsia="Times New Roman" w:hAnsi="Times New Roman" w:cs="Times New Roman"/>
          <w:color w:val="000000"/>
          <w:kern w:val="36"/>
          <w:lang w:eastAsia="en-IN"/>
          <w14:ligatures w14:val="none"/>
        </w:rPr>
        <w:t xml:space="preserve"> </w:t>
      </w:r>
      <w:r w:rsidR="00E355BE" w:rsidRPr="00343CCE">
        <w:rPr>
          <w:rFonts w:ascii="Times New Roman" w:hAnsi="Times New Roman" w:cs="Times New Roman"/>
          <w:i/>
          <w:iCs/>
        </w:rPr>
        <w:t>Indian penal law does not recognise necrophilia as an offence, SC affirms</w:t>
      </w:r>
      <w:r w:rsidR="00E355BE" w:rsidRPr="00343CCE">
        <w:rPr>
          <w:rFonts w:ascii="Times New Roman" w:hAnsi="Times New Roman" w:cs="Times New Roman"/>
        </w:rPr>
        <w:t>,</w:t>
      </w:r>
      <w:r w:rsidR="00521C7C" w:rsidRPr="00343CCE">
        <w:rPr>
          <w:rFonts w:ascii="Times New Roman" w:hAnsi="Times New Roman" w:cs="Times New Roman"/>
        </w:rPr>
        <w:t xml:space="preserve"> HINDUSTAN TIMES, </w:t>
      </w:r>
      <w:r w:rsidR="00E355BE" w:rsidRPr="00343CCE">
        <w:rPr>
          <w:rFonts w:ascii="Times New Roman" w:hAnsi="Times New Roman" w:cs="Times New Roman"/>
        </w:rPr>
        <w:t xml:space="preserve"> </w:t>
      </w:r>
      <w:r w:rsidR="00521C7C" w:rsidRPr="00343CCE">
        <w:rPr>
          <w:rFonts w:ascii="Times New Roman" w:hAnsi="Times New Roman" w:cs="Times New Roman"/>
        </w:rPr>
        <w:t>( Feb.5,2025),</w:t>
      </w:r>
      <w:r w:rsidRPr="00343CCE">
        <w:rPr>
          <w:rFonts w:ascii="Times New Roman" w:hAnsi="Times New Roman" w:cs="Times New Roman"/>
        </w:rPr>
        <w:t xml:space="preserve"> </w:t>
      </w:r>
      <w:hyperlink r:id="rId3" w:history="1">
        <w:r w:rsidR="00521C7C" w:rsidRPr="00343CCE">
          <w:rPr>
            <w:rStyle w:val="Hyperlink"/>
            <w:rFonts w:ascii="Times New Roman" w:hAnsi="Times New Roman" w:cs="Times New Roman"/>
          </w:rPr>
          <w:t>https://www.hindustantimes.com/india-news/indian-penal-law-does-not-recognise-necrophilia-as-an-offence-sc-affirms-101738693900557.html</w:t>
        </w:r>
      </w:hyperlink>
      <w:r w:rsidR="00521C7C" w:rsidRPr="00343CCE">
        <w:rPr>
          <w:rFonts w:ascii="Times New Roman" w:hAnsi="Times New Roman" w:cs="Times New Roman"/>
        </w:rPr>
        <w:t>.</w:t>
      </w:r>
    </w:p>
  </w:footnote>
  <w:footnote w:id="14">
    <w:p w14:paraId="0D8A76AC" w14:textId="22179A20" w:rsidR="008F34E3" w:rsidRPr="00343CCE" w:rsidRDefault="008F34E3">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B955BC" w:rsidRPr="00343CCE">
        <w:rPr>
          <w:rFonts w:ascii="Times New Roman" w:hAnsi="Times New Roman" w:cs="Times New Roman"/>
        </w:rPr>
        <w:t>The Indian Penal Code, 1860, § 377, No. 45, Act of Parliament, 1860 (Britain).</w:t>
      </w:r>
    </w:p>
  </w:footnote>
  <w:footnote w:id="15">
    <w:p w14:paraId="05EEEFB8" w14:textId="409AC551" w:rsidR="007261FE" w:rsidRPr="00343CCE" w:rsidRDefault="007261FE">
      <w:pPr>
        <w:pStyle w:val="FootnoteText"/>
        <w:rPr>
          <w:rFonts w:ascii="Times New Roman" w:hAnsi="Times New Roman" w:cs="Times New Roman"/>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EE3CBF" w:rsidRPr="00343CCE">
        <w:rPr>
          <w:rFonts w:ascii="Times New Roman" w:hAnsi="Times New Roman" w:cs="Times New Roman"/>
        </w:rPr>
        <w:t>Navtej Singh Johar v. Union of India, (</w:t>
      </w:r>
      <w:r w:rsidR="0001066B" w:rsidRPr="00343CCE">
        <w:rPr>
          <w:rFonts w:ascii="Times New Roman" w:hAnsi="Times New Roman" w:cs="Times New Roman"/>
        </w:rPr>
        <w:t>2019</w:t>
      </w:r>
      <w:r w:rsidR="00EE3CBF" w:rsidRPr="00343CCE">
        <w:rPr>
          <w:rFonts w:ascii="Times New Roman" w:hAnsi="Times New Roman" w:cs="Times New Roman"/>
        </w:rPr>
        <w:t>)</w:t>
      </w:r>
      <w:r w:rsidR="0001066B" w:rsidRPr="00343CCE">
        <w:rPr>
          <w:rFonts w:ascii="Times New Roman" w:hAnsi="Times New Roman" w:cs="Times New Roman"/>
        </w:rPr>
        <w:t xml:space="preserve"> 1 SCC (CRI) 1</w:t>
      </w:r>
      <w:r w:rsidR="002C5FCC" w:rsidRPr="00343CCE">
        <w:rPr>
          <w:rFonts w:ascii="Times New Roman" w:hAnsi="Times New Roman" w:cs="Times New Roman"/>
        </w:rPr>
        <w:t>.</w:t>
      </w:r>
    </w:p>
  </w:footnote>
  <w:footnote w:id="16">
    <w:p w14:paraId="43F21537" w14:textId="611A14BF" w:rsidR="00A30EC7" w:rsidRPr="00343CCE" w:rsidRDefault="00A30EC7">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2C5FCC" w:rsidRPr="00343CCE">
        <w:rPr>
          <w:rFonts w:ascii="Times New Roman" w:hAnsi="Times New Roman" w:cs="Times New Roman"/>
          <w:i/>
          <w:iCs/>
        </w:rPr>
        <w:t>Supra</w:t>
      </w:r>
      <w:r w:rsidR="002C5FCC" w:rsidRPr="00343CCE">
        <w:rPr>
          <w:rFonts w:ascii="Times New Roman" w:hAnsi="Times New Roman" w:cs="Times New Roman"/>
        </w:rPr>
        <w:t xml:space="preserve"> note 13.</w:t>
      </w:r>
    </w:p>
  </w:footnote>
  <w:footnote w:id="17">
    <w:p w14:paraId="084323A9" w14:textId="68D3CC7C" w:rsidR="00B57E70" w:rsidRPr="00343CCE" w:rsidRDefault="00B57E70" w:rsidP="00A765F5">
      <w:pPr>
        <w:spacing w:after="0"/>
        <w:rPr>
          <w:rFonts w:ascii="Times New Roman" w:hAnsi="Times New Roman" w:cs="Times New Roman"/>
          <w:sz w:val="20"/>
          <w:szCs w:val="20"/>
        </w:rPr>
      </w:pPr>
      <w:r w:rsidRPr="00343CCE">
        <w:rPr>
          <w:rStyle w:val="FootnoteReference"/>
          <w:rFonts w:ascii="Times New Roman" w:hAnsi="Times New Roman" w:cs="Times New Roman"/>
          <w:sz w:val="20"/>
          <w:szCs w:val="20"/>
        </w:rPr>
        <w:footnoteRef/>
      </w:r>
      <w:r w:rsidR="00CF1A79" w:rsidRPr="00343CCE">
        <w:rPr>
          <w:rFonts w:ascii="Times New Roman" w:hAnsi="Times New Roman" w:cs="Times New Roman"/>
          <w:sz w:val="20"/>
          <w:szCs w:val="20"/>
        </w:rPr>
        <w:t>Vageshwari Deswal,</w:t>
      </w:r>
      <w:r w:rsidR="00A765F5" w:rsidRPr="00343CCE">
        <w:rPr>
          <w:rFonts w:ascii="Times New Roman" w:hAnsi="Times New Roman" w:cs="Times New Roman"/>
          <w:sz w:val="20"/>
          <w:szCs w:val="20"/>
        </w:rPr>
        <w:t xml:space="preserve"> </w:t>
      </w:r>
      <w:r w:rsidR="00A5094D" w:rsidRPr="00343CCE">
        <w:rPr>
          <w:rFonts w:ascii="Times New Roman" w:hAnsi="Times New Roman" w:cs="Times New Roman"/>
          <w:i/>
          <w:iCs/>
          <w:sz w:val="20"/>
          <w:szCs w:val="20"/>
        </w:rPr>
        <w:t>Unnatural offences: Decrypting the phrase, ‘Against the order of nature’</w:t>
      </w:r>
      <w:r w:rsidR="00A5094D" w:rsidRPr="00343CCE">
        <w:rPr>
          <w:rFonts w:ascii="Times New Roman" w:hAnsi="Times New Roman" w:cs="Times New Roman"/>
          <w:sz w:val="20"/>
          <w:szCs w:val="20"/>
        </w:rPr>
        <w:t xml:space="preserve">, TIMES OF INDIA ( Oct.18, 2019), </w:t>
      </w:r>
      <w:hyperlink r:id="rId4" w:history="1">
        <w:r w:rsidR="00365A76" w:rsidRPr="00343CCE">
          <w:rPr>
            <w:rStyle w:val="Hyperlink"/>
            <w:rFonts w:ascii="Times New Roman" w:hAnsi="Times New Roman" w:cs="Times New Roman"/>
            <w:sz w:val="20"/>
            <w:szCs w:val="20"/>
          </w:rPr>
          <w:t>https://timesofindia.indiatimes.com/blogs/legally-speaking/unnatural-offences-decrypting-the-phrase-against-the-order-of-nature/</w:t>
        </w:r>
      </w:hyperlink>
      <w:r w:rsidRPr="00343CCE">
        <w:rPr>
          <w:rFonts w:ascii="Times New Roman" w:hAnsi="Times New Roman" w:cs="Times New Roman"/>
          <w:sz w:val="20"/>
          <w:szCs w:val="20"/>
        </w:rPr>
        <w:t xml:space="preserve"> </w:t>
      </w:r>
    </w:p>
  </w:footnote>
  <w:footnote w:id="18">
    <w:p w14:paraId="01711748" w14:textId="457E570C" w:rsidR="007A23ED" w:rsidRPr="00343CCE" w:rsidRDefault="007A23ED" w:rsidP="00A765F5">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D86218" w:rsidRPr="00343CCE">
        <w:rPr>
          <w:rFonts w:ascii="Times New Roman" w:hAnsi="Times New Roman" w:cs="Times New Roman"/>
          <w:i/>
          <w:iCs/>
          <w:lang w:val="en-US"/>
        </w:rPr>
        <w:t>Supra</w:t>
      </w:r>
      <w:r w:rsidR="00D86218" w:rsidRPr="00343CCE">
        <w:rPr>
          <w:rFonts w:ascii="Times New Roman" w:hAnsi="Times New Roman" w:cs="Times New Roman"/>
          <w:lang w:val="en-US"/>
        </w:rPr>
        <w:t xml:space="preserve"> note 2.</w:t>
      </w:r>
    </w:p>
  </w:footnote>
  <w:footnote w:id="19">
    <w:p w14:paraId="451A2933" w14:textId="1A7B9620" w:rsidR="00EE3CBF" w:rsidRPr="00343CCE" w:rsidRDefault="00EE3CBF">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2023, § 301, No. 45, Act of Parliament, 2023(India).</w:t>
      </w:r>
    </w:p>
  </w:footnote>
  <w:footnote w:id="20">
    <w:p w14:paraId="6646F437" w14:textId="02083E86" w:rsidR="00B647F2" w:rsidRPr="00343CCE" w:rsidRDefault="00B647F2">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Ellen Stroud, </w:t>
      </w:r>
      <w:r w:rsidRPr="00343CCE">
        <w:rPr>
          <w:rFonts w:ascii="Times New Roman" w:hAnsi="Times New Roman" w:cs="Times New Roman"/>
          <w:i/>
          <w:iCs/>
        </w:rPr>
        <w:t>Law and the Dead Body: Is a Corpse a Person or a Thing?</w:t>
      </w:r>
      <w:r w:rsidR="00695D0B" w:rsidRPr="00343CCE">
        <w:rPr>
          <w:rFonts w:ascii="Times New Roman" w:hAnsi="Times New Roman" w:cs="Times New Roman"/>
          <w:i/>
          <w:iCs/>
        </w:rPr>
        <w:t>,</w:t>
      </w:r>
      <w:r w:rsidR="00695D0B" w:rsidRPr="00343CCE">
        <w:rPr>
          <w:rFonts w:ascii="Times New Roman" w:hAnsi="Times New Roman" w:cs="Times New Roman"/>
        </w:rPr>
        <w:t xml:space="preserve"> ( Oct, 2018), </w:t>
      </w:r>
      <w:hyperlink r:id="rId5" w:history="1">
        <w:r w:rsidR="00695D0B" w:rsidRPr="00343CCE">
          <w:rPr>
            <w:rStyle w:val="Hyperlink"/>
            <w:rFonts w:ascii="Times New Roman" w:hAnsi="Times New Roman" w:cs="Times New Roman"/>
          </w:rPr>
          <w:t>https://www.annualreviews.org/content/journals/10.1146/annurev-lawsocsci-110316-113500;jsessionid=Zyd6_UXFxiBmnqPQtXjufxupTIppk7hK9iqm73gy.annurevlive-10-241-10-77</w:t>
        </w:r>
      </w:hyperlink>
      <w:r w:rsidR="00695D0B" w:rsidRPr="00343CCE">
        <w:rPr>
          <w:rFonts w:ascii="Times New Roman" w:hAnsi="Times New Roman" w:cs="Times New Roman"/>
          <w:b/>
          <w:bCs/>
        </w:rPr>
        <w:t xml:space="preserve"> </w:t>
      </w:r>
    </w:p>
  </w:footnote>
  <w:footnote w:id="21">
    <w:p w14:paraId="799E491B" w14:textId="527C8385" w:rsidR="00686430" w:rsidRPr="00343CCE" w:rsidRDefault="00686430">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2023, § 324, No. 45, Act of Parliament, 2023(India).</w:t>
      </w:r>
    </w:p>
  </w:footnote>
  <w:footnote w:id="22">
    <w:p w14:paraId="1C9EFC3E" w14:textId="17D5622A" w:rsidR="00DE56F3" w:rsidRPr="00343CCE" w:rsidRDefault="00DE56F3">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Pr="00343CCE">
        <w:rPr>
          <w:rFonts w:ascii="Times New Roman" w:hAnsi="Times New Roman" w:cs="Times New Roman"/>
          <w:lang w:val="en-US"/>
        </w:rPr>
        <w:t>The Bharatiya Nyaya Sanhita,</w:t>
      </w:r>
      <w:r w:rsidRPr="00343CCE">
        <w:rPr>
          <w:rFonts w:ascii="Times New Roman" w:hAnsi="Times New Roman" w:cs="Times New Roman"/>
        </w:rPr>
        <w:t>2023, § 324 (3), No. 45, Act of Parliament, 2023(India).</w:t>
      </w:r>
    </w:p>
  </w:footnote>
  <w:footnote w:id="23">
    <w:p w14:paraId="6BD9DCC0" w14:textId="4CA3F3A6" w:rsidR="00B30428" w:rsidRPr="00F069DF" w:rsidRDefault="006500B8" w:rsidP="00B30428">
      <w:pPr>
        <w:pStyle w:val="FootnoteText"/>
        <w:rPr>
          <w:rFonts w:ascii="Times New Roman" w:hAnsi="Times New Roman" w:cs="Times New Roman"/>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E10A36" w:rsidRPr="00343CCE">
        <w:rPr>
          <w:rFonts w:ascii="Times New Roman" w:hAnsi="Times New Roman" w:cs="Times New Roman"/>
          <w:lang w:val="en-US"/>
        </w:rPr>
        <w:t>Ketan Aggarwal and Sachika Vij,</w:t>
      </w:r>
      <w:r w:rsidR="00F069DF">
        <w:rPr>
          <w:rFonts w:ascii="Times New Roman" w:hAnsi="Times New Roman" w:cs="Times New Roman"/>
          <w:lang w:val="en-US"/>
        </w:rPr>
        <w:t xml:space="preserve"> </w:t>
      </w:r>
      <w:r w:rsidR="00B30428" w:rsidRPr="00F069DF">
        <w:rPr>
          <w:rFonts w:ascii="Times New Roman" w:hAnsi="Times New Roman" w:cs="Times New Roman"/>
          <w:i/>
          <w:iCs/>
        </w:rPr>
        <w:t>Beyond the Grave: Addressing Necrophilia in India’s Legal Landscape</w:t>
      </w:r>
      <w:r w:rsidR="0007777A" w:rsidRPr="00F069DF">
        <w:rPr>
          <w:rFonts w:ascii="Times New Roman" w:hAnsi="Times New Roman" w:cs="Times New Roman"/>
          <w:i/>
          <w:iCs/>
        </w:rPr>
        <w:t>,</w:t>
      </w:r>
    </w:p>
    <w:p w14:paraId="684DA422" w14:textId="524DC0DD" w:rsidR="006500B8" w:rsidRPr="00F069DF" w:rsidRDefault="00B30428">
      <w:pPr>
        <w:pStyle w:val="FootnoteText"/>
        <w:rPr>
          <w:rFonts w:ascii="Times New Roman" w:hAnsi="Times New Roman" w:cs="Times New Roman"/>
          <w:lang w:val="en-US"/>
        </w:rPr>
      </w:pPr>
      <w:r w:rsidRPr="00F069DF">
        <w:rPr>
          <w:rFonts w:ascii="Times New Roman" w:hAnsi="Times New Roman" w:cs="Times New Roman"/>
          <w:lang w:val="en-US"/>
        </w:rPr>
        <w:t>(July.31, 2023)</w:t>
      </w:r>
      <w:r w:rsidR="0007777A" w:rsidRPr="00F069DF">
        <w:rPr>
          <w:rFonts w:ascii="Times New Roman" w:hAnsi="Times New Roman" w:cs="Times New Roman"/>
          <w:lang w:val="en-US"/>
        </w:rPr>
        <w:t xml:space="preserve">, </w:t>
      </w:r>
      <w:hyperlink r:id="rId6" w:history="1">
        <w:r w:rsidR="0007777A" w:rsidRPr="00F069DF">
          <w:rPr>
            <w:rStyle w:val="Hyperlink"/>
            <w:rFonts w:ascii="Times New Roman" w:hAnsi="Times New Roman" w:cs="Times New Roman"/>
            <w:lang w:val="en-US"/>
          </w:rPr>
          <w:t>https://ohrh.law.ox.ac.uk/beyond-the-grave-addressing-necrophilia-in-indias-legal-landscape/</w:t>
        </w:r>
      </w:hyperlink>
      <w:r w:rsidR="0007777A" w:rsidRPr="00F069DF">
        <w:rPr>
          <w:rFonts w:ascii="Times New Roman" w:hAnsi="Times New Roman" w:cs="Times New Roman"/>
          <w:lang w:val="en-US"/>
        </w:rPr>
        <w:t>.</w:t>
      </w:r>
    </w:p>
  </w:footnote>
  <w:footnote w:id="24">
    <w:p w14:paraId="01ED4A3A" w14:textId="03D8FEA3" w:rsidR="00373481" w:rsidRPr="00F069DF" w:rsidRDefault="00373481">
      <w:pPr>
        <w:pStyle w:val="FootnoteText"/>
        <w:rPr>
          <w:rFonts w:ascii="Times New Roman" w:hAnsi="Times New Roman" w:cs="Times New Roman"/>
          <w:lang w:val="en-US"/>
        </w:rPr>
      </w:pPr>
      <w:r w:rsidRPr="00F069DF">
        <w:rPr>
          <w:rStyle w:val="FootnoteReference"/>
          <w:rFonts w:ascii="Times New Roman" w:hAnsi="Times New Roman" w:cs="Times New Roman"/>
        </w:rPr>
        <w:footnoteRef/>
      </w:r>
      <w:r w:rsidRPr="00F069DF">
        <w:rPr>
          <w:rFonts w:ascii="Times New Roman" w:hAnsi="Times New Roman" w:cs="Times New Roman"/>
        </w:rPr>
        <w:t xml:space="preserve"> Michael B. First</w:t>
      </w:r>
      <w:r w:rsidR="003178C0" w:rsidRPr="00F069DF">
        <w:rPr>
          <w:rFonts w:ascii="Times New Roman" w:hAnsi="Times New Roman" w:cs="Times New Roman"/>
        </w:rPr>
        <w:t>,</w:t>
      </w:r>
      <w:r w:rsidR="003178C0" w:rsidRPr="00F069DF">
        <w:rPr>
          <w:rFonts w:ascii="Times New Roman" w:hAnsi="Times New Roman" w:cs="Times New Roman"/>
          <w:sz w:val="22"/>
          <w:szCs w:val="22"/>
        </w:rPr>
        <w:t xml:space="preserve"> </w:t>
      </w:r>
      <w:r w:rsidR="003178C0" w:rsidRPr="00F069DF">
        <w:rPr>
          <w:rFonts w:ascii="Times New Roman" w:hAnsi="Times New Roman" w:cs="Times New Roman"/>
        </w:rPr>
        <w:t xml:space="preserve">DSM-5 and Paraphilic Disorders, J Am Acad Psychiatry Law </w:t>
      </w:r>
      <w:r w:rsidR="008C77D3" w:rsidRPr="00F069DF">
        <w:rPr>
          <w:rFonts w:ascii="Times New Roman" w:hAnsi="Times New Roman" w:cs="Times New Roman"/>
        </w:rPr>
        <w:t xml:space="preserve">, </w:t>
      </w:r>
      <w:r w:rsidR="003178C0" w:rsidRPr="00F069DF">
        <w:rPr>
          <w:rFonts w:ascii="Times New Roman" w:hAnsi="Times New Roman" w:cs="Times New Roman"/>
        </w:rPr>
        <w:t>191–201</w:t>
      </w:r>
      <w:r w:rsidR="00B45CC3" w:rsidRPr="00F069DF">
        <w:rPr>
          <w:rFonts w:ascii="Times New Roman" w:hAnsi="Times New Roman" w:cs="Times New Roman"/>
        </w:rPr>
        <w:t xml:space="preserve"> (</w:t>
      </w:r>
      <w:r w:rsidR="003178C0" w:rsidRPr="00F069DF">
        <w:rPr>
          <w:rFonts w:ascii="Times New Roman" w:hAnsi="Times New Roman" w:cs="Times New Roman"/>
        </w:rPr>
        <w:t>2014</w:t>
      </w:r>
      <w:r w:rsidR="00B45CC3" w:rsidRPr="00F069DF">
        <w:rPr>
          <w:rFonts w:ascii="Times New Roman" w:hAnsi="Times New Roman" w:cs="Times New Roman"/>
        </w:rPr>
        <w:t>)</w:t>
      </w:r>
      <w:r w:rsidR="00585572" w:rsidRPr="00F069DF">
        <w:rPr>
          <w:rFonts w:ascii="Times New Roman" w:hAnsi="Times New Roman" w:cs="Times New Roman"/>
        </w:rPr>
        <w:t>.</w:t>
      </w:r>
    </w:p>
  </w:footnote>
  <w:footnote w:id="25">
    <w:p w14:paraId="347D929E" w14:textId="17968AA4" w:rsidR="00265D32" w:rsidRPr="00F069DF" w:rsidRDefault="00265D32">
      <w:pPr>
        <w:pStyle w:val="FootnoteText"/>
        <w:rPr>
          <w:rFonts w:ascii="Times New Roman" w:hAnsi="Times New Roman" w:cs="Times New Roman"/>
        </w:rPr>
      </w:pPr>
      <w:r w:rsidRPr="00F069DF">
        <w:rPr>
          <w:rStyle w:val="FootnoteReference"/>
          <w:rFonts w:ascii="Times New Roman" w:hAnsi="Times New Roman" w:cs="Times New Roman"/>
        </w:rPr>
        <w:footnoteRef/>
      </w:r>
      <w:r w:rsidRPr="00F069DF">
        <w:rPr>
          <w:rFonts w:ascii="Times New Roman" w:hAnsi="Times New Roman" w:cs="Times New Roman"/>
        </w:rPr>
        <w:t xml:space="preserve"> </w:t>
      </w:r>
      <w:r w:rsidRPr="00F069DF">
        <w:rPr>
          <w:rFonts w:ascii="Times New Roman" w:hAnsi="Times New Roman" w:cs="Times New Roman"/>
          <w:lang w:val="en-US"/>
        </w:rPr>
        <w:t>Mark Moran</w:t>
      </w:r>
      <w:r w:rsidRPr="00F069DF">
        <w:rPr>
          <w:rFonts w:ascii="Times New Roman" w:hAnsi="Times New Roman" w:cs="Times New Roman"/>
          <w:i/>
          <w:iCs/>
          <w:lang w:val="en-US"/>
        </w:rPr>
        <w:t>,</w:t>
      </w:r>
      <w:r w:rsidR="00BF73E3">
        <w:rPr>
          <w:rFonts w:ascii="Times New Roman" w:hAnsi="Times New Roman" w:cs="Times New Roman"/>
          <w:i/>
          <w:iCs/>
          <w:lang w:val="en-US"/>
        </w:rPr>
        <w:t xml:space="preserve"> </w:t>
      </w:r>
      <w:r w:rsidR="00284798" w:rsidRPr="00F069DF">
        <w:rPr>
          <w:rFonts w:ascii="Times New Roman" w:hAnsi="Times New Roman" w:cs="Times New Roman"/>
          <w:i/>
          <w:iCs/>
        </w:rPr>
        <w:t>DSM to Distinguish Paraphilias From Paraphilic Disorders</w:t>
      </w:r>
      <w:r w:rsidR="00284798" w:rsidRPr="00F069DF">
        <w:rPr>
          <w:rFonts w:ascii="Times New Roman" w:hAnsi="Times New Roman" w:cs="Times New Roman"/>
        </w:rPr>
        <w:t>, ( May.3, 2013),</w:t>
      </w:r>
      <w:r w:rsidR="003F6D52" w:rsidRPr="00F069DF">
        <w:rPr>
          <w:rFonts w:ascii="Times New Roman" w:hAnsi="Times New Roman" w:cs="Times New Roman"/>
        </w:rPr>
        <w:t xml:space="preserve"> </w:t>
      </w:r>
      <w:hyperlink r:id="rId7" w:history="1">
        <w:r w:rsidR="003F6D52" w:rsidRPr="00F069DF">
          <w:rPr>
            <w:rStyle w:val="Hyperlink"/>
            <w:rFonts w:ascii="Times New Roman" w:hAnsi="Times New Roman" w:cs="Times New Roman"/>
          </w:rPr>
          <w:t>https://psychiatryonline.org/doi/10.1176/appi.pn.2013.5a19</w:t>
        </w:r>
      </w:hyperlink>
      <w:r w:rsidR="003F6D52" w:rsidRPr="00F069DF">
        <w:rPr>
          <w:rFonts w:ascii="Times New Roman" w:hAnsi="Times New Roman" w:cs="Times New Roman"/>
        </w:rPr>
        <w:t xml:space="preserve"> . </w:t>
      </w:r>
    </w:p>
  </w:footnote>
  <w:footnote w:id="26">
    <w:p w14:paraId="68CD3CA7" w14:textId="77252C72" w:rsidR="00522C62" w:rsidRPr="00F069DF" w:rsidRDefault="00522C62">
      <w:pPr>
        <w:pStyle w:val="FootnoteText"/>
        <w:rPr>
          <w:rFonts w:ascii="Times New Roman" w:hAnsi="Times New Roman" w:cs="Times New Roman"/>
          <w:lang w:val="en-US"/>
        </w:rPr>
      </w:pPr>
      <w:r w:rsidRPr="00F069DF">
        <w:rPr>
          <w:rStyle w:val="FootnoteReference"/>
          <w:rFonts w:ascii="Times New Roman" w:hAnsi="Times New Roman" w:cs="Times New Roman"/>
        </w:rPr>
        <w:footnoteRef/>
      </w:r>
      <w:r w:rsidRPr="00F069DF">
        <w:rPr>
          <w:rFonts w:ascii="Times New Roman" w:hAnsi="Times New Roman" w:cs="Times New Roman"/>
        </w:rPr>
        <w:t xml:space="preserve"> </w:t>
      </w:r>
      <w:r w:rsidRPr="00F069DF">
        <w:rPr>
          <w:rFonts w:ascii="Times New Roman" w:hAnsi="Times New Roman" w:cs="Times New Roman"/>
          <w:lang w:val="en-US"/>
        </w:rPr>
        <w:t>The Bharatiya Nyaya Sanhita,</w:t>
      </w:r>
      <w:r w:rsidRPr="00F069DF">
        <w:rPr>
          <w:rFonts w:ascii="Times New Roman" w:hAnsi="Times New Roman" w:cs="Times New Roman"/>
        </w:rPr>
        <w:t>2023, § 22, No. 45, Act of Parliament, 2023(India).</w:t>
      </w:r>
    </w:p>
  </w:footnote>
  <w:footnote w:id="27">
    <w:p w14:paraId="3E27E405" w14:textId="5B24B1C8" w:rsidR="00D078A6" w:rsidRPr="00F069DF" w:rsidRDefault="00D078A6">
      <w:pPr>
        <w:pStyle w:val="FootnoteText"/>
        <w:rPr>
          <w:rFonts w:ascii="Times New Roman" w:hAnsi="Times New Roman" w:cs="Times New Roman"/>
          <w:lang w:val="en-US"/>
        </w:rPr>
      </w:pPr>
      <w:r w:rsidRPr="00F069DF">
        <w:rPr>
          <w:rStyle w:val="FootnoteReference"/>
          <w:rFonts w:ascii="Times New Roman" w:hAnsi="Times New Roman" w:cs="Times New Roman"/>
        </w:rPr>
        <w:footnoteRef/>
      </w:r>
      <w:r w:rsidRPr="00F069DF">
        <w:rPr>
          <w:rFonts w:ascii="Times New Roman" w:hAnsi="Times New Roman" w:cs="Times New Roman"/>
        </w:rPr>
        <w:t xml:space="preserve"> </w:t>
      </w:r>
      <w:r w:rsidR="006C41EB" w:rsidRPr="00F069DF">
        <w:rPr>
          <w:rFonts w:ascii="Times New Roman" w:hAnsi="Times New Roman" w:cs="Times New Roman"/>
          <w:i/>
          <w:iCs/>
          <w:lang w:val="en-US"/>
        </w:rPr>
        <w:t>Id.</w:t>
      </w:r>
      <w:r w:rsidR="006C41EB" w:rsidRPr="00F069DF">
        <w:rPr>
          <w:rFonts w:ascii="Times New Roman" w:hAnsi="Times New Roman" w:cs="Times New Roman"/>
          <w:lang w:val="en-US"/>
        </w:rPr>
        <w:t xml:space="preserve"> </w:t>
      </w:r>
    </w:p>
  </w:footnote>
  <w:footnote w:id="28">
    <w:p w14:paraId="4C24524F" w14:textId="5DC98471" w:rsidR="00EB52DF" w:rsidRPr="00343CCE" w:rsidRDefault="00EB52DF">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8B5F59" w:rsidRPr="00343CCE">
        <w:rPr>
          <w:rFonts w:ascii="Times New Roman" w:hAnsi="Times New Roman" w:cs="Times New Roman"/>
        </w:rPr>
        <w:t>Sexual Offences Act 2003, c. 42, § 70 (UK).</w:t>
      </w:r>
    </w:p>
  </w:footnote>
  <w:footnote w:id="29">
    <w:p w14:paraId="4F329949" w14:textId="35727960" w:rsidR="00E93616" w:rsidRPr="00343CCE" w:rsidRDefault="00E93616">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Criminal Law (Sexual Offences and Related Matters) Amendment Act</w:t>
      </w:r>
      <w:r w:rsidR="004B62F1" w:rsidRPr="00343CCE">
        <w:rPr>
          <w:rFonts w:ascii="Times New Roman" w:hAnsi="Times New Roman" w:cs="Times New Roman"/>
        </w:rPr>
        <w:t>,2007, § 15, No.</w:t>
      </w:r>
      <w:r w:rsidRPr="00343CCE">
        <w:rPr>
          <w:rFonts w:ascii="Times New Roman" w:hAnsi="Times New Roman" w:cs="Times New Roman"/>
        </w:rPr>
        <w:t>32</w:t>
      </w:r>
      <w:r w:rsidR="000E3427" w:rsidRPr="00343CCE">
        <w:rPr>
          <w:rFonts w:ascii="Times New Roman" w:hAnsi="Times New Roman" w:cs="Times New Roman"/>
        </w:rPr>
        <w:t>,</w:t>
      </w:r>
      <w:r w:rsidRPr="00343CCE">
        <w:rPr>
          <w:rFonts w:ascii="Times New Roman" w:hAnsi="Times New Roman" w:cs="Times New Roman"/>
        </w:rPr>
        <w:t xml:space="preserve"> 2007, (South Africa).</w:t>
      </w:r>
    </w:p>
  </w:footnote>
  <w:footnote w:id="30">
    <w:p w14:paraId="3EB5DE76" w14:textId="1CA19965" w:rsidR="001401E3" w:rsidRPr="00343CCE" w:rsidRDefault="001401E3">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Criminal Code, R.S.C. 1985,</w:t>
      </w:r>
      <w:r w:rsidR="00706417" w:rsidRPr="00343CCE">
        <w:rPr>
          <w:rFonts w:ascii="Times New Roman" w:hAnsi="Times New Roman" w:cs="Times New Roman"/>
        </w:rPr>
        <w:t xml:space="preserve"> § 182,</w:t>
      </w:r>
      <w:r w:rsidRPr="00343CCE">
        <w:rPr>
          <w:rFonts w:ascii="Times New Roman" w:hAnsi="Times New Roman" w:cs="Times New Roman"/>
        </w:rPr>
        <w:t xml:space="preserve"> c. C-46, </w:t>
      </w:r>
      <w:r w:rsidR="00706417" w:rsidRPr="00343CCE">
        <w:rPr>
          <w:rFonts w:ascii="Times New Roman" w:hAnsi="Times New Roman" w:cs="Times New Roman"/>
        </w:rPr>
        <w:t xml:space="preserve">1985 </w:t>
      </w:r>
      <w:r w:rsidRPr="00343CCE">
        <w:rPr>
          <w:rFonts w:ascii="Times New Roman" w:hAnsi="Times New Roman" w:cs="Times New Roman"/>
        </w:rPr>
        <w:t>(Can</w:t>
      </w:r>
      <w:r w:rsidR="00706417" w:rsidRPr="00343CCE">
        <w:rPr>
          <w:rFonts w:ascii="Times New Roman" w:hAnsi="Times New Roman" w:cs="Times New Roman"/>
        </w:rPr>
        <w:t>ada</w:t>
      </w:r>
      <w:r w:rsidRPr="00343CCE">
        <w:rPr>
          <w:rFonts w:ascii="Times New Roman" w:hAnsi="Times New Roman" w:cs="Times New Roman"/>
        </w:rPr>
        <w:t>).</w:t>
      </w:r>
    </w:p>
  </w:footnote>
  <w:footnote w:id="31">
    <w:p w14:paraId="44C8F2C5" w14:textId="35F4B46C" w:rsidR="00FB5241" w:rsidRPr="00343CCE" w:rsidRDefault="00FB5241">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Norwegian Penal Code</w:t>
      </w:r>
      <w:r w:rsidR="009A4AB9" w:rsidRPr="00343CCE">
        <w:rPr>
          <w:rFonts w:ascii="Times New Roman" w:hAnsi="Times New Roman" w:cs="Times New Roman"/>
        </w:rPr>
        <w:t>,</w:t>
      </w:r>
      <w:r w:rsidRPr="00343CCE">
        <w:rPr>
          <w:rFonts w:ascii="Times New Roman" w:hAnsi="Times New Roman" w:cs="Times New Roman"/>
        </w:rPr>
        <w:t xml:space="preserve"> § 195</w:t>
      </w:r>
      <w:r w:rsidR="009A4AB9" w:rsidRPr="00343CCE">
        <w:rPr>
          <w:rFonts w:ascii="Times New Roman" w:hAnsi="Times New Roman" w:cs="Times New Roman"/>
        </w:rPr>
        <w:t>,</w:t>
      </w:r>
      <w:r w:rsidRPr="00343CCE">
        <w:rPr>
          <w:rFonts w:ascii="Times New Roman" w:hAnsi="Times New Roman" w:cs="Times New Roman"/>
        </w:rPr>
        <w:t xml:space="preserve"> 2005</w:t>
      </w:r>
      <w:r w:rsidR="008E5529" w:rsidRPr="00343CCE">
        <w:rPr>
          <w:rFonts w:ascii="Times New Roman" w:hAnsi="Times New Roman" w:cs="Times New Roman"/>
        </w:rPr>
        <w:t xml:space="preserve">, </w:t>
      </w:r>
      <w:r w:rsidRPr="00343CCE">
        <w:rPr>
          <w:rFonts w:ascii="Times New Roman" w:hAnsi="Times New Roman" w:cs="Times New Roman"/>
        </w:rPr>
        <w:t>(Nor</w:t>
      </w:r>
      <w:r w:rsidR="008E5529" w:rsidRPr="00343CCE">
        <w:rPr>
          <w:rFonts w:ascii="Times New Roman" w:hAnsi="Times New Roman" w:cs="Times New Roman"/>
        </w:rPr>
        <w:t>way</w:t>
      </w:r>
      <w:r w:rsidRPr="00343CCE">
        <w:rPr>
          <w:rFonts w:ascii="Times New Roman" w:hAnsi="Times New Roman" w:cs="Times New Roman"/>
        </w:rPr>
        <w:t>).</w:t>
      </w:r>
      <w:r w:rsidR="00C501A1" w:rsidRPr="00343CCE">
        <w:rPr>
          <w:rFonts w:ascii="Times New Roman" w:hAnsi="Times New Roman" w:cs="Times New Roman"/>
        </w:rPr>
        <w:t xml:space="preserve"> </w:t>
      </w:r>
    </w:p>
  </w:footnote>
  <w:footnote w:id="32">
    <w:p w14:paraId="75C62FC8" w14:textId="4CEAE0D1" w:rsidR="008B5F59" w:rsidRPr="00343CCE" w:rsidRDefault="008B5F59">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9A4AB9" w:rsidRPr="00343CCE">
        <w:rPr>
          <w:rFonts w:ascii="Times New Roman" w:hAnsi="Times New Roman" w:cs="Times New Roman"/>
        </w:rPr>
        <w:t>Crimes Act 1961, § 150</w:t>
      </w:r>
      <w:r w:rsidR="00EC50B2">
        <w:rPr>
          <w:rFonts w:ascii="Times New Roman" w:hAnsi="Times New Roman" w:cs="Times New Roman"/>
        </w:rPr>
        <w:t>, 1961</w:t>
      </w:r>
      <w:r w:rsidR="009A4AB9" w:rsidRPr="00343CCE">
        <w:rPr>
          <w:rFonts w:ascii="Times New Roman" w:hAnsi="Times New Roman" w:cs="Times New Roman"/>
        </w:rPr>
        <w:t xml:space="preserve"> (N</w:t>
      </w:r>
      <w:r w:rsidR="008E5529" w:rsidRPr="00343CCE">
        <w:rPr>
          <w:rFonts w:ascii="Times New Roman" w:hAnsi="Times New Roman" w:cs="Times New Roman"/>
        </w:rPr>
        <w:t>ew Zealand</w:t>
      </w:r>
      <w:r w:rsidR="009A4AB9" w:rsidRPr="00343CCE">
        <w:rPr>
          <w:rFonts w:ascii="Times New Roman" w:hAnsi="Times New Roman" w:cs="Times New Roman"/>
        </w:rPr>
        <w:t>).</w:t>
      </w:r>
    </w:p>
  </w:footnote>
  <w:footnote w:id="33">
    <w:p w14:paraId="34EC8C9E" w14:textId="6A11462F" w:rsidR="00B760C0" w:rsidRPr="00343CCE" w:rsidRDefault="00B760C0">
      <w:pPr>
        <w:pStyle w:val="FootnoteText"/>
        <w:rPr>
          <w:rFonts w:ascii="Times New Roman" w:hAnsi="Times New Roman" w:cs="Times New Roman"/>
        </w:rPr>
      </w:pPr>
      <w:r w:rsidRPr="00343CCE">
        <w:rPr>
          <w:rStyle w:val="FootnoteReference"/>
          <w:rFonts w:ascii="Times New Roman" w:hAnsi="Times New Roman" w:cs="Times New Roman"/>
        </w:rPr>
        <w:footnoteRef/>
      </w:r>
      <w:r w:rsidR="004568EB" w:rsidRPr="00343CCE">
        <w:rPr>
          <w:rFonts w:ascii="Times New Roman" w:hAnsi="Times New Roman" w:cs="Times New Roman"/>
        </w:rPr>
        <w:t>Paramanand Katara v Union of India,</w:t>
      </w:r>
      <w:r w:rsidR="00706417" w:rsidRPr="00343CCE">
        <w:rPr>
          <w:rFonts w:ascii="Times New Roman" w:hAnsi="Times New Roman" w:cs="Times New Roman"/>
        </w:rPr>
        <w:t xml:space="preserve"> </w:t>
      </w:r>
      <w:r w:rsidR="004568EB" w:rsidRPr="00343CCE">
        <w:rPr>
          <w:rFonts w:ascii="Times New Roman" w:hAnsi="Times New Roman" w:cs="Times New Roman"/>
        </w:rPr>
        <w:t>(1989) 4 SCC 286</w:t>
      </w:r>
    </w:p>
  </w:footnote>
  <w:footnote w:id="34">
    <w:p w14:paraId="0685F0B2" w14:textId="743EBB90" w:rsidR="00A43041" w:rsidRPr="00343CCE" w:rsidRDefault="00A43041">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372B5D" w:rsidRPr="00343CCE">
        <w:rPr>
          <w:rFonts w:ascii="Times New Roman" w:hAnsi="Times New Roman" w:cs="Times New Roman"/>
        </w:rPr>
        <w:t xml:space="preserve">INDIA CONST. art. 21. </w:t>
      </w:r>
    </w:p>
  </w:footnote>
  <w:footnote w:id="35">
    <w:p w14:paraId="4EBDCDA2" w14:textId="4DF4CB69" w:rsidR="004568EB" w:rsidRPr="00343CCE" w:rsidRDefault="004568EB">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Pr="00343CCE">
        <w:rPr>
          <w:rFonts w:ascii="Times New Roman" w:hAnsi="Times New Roman" w:cs="Times New Roman"/>
        </w:rPr>
        <w:t xml:space="preserve"> </w:t>
      </w:r>
      <w:r w:rsidR="00871DF2" w:rsidRPr="00343CCE">
        <w:rPr>
          <w:rFonts w:ascii="Times New Roman" w:hAnsi="Times New Roman" w:cs="Times New Roman"/>
        </w:rPr>
        <w:t>Ramji Singh v. State of U.P., 2009 SCC OnLine All 310</w:t>
      </w:r>
      <w:r w:rsidR="00113D72">
        <w:rPr>
          <w:rFonts w:ascii="Times New Roman" w:hAnsi="Times New Roman" w:cs="Times New Roman"/>
        </w:rPr>
        <w:t>.</w:t>
      </w:r>
    </w:p>
  </w:footnote>
  <w:footnote w:id="36">
    <w:p w14:paraId="574B0171" w14:textId="0C05EEAF" w:rsidR="00EC20E3" w:rsidRPr="00343CCE" w:rsidRDefault="00EC20E3">
      <w:pPr>
        <w:pStyle w:val="FootnoteText"/>
        <w:rPr>
          <w:rFonts w:ascii="Times New Roman" w:hAnsi="Times New Roman" w:cs="Times New Roman"/>
          <w:lang w:val="en-US"/>
        </w:rPr>
      </w:pPr>
      <w:r w:rsidRPr="00343CCE">
        <w:rPr>
          <w:rStyle w:val="FootnoteReference"/>
          <w:rFonts w:ascii="Times New Roman" w:hAnsi="Times New Roman" w:cs="Times New Roman"/>
        </w:rPr>
        <w:footnoteRef/>
      </w:r>
      <w:r w:rsidR="00A43041" w:rsidRPr="00343CCE">
        <w:rPr>
          <w:rFonts w:ascii="Times New Roman" w:hAnsi="Times New Roman" w:cs="Times New Roman"/>
          <w:lang w:val="en-US"/>
        </w:rPr>
        <w:t xml:space="preserve"> </w:t>
      </w:r>
      <w:r w:rsidR="00A43041" w:rsidRPr="00343CCE">
        <w:rPr>
          <w:rFonts w:ascii="Times New Roman" w:hAnsi="Times New Roman" w:cs="Times New Roman"/>
          <w:i/>
          <w:iCs/>
          <w:lang w:val="en-US"/>
        </w:rPr>
        <w:t xml:space="preserve">Supra </w:t>
      </w:r>
      <w:r w:rsidR="00A43041" w:rsidRPr="00343CCE">
        <w:rPr>
          <w:rFonts w:ascii="Times New Roman" w:hAnsi="Times New Roman" w:cs="Times New Roman"/>
          <w:lang w:val="en-US"/>
        </w:rPr>
        <w:t>note 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D0716"/>
    <w:multiLevelType w:val="multilevel"/>
    <w:tmpl w:val="F95622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474385"/>
    <w:multiLevelType w:val="multilevel"/>
    <w:tmpl w:val="F0488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AF694E"/>
    <w:multiLevelType w:val="multilevel"/>
    <w:tmpl w:val="54A21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9922015"/>
    <w:multiLevelType w:val="multilevel"/>
    <w:tmpl w:val="094C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8113571">
    <w:abstractNumId w:val="3"/>
  </w:num>
  <w:num w:numId="2" w16cid:durableId="902105867">
    <w:abstractNumId w:val="0"/>
  </w:num>
  <w:num w:numId="3" w16cid:durableId="1062363767">
    <w:abstractNumId w:val="2"/>
  </w:num>
  <w:num w:numId="4" w16cid:durableId="10204008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0"/>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1157"/>
    <w:rsid w:val="00002AED"/>
    <w:rsid w:val="0001066B"/>
    <w:rsid w:val="00016403"/>
    <w:rsid w:val="000253BC"/>
    <w:rsid w:val="00030BFA"/>
    <w:rsid w:val="0003314D"/>
    <w:rsid w:val="000426E7"/>
    <w:rsid w:val="000455B2"/>
    <w:rsid w:val="00051374"/>
    <w:rsid w:val="00056C41"/>
    <w:rsid w:val="00057090"/>
    <w:rsid w:val="000611BE"/>
    <w:rsid w:val="000658BF"/>
    <w:rsid w:val="000666FC"/>
    <w:rsid w:val="0007777A"/>
    <w:rsid w:val="000830F5"/>
    <w:rsid w:val="0009277D"/>
    <w:rsid w:val="00095C6D"/>
    <w:rsid w:val="00096979"/>
    <w:rsid w:val="000A1BE0"/>
    <w:rsid w:val="000B049E"/>
    <w:rsid w:val="000B3AFD"/>
    <w:rsid w:val="000C1C98"/>
    <w:rsid w:val="000C2A22"/>
    <w:rsid w:val="000C48AE"/>
    <w:rsid w:val="000C4D7F"/>
    <w:rsid w:val="000D1DC7"/>
    <w:rsid w:val="000D48E8"/>
    <w:rsid w:val="000D4E52"/>
    <w:rsid w:val="000D7406"/>
    <w:rsid w:val="000E3427"/>
    <w:rsid w:val="000E48FA"/>
    <w:rsid w:val="000F33DA"/>
    <w:rsid w:val="000F650C"/>
    <w:rsid w:val="001024E5"/>
    <w:rsid w:val="00102FC8"/>
    <w:rsid w:val="001030A2"/>
    <w:rsid w:val="00110172"/>
    <w:rsid w:val="001101DB"/>
    <w:rsid w:val="00113BDC"/>
    <w:rsid w:val="00113D72"/>
    <w:rsid w:val="00117E58"/>
    <w:rsid w:val="00120394"/>
    <w:rsid w:val="00134215"/>
    <w:rsid w:val="00134E5C"/>
    <w:rsid w:val="0013599C"/>
    <w:rsid w:val="001401E3"/>
    <w:rsid w:val="00161BFE"/>
    <w:rsid w:val="001639B1"/>
    <w:rsid w:val="00167524"/>
    <w:rsid w:val="00174FDD"/>
    <w:rsid w:val="001754B3"/>
    <w:rsid w:val="00180E4D"/>
    <w:rsid w:val="001853AA"/>
    <w:rsid w:val="00190474"/>
    <w:rsid w:val="001926A5"/>
    <w:rsid w:val="001A1A1B"/>
    <w:rsid w:val="001A3ED4"/>
    <w:rsid w:val="001B547D"/>
    <w:rsid w:val="001B75F8"/>
    <w:rsid w:val="001C0F68"/>
    <w:rsid w:val="001C1D34"/>
    <w:rsid w:val="001C5AE8"/>
    <w:rsid w:val="001D1AAF"/>
    <w:rsid w:val="001D6C3A"/>
    <w:rsid w:val="001E3290"/>
    <w:rsid w:val="001E40AE"/>
    <w:rsid w:val="001E6068"/>
    <w:rsid w:val="001F1A39"/>
    <w:rsid w:val="001F352D"/>
    <w:rsid w:val="001F3CDC"/>
    <w:rsid w:val="00203E7A"/>
    <w:rsid w:val="00207F57"/>
    <w:rsid w:val="002145BD"/>
    <w:rsid w:val="00221D94"/>
    <w:rsid w:val="00224F97"/>
    <w:rsid w:val="002301A9"/>
    <w:rsid w:val="002359FE"/>
    <w:rsid w:val="00235F2D"/>
    <w:rsid w:val="00236D6B"/>
    <w:rsid w:val="00244A98"/>
    <w:rsid w:val="00245A34"/>
    <w:rsid w:val="002477AE"/>
    <w:rsid w:val="00250621"/>
    <w:rsid w:val="00255B16"/>
    <w:rsid w:val="00263940"/>
    <w:rsid w:val="00264AE3"/>
    <w:rsid w:val="00265D32"/>
    <w:rsid w:val="002758DC"/>
    <w:rsid w:val="002771BA"/>
    <w:rsid w:val="002803A7"/>
    <w:rsid w:val="00281D72"/>
    <w:rsid w:val="00284416"/>
    <w:rsid w:val="00284798"/>
    <w:rsid w:val="00284ABF"/>
    <w:rsid w:val="00285076"/>
    <w:rsid w:val="00292C04"/>
    <w:rsid w:val="002A0878"/>
    <w:rsid w:val="002A373A"/>
    <w:rsid w:val="002B1292"/>
    <w:rsid w:val="002C1E62"/>
    <w:rsid w:val="002C36D0"/>
    <w:rsid w:val="002C5FCC"/>
    <w:rsid w:val="002C6909"/>
    <w:rsid w:val="002C74BB"/>
    <w:rsid w:val="002D22AC"/>
    <w:rsid w:val="002D234D"/>
    <w:rsid w:val="002D4355"/>
    <w:rsid w:val="002D58CD"/>
    <w:rsid w:val="002D7951"/>
    <w:rsid w:val="002E07D3"/>
    <w:rsid w:val="002E1D81"/>
    <w:rsid w:val="002E2E4A"/>
    <w:rsid w:val="002F6D7C"/>
    <w:rsid w:val="0030792A"/>
    <w:rsid w:val="00315DB5"/>
    <w:rsid w:val="003178C0"/>
    <w:rsid w:val="00324585"/>
    <w:rsid w:val="00343CCE"/>
    <w:rsid w:val="00355AA2"/>
    <w:rsid w:val="00365A76"/>
    <w:rsid w:val="00372B5D"/>
    <w:rsid w:val="00373481"/>
    <w:rsid w:val="0038188C"/>
    <w:rsid w:val="003A1A6B"/>
    <w:rsid w:val="003B5704"/>
    <w:rsid w:val="003B7091"/>
    <w:rsid w:val="003C1C36"/>
    <w:rsid w:val="003C27A2"/>
    <w:rsid w:val="003C68B0"/>
    <w:rsid w:val="003D2788"/>
    <w:rsid w:val="003D63B4"/>
    <w:rsid w:val="003D6B3C"/>
    <w:rsid w:val="003E30DC"/>
    <w:rsid w:val="003E5AF0"/>
    <w:rsid w:val="003F54E9"/>
    <w:rsid w:val="003F5F3D"/>
    <w:rsid w:val="003F6D52"/>
    <w:rsid w:val="00405F5D"/>
    <w:rsid w:val="004111BB"/>
    <w:rsid w:val="00423367"/>
    <w:rsid w:val="0042607F"/>
    <w:rsid w:val="00441FB1"/>
    <w:rsid w:val="00452A2A"/>
    <w:rsid w:val="004568EB"/>
    <w:rsid w:val="0046103A"/>
    <w:rsid w:val="004616A5"/>
    <w:rsid w:val="00461B84"/>
    <w:rsid w:val="00481864"/>
    <w:rsid w:val="00490F01"/>
    <w:rsid w:val="00492D38"/>
    <w:rsid w:val="004953E7"/>
    <w:rsid w:val="00497A94"/>
    <w:rsid w:val="004A31E7"/>
    <w:rsid w:val="004A5D4C"/>
    <w:rsid w:val="004B1157"/>
    <w:rsid w:val="004B62F1"/>
    <w:rsid w:val="004C0AAA"/>
    <w:rsid w:val="004C0CA2"/>
    <w:rsid w:val="004C538C"/>
    <w:rsid w:val="004C7A33"/>
    <w:rsid w:val="004D144D"/>
    <w:rsid w:val="004D6C71"/>
    <w:rsid w:val="004E2000"/>
    <w:rsid w:val="004E5239"/>
    <w:rsid w:val="004F73AE"/>
    <w:rsid w:val="005019A5"/>
    <w:rsid w:val="00504439"/>
    <w:rsid w:val="005049A8"/>
    <w:rsid w:val="00520EEA"/>
    <w:rsid w:val="00521C7C"/>
    <w:rsid w:val="00522C62"/>
    <w:rsid w:val="005239ED"/>
    <w:rsid w:val="00525F8F"/>
    <w:rsid w:val="00534E7A"/>
    <w:rsid w:val="00537B3B"/>
    <w:rsid w:val="0054108C"/>
    <w:rsid w:val="00541A0C"/>
    <w:rsid w:val="00550BB1"/>
    <w:rsid w:val="00555D9B"/>
    <w:rsid w:val="00560690"/>
    <w:rsid w:val="00564674"/>
    <w:rsid w:val="0057518A"/>
    <w:rsid w:val="005800D9"/>
    <w:rsid w:val="00585572"/>
    <w:rsid w:val="00595AB9"/>
    <w:rsid w:val="005A7CDA"/>
    <w:rsid w:val="005B2351"/>
    <w:rsid w:val="005B26B3"/>
    <w:rsid w:val="005B7C6D"/>
    <w:rsid w:val="005C083F"/>
    <w:rsid w:val="005C1D72"/>
    <w:rsid w:val="005C62A1"/>
    <w:rsid w:val="005D265E"/>
    <w:rsid w:val="005E5585"/>
    <w:rsid w:val="005E5EAE"/>
    <w:rsid w:val="005E607C"/>
    <w:rsid w:val="005F4B1D"/>
    <w:rsid w:val="0060620E"/>
    <w:rsid w:val="00606850"/>
    <w:rsid w:val="00613E22"/>
    <w:rsid w:val="00621C58"/>
    <w:rsid w:val="006263D4"/>
    <w:rsid w:val="006302C4"/>
    <w:rsid w:val="0063572E"/>
    <w:rsid w:val="006368BD"/>
    <w:rsid w:val="00643260"/>
    <w:rsid w:val="006500B8"/>
    <w:rsid w:val="006535E3"/>
    <w:rsid w:val="00656C93"/>
    <w:rsid w:val="0066312A"/>
    <w:rsid w:val="006632C9"/>
    <w:rsid w:val="00663B17"/>
    <w:rsid w:val="0066654B"/>
    <w:rsid w:val="00672E16"/>
    <w:rsid w:val="00681639"/>
    <w:rsid w:val="0068382F"/>
    <w:rsid w:val="00683AFA"/>
    <w:rsid w:val="00686430"/>
    <w:rsid w:val="00690F25"/>
    <w:rsid w:val="006935C3"/>
    <w:rsid w:val="00693A2A"/>
    <w:rsid w:val="006949FA"/>
    <w:rsid w:val="00695D0B"/>
    <w:rsid w:val="006B2123"/>
    <w:rsid w:val="006B22BC"/>
    <w:rsid w:val="006B6183"/>
    <w:rsid w:val="006B66FC"/>
    <w:rsid w:val="006C41EB"/>
    <w:rsid w:val="006C7154"/>
    <w:rsid w:val="006D0E14"/>
    <w:rsid w:val="006E16C3"/>
    <w:rsid w:val="006E214D"/>
    <w:rsid w:val="006E595B"/>
    <w:rsid w:val="006F1680"/>
    <w:rsid w:val="00706417"/>
    <w:rsid w:val="007165A5"/>
    <w:rsid w:val="007261FE"/>
    <w:rsid w:val="00730F3B"/>
    <w:rsid w:val="00736084"/>
    <w:rsid w:val="00736C22"/>
    <w:rsid w:val="0074346F"/>
    <w:rsid w:val="007461F3"/>
    <w:rsid w:val="007470C1"/>
    <w:rsid w:val="00747731"/>
    <w:rsid w:val="00765F9A"/>
    <w:rsid w:val="00774140"/>
    <w:rsid w:val="007852C3"/>
    <w:rsid w:val="007869FC"/>
    <w:rsid w:val="007A09E1"/>
    <w:rsid w:val="007A0D4C"/>
    <w:rsid w:val="007A23ED"/>
    <w:rsid w:val="007B1114"/>
    <w:rsid w:val="007C0D6B"/>
    <w:rsid w:val="007C2BF5"/>
    <w:rsid w:val="007D1D60"/>
    <w:rsid w:val="007D447E"/>
    <w:rsid w:val="007D48A4"/>
    <w:rsid w:val="007D674D"/>
    <w:rsid w:val="007E360C"/>
    <w:rsid w:val="007E3ABF"/>
    <w:rsid w:val="007E70EA"/>
    <w:rsid w:val="007F6E28"/>
    <w:rsid w:val="0081748E"/>
    <w:rsid w:val="00832B56"/>
    <w:rsid w:val="00856698"/>
    <w:rsid w:val="008609C7"/>
    <w:rsid w:val="00861EF0"/>
    <w:rsid w:val="008679D4"/>
    <w:rsid w:val="00871DF2"/>
    <w:rsid w:val="008762B4"/>
    <w:rsid w:val="00881200"/>
    <w:rsid w:val="0089331C"/>
    <w:rsid w:val="008A151D"/>
    <w:rsid w:val="008A4963"/>
    <w:rsid w:val="008B1F8D"/>
    <w:rsid w:val="008B41D9"/>
    <w:rsid w:val="008B5F59"/>
    <w:rsid w:val="008C71E3"/>
    <w:rsid w:val="008C77D3"/>
    <w:rsid w:val="008D12C2"/>
    <w:rsid w:val="008D6A44"/>
    <w:rsid w:val="008E5529"/>
    <w:rsid w:val="008E5D7C"/>
    <w:rsid w:val="008E67AD"/>
    <w:rsid w:val="008F1B5B"/>
    <w:rsid w:val="008F34E3"/>
    <w:rsid w:val="008F479C"/>
    <w:rsid w:val="00901B82"/>
    <w:rsid w:val="00917B9A"/>
    <w:rsid w:val="0092760E"/>
    <w:rsid w:val="009351EC"/>
    <w:rsid w:val="0095116F"/>
    <w:rsid w:val="00954A19"/>
    <w:rsid w:val="0095654D"/>
    <w:rsid w:val="00964244"/>
    <w:rsid w:val="00964539"/>
    <w:rsid w:val="009668C1"/>
    <w:rsid w:val="009671CD"/>
    <w:rsid w:val="009746D3"/>
    <w:rsid w:val="00977386"/>
    <w:rsid w:val="0098313E"/>
    <w:rsid w:val="0098432A"/>
    <w:rsid w:val="00990CC6"/>
    <w:rsid w:val="00990FAB"/>
    <w:rsid w:val="00992CC0"/>
    <w:rsid w:val="00996739"/>
    <w:rsid w:val="009975BD"/>
    <w:rsid w:val="00997B7F"/>
    <w:rsid w:val="009A4AB9"/>
    <w:rsid w:val="009B3D17"/>
    <w:rsid w:val="009B49A3"/>
    <w:rsid w:val="009C2B1D"/>
    <w:rsid w:val="009D193D"/>
    <w:rsid w:val="009D2468"/>
    <w:rsid w:val="009D6E2D"/>
    <w:rsid w:val="009F0FA2"/>
    <w:rsid w:val="00A01925"/>
    <w:rsid w:val="00A116BC"/>
    <w:rsid w:val="00A129F3"/>
    <w:rsid w:val="00A13B14"/>
    <w:rsid w:val="00A23C9A"/>
    <w:rsid w:val="00A30EC7"/>
    <w:rsid w:val="00A31C66"/>
    <w:rsid w:val="00A33E52"/>
    <w:rsid w:val="00A34AB1"/>
    <w:rsid w:val="00A43041"/>
    <w:rsid w:val="00A44DC2"/>
    <w:rsid w:val="00A5094D"/>
    <w:rsid w:val="00A52382"/>
    <w:rsid w:val="00A55D03"/>
    <w:rsid w:val="00A75510"/>
    <w:rsid w:val="00A765F5"/>
    <w:rsid w:val="00A840FA"/>
    <w:rsid w:val="00A955B2"/>
    <w:rsid w:val="00A95737"/>
    <w:rsid w:val="00AA2B07"/>
    <w:rsid w:val="00AB75D1"/>
    <w:rsid w:val="00AD02F6"/>
    <w:rsid w:val="00AD7D23"/>
    <w:rsid w:val="00AE6321"/>
    <w:rsid w:val="00B0047F"/>
    <w:rsid w:val="00B068D5"/>
    <w:rsid w:val="00B069F9"/>
    <w:rsid w:val="00B30428"/>
    <w:rsid w:val="00B31104"/>
    <w:rsid w:val="00B344C9"/>
    <w:rsid w:val="00B41BA7"/>
    <w:rsid w:val="00B45783"/>
    <w:rsid w:val="00B45CC3"/>
    <w:rsid w:val="00B51C55"/>
    <w:rsid w:val="00B54225"/>
    <w:rsid w:val="00B57594"/>
    <w:rsid w:val="00B57E70"/>
    <w:rsid w:val="00B647F2"/>
    <w:rsid w:val="00B67D4B"/>
    <w:rsid w:val="00B75A60"/>
    <w:rsid w:val="00B760C0"/>
    <w:rsid w:val="00B8595E"/>
    <w:rsid w:val="00B955BC"/>
    <w:rsid w:val="00B96612"/>
    <w:rsid w:val="00BA0029"/>
    <w:rsid w:val="00BA19B4"/>
    <w:rsid w:val="00BA2FB9"/>
    <w:rsid w:val="00BA74F3"/>
    <w:rsid w:val="00BA7B0C"/>
    <w:rsid w:val="00BB1793"/>
    <w:rsid w:val="00BB4F45"/>
    <w:rsid w:val="00BB569C"/>
    <w:rsid w:val="00BC3D02"/>
    <w:rsid w:val="00BD3A21"/>
    <w:rsid w:val="00BD4F68"/>
    <w:rsid w:val="00BD7DAA"/>
    <w:rsid w:val="00BE32E0"/>
    <w:rsid w:val="00BE7BDF"/>
    <w:rsid w:val="00BF3F39"/>
    <w:rsid w:val="00BF5DB4"/>
    <w:rsid w:val="00BF73E3"/>
    <w:rsid w:val="00C10FB9"/>
    <w:rsid w:val="00C17B34"/>
    <w:rsid w:val="00C20760"/>
    <w:rsid w:val="00C328D4"/>
    <w:rsid w:val="00C33BA3"/>
    <w:rsid w:val="00C3443E"/>
    <w:rsid w:val="00C501A1"/>
    <w:rsid w:val="00C52F1C"/>
    <w:rsid w:val="00C53EEA"/>
    <w:rsid w:val="00C56A0F"/>
    <w:rsid w:val="00C572B3"/>
    <w:rsid w:val="00C669CC"/>
    <w:rsid w:val="00C76ED6"/>
    <w:rsid w:val="00C77968"/>
    <w:rsid w:val="00C827FD"/>
    <w:rsid w:val="00C91991"/>
    <w:rsid w:val="00C954D1"/>
    <w:rsid w:val="00CA6EC2"/>
    <w:rsid w:val="00CC3B76"/>
    <w:rsid w:val="00CC3FD1"/>
    <w:rsid w:val="00CD0A91"/>
    <w:rsid w:val="00CD48BD"/>
    <w:rsid w:val="00CD4AD2"/>
    <w:rsid w:val="00CD6611"/>
    <w:rsid w:val="00CD7D98"/>
    <w:rsid w:val="00CE6A98"/>
    <w:rsid w:val="00CF1A79"/>
    <w:rsid w:val="00D0431C"/>
    <w:rsid w:val="00D078A6"/>
    <w:rsid w:val="00D10BDE"/>
    <w:rsid w:val="00D21637"/>
    <w:rsid w:val="00D2187F"/>
    <w:rsid w:val="00D2211F"/>
    <w:rsid w:val="00D23207"/>
    <w:rsid w:val="00D24294"/>
    <w:rsid w:val="00D25F77"/>
    <w:rsid w:val="00D33EB0"/>
    <w:rsid w:val="00D417D8"/>
    <w:rsid w:val="00D4203C"/>
    <w:rsid w:val="00D42A6B"/>
    <w:rsid w:val="00D4705F"/>
    <w:rsid w:val="00D5709E"/>
    <w:rsid w:val="00D6497E"/>
    <w:rsid w:val="00D86218"/>
    <w:rsid w:val="00D91D48"/>
    <w:rsid w:val="00D97751"/>
    <w:rsid w:val="00DB3F9B"/>
    <w:rsid w:val="00DC0B04"/>
    <w:rsid w:val="00DC3E03"/>
    <w:rsid w:val="00DD63A5"/>
    <w:rsid w:val="00DE3992"/>
    <w:rsid w:val="00DE39A0"/>
    <w:rsid w:val="00DE5336"/>
    <w:rsid w:val="00DE55D3"/>
    <w:rsid w:val="00DE56F3"/>
    <w:rsid w:val="00DE59AC"/>
    <w:rsid w:val="00E04C0B"/>
    <w:rsid w:val="00E10A36"/>
    <w:rsid w:val="00E135DA"/>
    <w:rsid w:val="00E138EA"/>
    <w:rsid w:val="00E2205D"/>
    <w:rsid w:val="00E312D1"/>
    <w:rsid w:val="00E355BE"/>
    <w:rsid w:val="00E36FBF"/>
    <w:rsid w:val="00E449CE"/>
    <w:rsid w:val="00E44D5E"/>
    <w:rsid w:val="00E67FE6"/>
    <w:rsid w:val="00E8162B"/>
    <w:rsid w:val="00E82129"/>
    <w:rsid w:val="00E86ECC"/>
    <w:rsid w:val="00E93616"/>
    <w:rsid w:val="00EA1549"/>
    <w:rsid w:val="00EA7C51"/>
    <w:rsid w:val="00EB3BF3"/>
    <w:rsid w:val="00EB52DF"/>
    <w:rsid w:val="00EC20E3"/>
    <w:rsid w:val="00EC50B2"/>
    <w:rsid w:val="00ED45A8"/>
    <w:rsid w:val="00ED5305"/>
    <w:rsid w:val="00ED557A"/>
    <w:rsid w:val="00EE1B4B"/>
    <w:rsid w:val="00EE3CBF"/>
    <w:rsid w:val="00EE4990"/>
    <w:rsid w:val="00EE532A"/>
    <w:rsid w:val="00F069DF"/>
    <w:rsid w:val="00F106E6"/>
    <w:rsid w:val="00F12C6C"/>
    <w:rsid w:val="00F33148"/>
    <w:rsid w:val="00F33D63"/>
    <w:rsid w:val="00F56771"/>
    <w:rsid w:val="00F61C35"/>
    <w:rsid w:val="00F64C10"/>
    <w:rsid w:val="00F73D74"/>
    <w:rsid w:val="00F77B37"/>
    <w:rsid w:val="00F84B7A"/>
    <w:rsid w:val="00F964AE"/>
    <w:rsid w:val="00FA7076"/>
    <w:rsid w:val="00FB3B22"/>
    <w:rsid w:val="00FB4CD0"/>
    <w:rsid w:val="00FB5241"/>
    <w:rsid w:val="00FB7CD7"/>
    <w:rsid w:val="00FC27FC"/>
    <w:rsid w:val="00FD2AD4"/>
    <w:rsid w:val="00FD393C"/>
    <w:rsid w:val="00FD44E4"/>
    <w:rsid w:val="00FF0F5F"/>
    <w:rsid w:val="00FF2D6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8B27DC"/>
  <w15:chartTrackingRefBased/>
  <w15:docId w15:val="{1F64E75B-2A15-4515-AD4D-4B82C3752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11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4B11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4B11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11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11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11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11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11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11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11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4B11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4B11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11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11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11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11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11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1157"/>
    <w:rPr>
      <w:rFonts w:eastAsiaTheme="majorEastAsia" w:cstheme="majorBidi"/>
      <w:color w:val="272727" w:themeColor="text1" w:themeTint="D8"/>
    </w:rPr>
  </w:style>
  <w:style w:type="paragraph" w:styleId="Title">
    <w:name w:val="Title"/>
    <w:basedOn w:val="Normal"/>
    <w:next w:val="Normal"/>
    <w:link w:val="TitleChar"/>
    <w:uiPriority w:val="10"/>
    <w:qFormat/>
    <w:rsid w:val="004B11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11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11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11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1157"/>
    <w:pPr>
      <w:spacing w:before="160"/>
      <w:jc w:val="center"/>
    </w:pPr>
    <w:rPr>
      <w:i/>
      <w:iCs/>
      <w:color w:val="404040" w:themeColor="text1" w:themeTint="BF"/>
    </w:rPr>
  </w:style>
  <w:style w:type="character" w:customStyle="1" w:styleId="QuoteChar">
    <w:name w:val="Quote Char"/>
    <w:basedOn w:val="DefaultParagraphFont"/>
    <w:link w:val="Quote"/>
    <w:uiPriority w:val="29"/>
    <w:rsid w:val="004B1157"/>
    <w:rPr>
      <w:i/>
      <w:iCs/>
      <w:color w:val="404040" w:themeColor="text1" w:themeTint="BF"/>
    </w:rPr>
  </w:style>
  <w:style w:type="paragraph" w:styleId="ListParagraph">
    <w:name w:val="List Paragraph"/>
    <w:basedOn w:val="Normal"/>
    <w:uiPriority w:val="34"/>
    <w:qFormat/>
    <w:rsid w:val="004B1157"/>
    <w:pPr>
      <w:ind w:left="720"/>
      <w:contextualSpacing/>
    </w:pPr>
  </w:style>
  <w:style w:type="character" w:styleId="IntenseEmphasis">
    <w:name w:val="Intense Emphasis"/>
    <w:basedOn w:val="DefaultParagraphFont"/>
    <w:uiPriority w:val="21"/>
    <w:qFormat/>
    <w:rsid w:val="004B1157"/>
    <w:rPr>
      <w:i/>
      <w:iCs/>
      <w:color w:val="2F5496" w:themeColor="accent1" w:themeShade="BF"/>
    </w:rPr>
  </w:style>
  <w:style w:type="paragraph" w:styleId="IntenseQuote">
    <w:name w:val="Intense Quote"/>
    <w:basedOn w:val="Normal"/>
    <w:next w:val="Normal"/>
    <w:link w:val="IntenseQuoteChar"/>
    <w:uiPriority w:val="30"/>
    <w:qFormat/>
    <w:rsid w:val="004B11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1157"/>
    <w:rPr>
      <w:i/>
      <w:iCs/>
      <w:color w:val="2F5496" w:themeColor="accent1" w:themeShade="BF"/>
    </w:rPr>
  </w:style>
  <w:style w:type="character" w:styleId="IntenseReference">
    <w:name w:val="Intense Reference"/>
    <w:basedOn w:val="DefaultParagraphFont"/>
    <w:uiPriority w:val="32"/>
    <w:qFormat/>
    <w:rsid w:val="004B1157"/>
    <w:rPr>
      <w:b/>
      <w:bCs/>
      <w:smallCaps/>
      <w:color w:val="2F5496" w:themeColor="accent1" w:themeShade="BF"/>
      <w:spacing w:val="5"/>
    </w:rPr>
  </w:style>
  <w:style w:type="paragraph" w:styleId="FootnoteText">
    <w:name w:val="footnote text"/>
    <w:basedOn w:val="Normal"/>
    <w:link w:val="FootnoteTextChar"/>
    <w:uiPriority w:val="99"/>
    <w:semiHidden/>
    <w:unhideWhenUsed/>
    <w:rsid w:val="00525F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25F8F"/>
    <w:rPr>
      <w:sz w:val="20"/>
      <w:szCs w:val="20"/>
    </w:rPr>
  </w:style>
  <w:style w:type="character" w:styleId="FootnoteReference">
    <w:name w:val="footnote reference"/>
    <w:basedOn w:val="DefaultParagraphFont"/>
    <w:uiPriority w:val="99"/>
    <w:semiHidden/>
    <w:unhideWhenUsed/>
    <w:rsid w:val="00525F8F"/>
    <w:rPr>
      <w:vertAlign w:val="superscript"/>
    </w:rPr>
  </w:style>
  <w:style w:type="character" w:styleId="Hyperlink">
    <w:name w:val="Hyperlink"/>
    <w:basedOn w:val="DefaultParagraphFont"/>
    <w:uiPriority w:val="99"/>
    <w:unhideWhenUsed/>
    <w:rsid w:val="00525F8F"/>
    <w:rPr>
      <w:color w:val="0563C1" w:themeColor="hyperlink"/>
      <w:u w:val="single"/>
    </w:rPr>
  </w:style>
  <w:style w:type="character" w:styleId="UnresolvedMention">
    <w:name w:val="Unresolved Mention"/>
    <w:basedOn w:val="DefaultParagraphFont"/>
    <w:uiPriority w:val="99"/>
    <w:semiHidden/>
    <w:unhideWhenUsed/>
    <w:rsid w:val="00525F8F"/>
    <w:rPr>
      <w:color w:val="605E5C"/>
      <w:shd w:val="clear" w:color="auto" w:fill="E1DFDD"/>
    </w:rPr>
  </w:style>
  <w:style w:type="character" w:styleId="FollowedHyperlink">
    <w:name w:val="FollowedHyperlink"/>
    <w:basedOn w:val="DefaultParagraphFont"/>
    <w:uiPriority w:val="99"/>
    <w:semiHidden/>
    <w:unhideWhenUsed/>
    <w:rsid w:val="00B57E70"/>
    <w:rPr>
      <w:color w:val="954F72" w:themeColor="followedHyperlink"/>
      <w:u w:val="single"/>
    </w:rPr>
  </w:style>
  <w:style w:type="paragraph" w:styleId="Header">
    <w:name w:val="header"/>
    <w:basedOn w:val="Normal"/>
    <w:link w:val="HeaderChar"/>
    <w:uiPriority w:val="99"/>
    <w:semiHidden/>
    <w:unhideWhenUsed/>
    <w:rsid w:val="002D58C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58CD"/>
  </w:style>
  <w:style w:type="paragraph" w:styleId="Footer">
    <w:name w:val="footer"/>
    <w:basedOn w:val="Normal"/>
    <w:link w:val="FooterChar"/>
    <w:uiPriority w:val="99"/>
    <w:semiHidden/>
    <w:unhideWhenUsed/>
    <w:rsid w:val="002D58C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5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12477">
      <w:bodyDiv w:val="1"/>
      <w:marLeft w:val="0"/>
      <w:marRight w:val="0"/>
      <w:marTop w:val="0"/>
      <w:marBottom w:val="0"/>
      <w:divBdr>
        <w:top w:val="none" w:sz="0" w:space="0" w:color="auto"/>
        <w:left w:val="none" w:sz="0" w:space="0" w:color="auto"/>
        <w:bottom w:val="none" w:sz="0" w:space="0" w:color="auto"/>
        <w:right w:val="none" w:sz="0" w:space="0" w:color="auto"/>
      </w:divBdr>
    </w:div>
    <w:div w:id="24259170">
      <w:bodyDiv w:val="1"/>
      <w:marLeft w:val="0"/>
      <w:marRight w:val="0"/>
      <w:marTop w:val="0"/>
      <w:marBottom w:val="0"/>
      <w:divBdr>
        <w:top w:val="none" w:sz="0" w:space="0" w:color="auto"/>
        <w:left w:val="none" w:sz="0" w:space="0" w:color="auto"/>
        <w:bottom w:val="none" w:sz="0" w:space="0" w:color="auto"/>
        <w:right w:val="none" w:sz="0" w:space="0" w:color="auto"/>
      </w:divBdr>
    </w:div>
    <w:div w:id="212541706">
      <w:bodyDiv w:val="1"/>
      <w:marLeft w:val="0"/>
      <w:marRight w:val="0"/>
      <w:marTop w:val="0"/>
      <w:marBottom w:val="0"/>
      <w:divBdr>
        <w:top w:val="none" w:sz="0" w:space="0" w:color="auto"/>
        <w:left w:val="none" w:sz="0" w:space="0" w:color="auto"/>
        <w:bottom w:val="none" w:sz="0" w:space="0" w:color="auto"/>
        <w:right w:val="none" w:sz="0" w:space="0" w:color="auto"/>
      </w:divBdr>
    </w:div>
    <w:div w:id="316342835">
      <w:bodyDiv w:val="1"/>
      <w:marLeft w:val="0"/>
      <w:marRight w:val="0"/>
      <w:marTop w:val="0"/>
      <w:marBottom w:val="0"/>
      <w:divBdr>
        <w:top w:val="none" w:sz="0" w:space="0" w:color="auto"/>
        <w:left w:val="none" w:sz="0" w:space="0" w:color="auto"/>
        <w:bottom w:val="none" w:sz="0" w:space="0" w:color="auto"/>
        <w:right w:val="none" w:sz="0" w:space="0" w:color="auto"/>
      </w:divBdr>
    </w:div>
    <w:div w:id="340940098">
      <w:bodyDiv w:val="1"/>
      <w:marLeft w:val="0"/>
      <w:marRight w:val="0"/>
      <w:marTop w:val="0"/>
      <w:marBottom w:val="0"/>
      <w:divBdr>
        <w:top w:val="none" w:sz="0" w:space="0" w:color="auto"/>
        <w:left w:val="none" w:sz="0" w:space="0" w:color="auto"/>
        <w:bottom w:val="none" w:sz="0" w:space="0" w:color="auto"/>
        <w:right w:val="none" w:sz="0" w:space="0" w:color="auto"/>
      </w:divBdr>
      <w:divsChild>
        <w:div w:id="1984501795">
          <w:marLeft w:val="0"/>
          <w:marRight w:val="0"/>
          <w:marTop w:val="0"/>
          <w:marBottom w:val="0"/>
          <w:divBdr>
            <w:top w:val="none" w:sz="0" w:space="0" w:color="auto"/>
            <w:left w:val="none" w:sz="0" w:space="0" w:color="auto"/>
            <w:bottom w:val="none" w:sz="0" w:space="0" w:color="auto"/>
            <w:right w:val="none" w:sz="0" w:space="0" w:color="auto"/>
          </w:divBdr>
          <w:divsChild>
            <w:div w:id="2035375680">
              <w:marLeft w:val="0"/>
              <w:marRight w:val="0"/>
              <w:marTop w:val="0"/>
              <w:marBottom w:val="0"/>
              <w:divBdr>
                <w:top w:val="none" w:sz="0" w:space="0" w:color="auto"/>
                <w:left w:val="none" w:sz="0" w:space="0" w:color="auto"/>
                <w:bottom w:val="none" w:sz="0" w:space="0" w:color="auto"/>
                <w:right w:val="none" w:sz="0" w:space="0" w:color="auto"/>
              </w:divBdr>
              <w:divsChild>
                <w:div w:id="65499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2699592">
      <w:bodyDiv w:val="1"/>
      <w:marLeft w:val="0"/>
      <w:marRight w:val="0"/>
      <w:marTop w:val="0"/>
      <w:marBottom w:val="0"/>
      <w:divBdr>
        <w:top w:val="none" w:sz="0" w:space="0" w:color="auto"/>
        <w:left w:val="none" w:sz="0" w:space="0" w:color="auto"/>
        <w:bottom w:val="none" w:sz="0" w:space="0" w:color="auto"/>
        <w:right w:val="none" w:sz="0" w:space="0" w:color="auto"/>
      </w:divBdr>
    </w:div>
    <w:div w:id="468476831">
      <w:bodyDiv w:val="1"/>
      <w:marLeft w:val="0"/>
      <w:marRight w:val="0"/>
      <w:marTop w:val="0"/>
      <w:marBottom w:val="0"/>
      <w:divBdr>
        <w:top w:val="none" w:sz="0" w:space="0" w:color="auto"/>
        <w:left w:val="none" w:sz="0" w:space="0" w:color="auto"/>
        <w:bottom w:val="none" w:sz="0" w:space="0" w:color="auto"/>
        <w:right w:val="none" w:sz="0" w:space="0" w:color="auto"/>
      </w:divBdr>
    </w:div>
    <w:div w:id="523792029">
      <w:bodyDiv w:val="1"/>
      <w:marLeft w:val="0"/>
      <w:marRight w:val="0"/>
      <w:marTop w:val="0"/>
      <w:marBottom w:val="0"/>
      <w:divBdr>
        <w:top w:val="none" w:sz="0" w:space="0" w:color="auto"/>
        <w:left w:val="none" w:sz="0" w:space="0" w:color="auto"/>
        <w:bottom w:val="none" w:sz="0" w:space="0" w:color="auto"/>
        <w:right w:val="none" w:sz="0" w:space="0" w:color="auto"/>
      </w:divBdr>
    </w:div>
    <w:div w:id="532501453">
      <w:bodyDiv w:val="1"/>
      <w:marLeft w:val="0"/>
      <w:marRight w:val="0"/>
      <w:marTop w:val="0"/>
      <w:marBottom w:val="0"/>
      <w:divBdr>
        <w:top w:val="none" w:sz="0" w:space="0" w:color="auto"/>
        <w:left w:val="none" w:sz="0" w:space="0" w:color="auto"/>
        <w:bottom w:val="none" w:sz="0" w:space="0" w:color="auto"/>
        <w:right w:val="none" w:sz="0" w:space="0" w:color="auto"/>
      </w:divBdr>
    </w:div>
    <w:div w:id="650257430">
      <w:bodyDiv w:val="1"/>
      <w:marLeft w:val="0"/>
      <w:marRight w:val="0"/>
      <w:marTop w:val="0"/>
      <w:marBottom w:val="0"/>
      <w:divBdr>
        <w:top w:val="none" w:sz="0" w:space="0" w:color="auto"/>
        <w:left w:val="none" w:sz="0" w:space="0" w:color="auto"/>
        <w:bottom w:val="none" w:sz="0" w:space="0" w:color="auto"/>
        <w:right w:val="none" w:sz="0" w:space="0" w:color="auto"/>
      </w:divBdr>
    </w:div>
    <w:div w:id="834615680">
      <w:bodyDiv w:val="1"/>
      <w:marLeft w:val="0"/>
      <w:marRight w:val="0"/>
      <w:marTop w:val="0"/>
      <w:marBottom w:val="0"/>
      <w:divBdr>
        <w:top w:val="none" w:sz="0" w:space="0" w:color="auto"/>
        <w:left w:val="none" w:sz="0" w:space="0" w:color="auto"/>
        <w:bottom w:val="none" w:sz="0" w:space="0" w:color="auto"/>
        <w:right w:val="none" w:sz="0" w:space="0" w:color="auto"/>
      </w:divBdr>
    </w:div>
    <w:div w:id="1020088978">
      <w:bodyDiv w:val="1"/>
      <w:marLeft w:val="0"/>
      <w:marRight w:val="0"/>
      <w:marTop w:val="0"/>
      <w:marBottom w:val="0"/>
      <w:divBdr>
        <w:top w:val="none" w:sz="0" w:space="0" w:color="auto"/>
        <w:left w:val="none" w:sz="0" w:space="0" w:color="auto"/>
        <w:bottom w:val="none" w:sz="0" w:space="0" w:color="auto"/>
        <w:right w:val="none" w:sz="0" w:space="0" w:color="auto"/>
      </w:divBdr>
    </w:div>
    <w:div w:id="1026564094">
      <w:bodyDiv w:val="1"/>
      <w:marLeft w:val="0"/>
      <w:marRight w:val="0"/>
      <w:marTop w:val="0"/>
      <w:marBottom w:val="0"/>
      <w:divBdr>
        <w:top w:val="none" w:sz="0" w:space="0" w:color="auto"/>
        <w:left w:val="none" w:sz="0" w:space="0" w:color="auto"/>
        <w:bottom w:val="none" w:sz="0" w:space="0" w:color="auto"/>
        <w:right w:val="none" w:sz="0" w:space="0" w:color="auto"/>
      </w:divBdr>
      <w:divsChild>
        <w:div w:id="615984363">
          <w:marLeft w:val="0"/>
          <w:marRight w:val="0"/>
          <w:marTop w:val="0"/>
          <w:marBottom w:val="0"/>
          <w:divBdr>
            <w:top w:val="none" w:sz="0" w:space="0" w:color="auto"/>
            <w:left w:val="none" w:sz="0" w:space="0" w:color="auto"/>
            <w:bottom w:val="none" w:sz="0" w:space="0" w:color="auto"/>
            <w:right w:val="none" w:sz="0" w:space="0" w:color="auto"/>
          </w:divBdr>
          <w:divsChild>
            <w:div w:id="2108456914">
              <w:marLeft w:val="0"/>
              <w:marRight w:val="0"/>
              <w:marTop w:val="0"/>
              <w:marBottom w:val="0"/>
              <w:divBdr>
                <w:top w:val="none" w:sz="0" w:space="0" w:color="auto"/>
                <w:left w:val="none" w:sz="0" w:space="0" w:color="auto"/>
                <w:bottom w:val="none" w:sz="0" w:space="0" w:color="auto"/>
                <w:right w:val="none" w:sz="0" w:space="0" w:color="auto"/>
              </w:divBdr>
              <w:divsChild>
                <w:div w:id="767309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593240">
      <w:bodyDiv w:val="1"/>
      <w:marLeft w:val="0"/>
      <w:marRight w:val="0"/>
      <w:marTop w:val="0"/>
      <w:marBottom w:val="0"/>
      <w:divBdr>
        <w:top w:val="none" w:sz="0" w:space="0" w:color="auto"/>
        <w:left w:val="none" w:sz="0" w:space="0" w:color="auto"/>
        <w:bottom w:val="none" w:sz="0" w:space="0" w:color="auto"/>
        <w:right w:val="none" w:sz="0" w:space="0" w:color="auto"/>
      </w:divBdr>
    </w:div>
    <w:div w:id="1251306894">
      <w:bodyDiv w:val="1"/>
      <w:marLeft w:val="0"/>
      <w:marRight w:val="0"/>
      <w:marTop w:val="0"/>
      <w:marBottom w:val="0"/>
      <w:divBdr>
        <w:top w:val="none" w:sz="0" w:space="0" w:color="auto"/>
        <w:left w:val="none" w:sz="0" w:space="0" w:color="auto"/>
        <w:bottom w:val="none" w:sz="0" w:space="0" w:color="auto"/>
        <w:right w:val="none" w:sz="0" w:space="0" w:color="auto"/>
      </w:divBdr>
    </w:div>
    <w:div w:id="1251307601">
      <w:bodyDiv w:val="1"/>
      <w:marLeft w:val="0"/>
      <w:marRight w:val="0"/>
      <w:marTop w:val="0"/>
      <w:marBottom w:val="0"/>
      <w:divBdr>
        <w:top w:val="none" w:sz="0" w:space="0" w:color="auto"/>
        <w:left w:val="none" w:sz="0" w:space="0" w:color="auto"/>
        <w:bottom w:val="none" w:sz="0" w:space="0" w:color="auto"/>
        <w:right w:val="none" w:sz="0" w:space="0" w:color="auto"/>
      </w:divBdr>
    </w:div>
    <w:div w:id="1268343204">
      <w:bodyDiv w:val="1"/>
      <w:marLeft w:val="0"/>
      <w:marRight w:val="0"/>
      <w:marTop w:val="0"/>
      <w:marBottom w:val="0"/>
      <w:divBdr>
        <w:top w:val="none" w:sz="0" w:space="0" w:color="auto"/>
        <w:left w:val="none" w:sz="0" w:space="0" w:color="auto"/>
        <w:bottom w:val="none" w:sz="0" w:space="0" w:color="auto"/>
        <w:right w:val="none" w:sz="0" w:space="0" w:color="auto"/>
      </w:divBdr>
    </w:div>
    <w:div w:id="1450663963">
      <w:bodyDiv w:val="1"/>
      <w:marLeft w:val="0"/>
      <w:marRight w:val="0"/>
      <w:marTop w:val="0"/>
      <w:marBottom w:val="0"/>
      <w:divBdr>
        <w:top w:val="none" w:sz="0" w:space="0" w:color="auto"/>
        <w:left w:val="none" w:sz="0" w:space="0" w:color="auto"/>
        <w:bottom w:val="none" w:sz="0" w:space="0" w:color="auto"/>
        <w:right w:val="none" w:sz="0" w:space="0" w:color="auto"/>
      </w:divBdr>
    </w:div>
    <w:div w:id="1523275433">
      <w:bodyDiv w:val="1"/>
      <w:marLeft w:val="0"/>
      <w:marRight w:val="0"/>
      <w:marTop w:val="0"/>
      <w:marBottom w:val="0"/>
      <w:divBdr>
        <w:top w:val="none" w:sz="0" w:space="0" w:color="auto"/>
        <w:left w:val="none" w:sz="0" w:space="0" w:color="auto"/>
        <w:bottom w:val="none" w:sz="0" w:space="0" w:color="auto"/>
        <w:right w:val="none" w:sz="0" w:space="0" w:color="auto"/>
      </w:divBdr>
    </w:div>
    <w:div w:id="1584144783">
      <w:bodyDiv w:val="1"/>
      <w:marLeft w:val="0"/>
      <w:marRight w:val="0"/>
      <w:marTop w:val="0"/>
      <w:marBottom w:val="0"/>
      <w:divBdr>
        <w:top w:val="none" w:sz="0" w:space="0" w:color="auto"/>
        <w:left w:val="none" w:sz="0" w:space="0" w:color="auto"/>
        <w:bottom w:val="none" w:sz="0" w:space="0" w:color="auto"/>
        <w:right w:val="none" w:sz="0" w:space="0" w:color="auto"/>
      </w:divBdr>
    </w:div>
    <w:div w:id="1671519714">
      <w:bodyDiv w:val="1"/>
      <w:marLeft w:val="0"/>
      <w:marRight w:val="0"/>
      <w:marTop w:val="0"/>
      <w:marBottom w:val="0"/>
      <w:divBdr>
        <w:top w:val="none" w:sz="0" w:space="0" w:color="auto"/>
        <w:left w:val="none" w:sz="0" w:space="0" w:color="auto"/>
        <w:bottom w:val="none" w:sz="0" w:space="0" w:color="auto"/>
        <w:right w:val="none" w:sz="0" w:space="0" w:color="auto"/>
      </w:divBdr>
    </w:div>
    <w:div w:id="1736704761">
      <w:bodyDiv w:val="1"/>
      <w:marLeft w:val="0"/>
      <w:marRight w:val="0"/>
      <w:marTop w:val="0"/>
      <w:marBottom w:val="0"/>
      <w:divBdr>
        <w:top w:val="none" w:sz="0" w:space="0" w:color="auto"/>
        <w:left w:val="none" w:sz="0" w:space="0" w:color="auto"/>
        <w:bottom w:val="none" w:sz="0" w:space="0" w:color="auto"/>
        <w:right w:val="none" w:sz="0" w:space="0" w:color="auto"/>
      </w:divBdr>
    </w:div>
    <w:div w:id="1777745963">
      <w:bodyDiv w:val="1"/>
      <w:marLeft w:val="0"/>
      <w:marRight w:val="0"/>
      <w:marTop w:val="0"/>
      <w:marBottom w:val="0"/>
      <w:divBdr>
        <w:top w:val="none" w:sz="0" w:space="0" w:color="auto"/>
        <w:left w:val="none" w:sz="0" w:space="0" w:color="auto"/>
        <w:bottom w:val="none" w:sz="0" w:space="0" w:color="auto"/>
        <w:right w:val="none" w:sz="0" w:space="0" w:color="auto"/>
      </w:divBdr>
    </w:div>
    <w:div w:id="1891258865">
      <w:bodyDiv w:val="1"/>
      <w:marLeft w:val="0"/>
      <w:marRight w:val="0"/>
      <w:marTop w:val="0"/>
      <w:marBottom w:val="0"/>
      <w:divBdr>
        <w:top w:val="none" w:sz="0" w:space="0" w:color="auto"/>
        <w:left w:val="none" w:sz="0" w:space="0" w:color="auto"/>
        <w:bottom w:val="none" w:sz="0" w:space="0" w:color="auto"/>
        <w:right w:val="none" w:sz="0" w:space="0" w:color="auto"/>
      </w:divBdr>
    </w:div>
    <w:div w:id="1904944980">
      <w:bodyDiv w:val="1"/>
      <w:marLeft w:val="0"/>
      <w:marRight w:val="0"/>
      <w:marTop w:val="0"/>
      <w:marBottom w:val="0"/>
      <w:divBdr>
        <w:top w:val="none" w:sz="0" w:space="0" w:color="auto"/>
        <w:left w:val="none" w:sz="0" w:space="0" w:color="auto"/>
        <w:bottom w:val="none" w:sz="0" w:space="0" w:color="auto"/>
        <w:right w:val="none" w:sz="0" w:space="0" w:color="auto"/>
      </w:divBdr>
    </w:div>
    <w:div w:id="1959218715">
      <w:bodyDiv w:val="1"/>
      <w:marLeft w:val="0"/>
      <w:marRight w:val="0"/>
      <w:marTop w:val="0"/>
      <w:marBottom w:val="0"/>
      <w:divBdr>
        <w:top w:val="none" w:sz="0" w:space="0" w:color="auto"/>
        <w:left w:val="none" w:sz="0" w:space="0" w:color="auto"/>
        <w:bottom w:val="none" w:sz="0" w:space="0" w:color="auto"/>
        <w:right w:val="none" w:sz="0" w:space="0" w:color="auto"/>
      </w:divBdr>
    </w:div>
    <w:div w:id="2067483385">
      <w:bodyDiv w:val="1"/>
      <w:marLeft w:val="0"/>
      <w:marRight w:val="0"/>
      <w:marTop w:val="0"/>
      <w:marBottom w:val="0"/>
      <w:divBdr>
        <w:top w:val="none" w:sz="0" w:space="0" w:color="auto"/>
        <w:left w:val="none" w:sz="0" w:space="0" w:color="auto"/>
        <w:bottom w:val="none" w:sz="0" w:space="0" w:color="auto"/>
        <w:right w:val="none" w:sz="0" w:space="0" w:color="auto"/>
      </w:divBdr>
    </w:div>
    <w:div w:id="210287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5" Type="http://schemas.openxmlformats.org/officeDocument/2006/relationships/webSettings" Target="webSettings.xml" /><Relationship Id="rId4" Type="http://schemas.openxmlformats.org/officeDocument/2006/relationships/settings" Target="settings.xml" /><Relationship Id="rId9" Type="http://schemas.openxmlformats.org/officeDocument/2006/relationships/theme" Target="theme/theme1.xml" /></Relationships>
</file>

<file path=word/_rels/footnotes.xml.rels><?xml version="1.0" encoding="UTF-8" standalone="yes"?>
<Relationships xmlns="http://schemas.openxmlformats.org/package/2006/relationships"><Relationship Id="rId3" Type="http://schemas.openxmlformats.org/officeDocument/2006/relationships/hyperlink" Target="https://www.hindustantimes.com/india-news/indian-penal-law-does-not-recognise-necrophilia-as-an-offence-sc-affirms-101738693900557.html" TargetMode="External" /><Relationship Id="rId7" Type="http://schemas.openxmlformats.org/officeDocument/2006/relationships/hyperlink" Target="https://psychiatryonline.org/doi/10.1176/appi.pn.2013.5a19" TargetMode="External" /><Relationship Id="rId2" Type="http://schemas.openxmlformats.org/officeDocument/2006/relationships/hyperlink" Target="https://www.jagranjosh.com/general-knowledge/what-is-meant-by-necrophilia-is-it-an-offense-punishable-in-india-right-now-1685890693-1" TargetMode="External" /><Relationship Id="rId1" Type="http://schemas.openxmlformats.org/officeDocument/2006/relationships/hyperlink" Target="https://theamikusqriae.com/necrophilia-a-legal-lacuna-in-india/" TargetMode="External" /><Relationship Id="rId6" Type="http://schemas.openxmlformats.org/officeDocument/2006/relationships/hyperlink" Target="https://ohrh.law.ox.ac.uk/beyond-the-grave-addressing-necrophilia-in-indias-legal-landscape/" TargetMode="External" /><Relationship Id="rId5" Type="http://schemas.openxmlformats.org/officeDocument/2006/relationships/hyperlink" Target="https://www.annualreviews.org/content/journals/10.1146/annurev-lawsocsci-110316-113500;jsessionid=Zyd6_UXFxiBmnqPQtXjufxupTIppk7hK9iqm73gy.annurevlive-10-241-10-77" TargetMode="External" /><Relationship Id="rId4" Type="http://schemas.openxmlformats.org/officeDocument/2006/relationships/hyperlink" Target="https://timesofindia.indiatimes.com/blogs/legally-speaking/unnatural-offences-decrypting-the-phrase-against-the-order-of-nature/"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63A8D2-698B-4AFF-9BAB-D5FE97E67E0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2138</Words>
  <Characters>10981</Characters>
  <Application>Microsoft Office Word</Application>
  <DocSecurity>0</DocSecurity>
  <Lines>91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Riya Dubey</dc:creator>
  <cp:keywords/>
  <dc:description/>
  <cp:lastModifiedBy>Riya Dubey</cp:lastModifiedBy>
  <cp:revision>2</cp:revision>
  <dcterms:created xsi:type="dcterms:W3CDTF">2025-02-25T16:21:00Z</dcterms:created>
  <dcterms:modified xsi:type="dcterms:W3CDTF">2025-02-25T16:21:00Z</dcterms:modified>
</cp:coreProperties>
</file>