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DA4264" w14:textId="77777777" w:rsidR="005123B7" w:rsidRDefault="005123B7" w:rsidP="005123B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23B7">
        <w:rPr>
          <w:rFonts w:ascii="Times New Roman" w:hAnsi="Times New Roman" w:cs="Times New Roman"/>
          <w:b/>
          <w:bCs/>
          <w:sz w:val="24"/>
          <w:szCs w:val="24"/>
        </w:rPr>
        <w:t xml:space="preserve">Corporate Governance as a Shield Against Financial Frauds: </w:t>
      </w:r>
    </w:p>
    <w:p w14:paraId="62479243" w14:textId="6643F350" w:rsidR="00E5119B" w:rsidRDefault="005123B7" w:rsidP="005123B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123B7">
        <w:rPr>
          <w:rFonts w:ascii="Times New Roman" w:hAnsi="Times New Roman" w:cs="Times New Roman"/>
          <w:b/>
          <w:bCs/>
          <w:sz w:val="24"/>
          <w:szCs w:val="24"/>
        </w:rPr>
        <w:t>A Legal and Strategic Lens</w:t>
      </w:r>
    </w:p>
    <w:p w14:paraId="667C7E45" w14:textId="77777777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23B7">
        <w:rPr>
          <w:rFonts w:ascii="Times New Roman" w:hAnsi="Times New Roman" w:cs="Times New Roman"/>
          <w:b/>
          <w:bCs/>
          <w:sz w:val="24"/>
          <w:szCs w:val="24"/>
        </w:rPr>
        <w:t>Introduction</w:t>
      </w:r>
    </w:p>
    <w:p w14:paraId="5104F974" w14:textId="07CB144E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23B7">
        <w:rPr>
          <w:rFonts w:ascii="Times New Roman" w:hAnsi="Times New Roman" w:cs="Times New Roman"/>
          <w:b/>
          <w:bCs/>
          <w:sz w:val="24"/>
          <w:szCs w:val="24"/>
        </w:rPr>
        <w:t>Defining Corporate Governance</w:t>
      </w:r>
    </w:p>
    <w:p w14:paraId="24466CD9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Corporate governance refers to the system by which companies are directed and controlled,</w:t>
      </w:r>
    </w:p>
    <w:p w14:paraId="7E0C5E1E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ensuring accountability, fairness, and transparency in a company's relationship with its</w:t>
      </w:r>
    </w:p>
    <w:p w14:paraId="5E1EE011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stakeholders. In the Indian context, it encompasses a framework of laws, regulations, and</w:t>
      </w:r>
    </w:p>
    <w:p w14:paraId="587F7540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practices that guide corporate </w:t>
      </w:r>
      <w:r w:rsidRPr="005123B7">
        <w:rPr>
          <w:rFonts w:ascii="Times New Roman" w:hAnsi="Times New Roman" w:cs="Times New Roman"/>
          <w:sz w:val="24"/>
          <w:szCs w:val="24"/>
        </w:rPr>
        <w:t>behaviour</w:t>
      </w:r>
      <w:r w:rsidRPr="005123B7">
        <w:rPr>
          <w:rFonts w:ascii="Times New Roman" w:hAnsi="Times New Roman" w:cs="Times New Roman"/>
          <w:sz w:val="24"/>
          <w:szCs w:val="24"/>
        </w:rPr>
        <w:t>, aiming to balance the interests of various</w:t>
      </w:r>
    </w:p>
    <w:p w14:paraId="5D6CC6FB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stakeholders, including shareholders, management, customers, suppliers, financiers,</w:t>
      </w:r>
    </w:p>
    <w:p w14:paraId="46E2AF8E" w14:textId="311A6386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government, and the community. ​</w:t>
      </w:r>
      <w:r w:rsidRPr="005123B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75C151" w14:textId="786BC6C2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23B7">
        <w:rPr>
          <w:rFonts w:ascii="Times New Roman" w:hAnsi="Times New Roman" w:cs="Times New Roman"/>
          <w:b/>
          <w:bCs/>
          <w:sz w:val="24"/>
          <w:szCs w:val="24"/>
        </w:rPr>
        <w:t>Importance of Corporate Governance in Preventing Financial Frauds</w:t>
      </w:r>
    </w:p>
    <w:p w14:paraId="401D06C6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Effective corporate governance is crucial in preventing financial frauds, safeguarding investor</w:t>
      </w:r>
    </w:p>
    <w:p w14:paraId="3D12A96E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interests, and maintaining market integrity. It establishes a culture of accountability and</w:t>
      </w:r>
    </w:p>
    <w:p w14:paraId="06B5693F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transparency, which deters unethical practices and promotes ethical decision-making. In </w:t>
      </w:r>
    </w:p>
    <w:p w14:paraId="43E8782D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India, the significance of corporate governance has been underscored by various financial </w:t>
      </w:r>
    </w:p>
    <w:p w14:paraId="52314682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scandals, highlighting the need for robust governance mechanisms to prevent such </w:t>
      </w:r>
    </w:p>
    <w:p w14:paraId="1D85F507" w14:textId="485724F2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occurrences. ​</w:t>
      </w:r>
    </w:p>
    <w:p w14:paraId="3715D4A7" w14:textId="3E559C36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23B7">
        <w:rPr>
          <w:rFonts w:ascii="Times New Roman" w:hAnsi="Times New Roman" w:cs="Times New Roman"/>
          <w:b/>
          <w:bCs/>
          <w:sz w:val="24"/>
          <w:szCs w:val="24"/>
        </w:rPr>
        <w:t>Legal Framework Governing Corporate Governance in India</w:t>
      </w:r>
    </w:p>
    <w:p w14:paraId="665FAE1F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India's corporate governance framework is primarily governed by the Companies Act, 2013, </w:t>
      </w:r>
    </w:p>
    <w:p w14:paraId="622B9D79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which introduced significant changes to enhance transparency and accountability in corporate </w:t>
      </w:r>
    </w:p>
    <w:p w14:paraId="7DC69EE0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affairs. Additionally, the Securities and Exchange Board of India (SEBI) has established </w:t>
      </w:r>
    </w:p>
    <w:p w14:paraId="28938CE1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regulations, such as the SEBI (Listing Obligations and Disclosure Requirements) </w:t>
      </w:r>
    </w:p>
    <w:p w14:paraId="1F789E97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Regulations, 2015, to ensure that listed companies adhere to high standards of corporate </w:t>
      </w:r>
    </w:p>
    <w:p w14:paraId="5B8BD81B" w14:textId="3F905779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lastRenderedPageBreak/>
        <w:t>governance. ​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</w:p>
    <w:p w14:paraId="1EEE6644" w14:textId="5A10DE11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123B7">
        <w:rPr>
          <w:rFonts w:ascii="Times New Roman" w:hAnsi="Times New Roman" w:cs="Times New Roman"/>
          <w:b/>
          <w:bCs/>
          <w:sz w:val="24"/>
          <w:szCs w:val="24"/>
        </w:rPr>
        <w:t>Thesis Statement</w:t>
      </w:r>
    </w:p>
    <w:p w14:paraId="5DA693AC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This article explores how robust corporate governance, underpinned by legal frameworks, </w:t>
      </w:r>
    </w:p>
    <w:p w14:paraId="674DDD7D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acts as a shield against financial frauds in India. It </w:t>
      </w:r>
      <w:r w:rsidRPr="005123B7">
        <w:rPr>
          <w:rFonts w:ascii="Times New Roman" w:hAnsi="Times New Roman" w:cs="Times New Roman"/>
          <w:sz w:val="24"/>
          <w:szCs w:val="24"/>
        </w:rPr>
        <w:t>analyses</w:t>
      </w:r>
      <w:r w:rsidRPr="005123B7">
        <w:rPr>
          <w:rFonts w:ascii="Times New Roman" w:hAnsi="Times New Roman" w:cs="Times New Roman"/>
          <w:sz w:val="24"/>
          <w:szCs w:val="24"/>
        </w:rPr>
        <w:t xml:space="preserve"> both legal and strategic </w:t>
      </w:r>
    </w:p>
    <w:p w14:paraId="24D5E270" w14:textId="77777777" w:rsidR="002915C4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 xml:space="preserve">perspectives, examining the effectiveness of existing regulations and the role of ethical </w:t>
      </w:r>
    </w:p>
    <w:p w14:paraId="3AD60C1B" w14:textId="3136F807" w:rsidR="005123B7" w:rsidRPr="005123B7" w:rsidRDefault="005123B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123B7">
        <w:rPr>
          <w:rFonts w:ascii="Times New Roman" w:hAnsi="Times New Roman" w:cs="Times New Roman"/>
          <w:sz w:val="24"/>
          <w:szCs w:val="24"/>
        </w:rPr>
        <w:t>leadership in fostering a culture of integrity and accountability within organizations.​</w:t>
      </w:r>
    </w:p>
    <w:p w14:paraId="32E4E216" w14:textId="77777777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Legal Framework Governing Corporate Governance in India</w:t>
      </w:r>
    </w:p>
    <w:p w14:paraId="472D589A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India's corporate governance landscape is anchored in a robust legal and regulatory </w:t>
      </w:r>
    </w:p>
    <w:p w14:paraId="51489E12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framework designed to promote transparency, accountability, and ethical business practices. </w:t>
      </w:r>
    </w:p>
    <w:p w14:paraId="0F168635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 primary pillars of this framework include the Companies Act, 2013, the SEBI (Listing </w:t>
      </w:r>
    </w:p>
    <w:p w14:paraId="75F99D77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Obligations and Disclosure Requirements) Regulations, 2015, and the roles of key regulatory </w:t>
      </w:r>
    </w:p>
    <w:p w14:paraId="1344B78F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bodies such as the Ministry of Corporate Affairs (MCA), the Securities and Exchange Board </w:t>
      </w:r>
    </w:p>
    <w:p w14:paraId="7046476D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of India (SEBI), the Reserve Bank of India (RBI), and the Serious Fraud Investigation Office </w:t>
      </w:r>
    </w:p>
    <w:p w14:paraId="62123754" w14:textId="4E42B5D3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(SFIO).​</w:t>
      </w:r>
    </w:p>
    <w:p w14:paraId="1B1F2684" w14:textId="77777777" w:rsid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Companies Act, 2013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F94A677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 Companies Act, 2013, serves as the cornerstone of corporate governance in India, </w:t>
      </w:r>
    </w:p>
    <w:p w14:paraId="37BD7E43" w14:textId="532F1064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introducing significant reforms to enhance corporate accountability and transparency.​</w:t>
      </w:r>
    </w:p>
    <w:p w14:paraId="7BA1B02B" w14:textId="77777777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Key Provisions:</w:t>
      </w:r>
    </w:p>
    <w:p w14:paraId="1A676B33" w14:textId="77777777" w:rsidR="002915C4" w:rsidRDefault="007537B2" w:rsidP="007537B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Section 149</w:t>
      </w:r>
      <w:r w:rsidRPr="007537B2">
        <w:rPr>
          <w:rFonts w:ascii="Times New Roman" w:hAnsi="Times New Roman" w:cs="Times New Roman"/>
          <w:sz w:val="24"/>
          <w:szCs w:val="24"/>
        </w:rPr>
        <w:t xml:space="preserve">: Mandates the appointment of independent directors in listed companies </w:t>
      </w:r>
    </w:p>
    <w:p w14:paraId="04F06E0A" w14:textId="14C310C7" w:rsidR="007537B2" w:rsidRPr="007537B2" w:rsidRDefault="007537B2" w:rsidP="002915C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to ensure unbiased oversight.​</w:t>
      </w:r>
    </w:p>
    <w:p w14:paraId="64EEA247" w14:textId="77777777" w:rsidR="002915C4" w:rsidRDefault="007537B2" w:rsidP="007537B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Section 177</w:t>
      </w:r>
      <w:r w:rsidRPr="007537B2">
        <w:rPr>
          <w:rFonts w:ascii="Times New Roman" w:hAnsi="Times New Roman" w:cs="Times New Roman"/>
          <w:sz w:val="24"/>
          <w:szCs w:val="24"/>
        </w:rPr>
        <w:t xml:space="preserve">: Requires the establishment of an Audit Committee to oversee financial </w:t>
      </w:r>
    </w:p>
    <w:p w14:paraId="16BA3866" w14:textId="0C885341" w:rsidR="007537B2" w:rsidRPr="007537B2" w:rsidRDefault="007537B2" w:rsidP="002915C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reporting and disclosure.​</w:t>
      </w:r>
    </w:p>
    <w:p w14:paraId="3D043310" w14:textId="77777777" w:rsidR="002915C4" w:rsidRDefault="007537B2" w:rsidP="007537B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lastRenderedPageBreak/>
        <w:t>Section 178</w:t>
      </w:r>
      <w:r w:rsidRPr="007537B2">
        <w:rPr>
          <w:rFonts w:ascii="Times New Roman" w:hAnsi="Times New Roman" w:cs="Times New Roman"/>
          <w:sz w:val="24"/>
          <w:szCs w:val="24"/>
        </w:rPr>
        <w:t xml:space="preserve">: Calls for the formation of Nomination and Remuneration Committees to </w:t>
      </w:r>
    </w:p>
    <w:p w14:paraId="01124E77" w14:textId="31D46A71" w:rsidR="007537B2" w:rsidRPr="007537B2" w:rsidRDefault="007537B2" w:rsidP="002915C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ensure fair and transparent appointment and compensation practices.​</w:t>
      </w:r>
    </w:p>
    <w:p w14:paraId="422224A9" w14:textId="77777777" w:rsidR="002915C4" w:rsidRDefault="007537B2" w:rsidP="007537B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Section 166</w:t>
      </w:r>
      <w:r w:rsidRPr="007537B2">
        <w:rPr>
          <w:rFonts w:ascii="Times New Roman" w:hAnsi="Times New Roman" w:cs="Times New Roman"/>
          <w:sz w:val="24"/>
          <w:szCs w:val="24"/>
        </w:rPr>
        <w:t xml:space="preserve">: Outlines the duties of directors, emphasizing their responsibility to act in </w:t>
      </w:r>
    </w:p>
    <w:p w14:paraId="3658E18E" w14:textId="6527C7A0" w:rsidR="007537B2" w:rsidRPr="007537B2" w:rsidRDefault="007537B2" w:rsidP="002915C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good faith and in the best interests of the company.​</w:t>
      </w:r>
    </w:p>
    <w:p w14:paraId="1DABA780" w14:textId="77777777" w:rsidR="002915C4" w:rsidRDefault="007537B2" w:rsidP="007537B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Section 173</w:t>
      </w:r>
      <w:r w:rsidRPr="007537B2">
        <w:rPr>
          <w:rFonts w:ascii="Times New Roman" w:hAnsi="Times New Roman" w:cs="Times New Roman"/>
          <w:sz w:val="24"/>
          <w:szCs w:val="24"/>
        </w:rPr>
        <w:t xml:space="preserve">: Stipulates the minimum number of board meetings and the maximum </w:t>
      </w:r>
    </w:p>
    <w:p w14:paraId="0AD1D284" w14:textId="32E53193" w:rsidR="007537B2" w:rsidRPr="007537B2" w:rsidRDefault="007537B2" w:rsidP="002915C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interval between meetings to ensure regular oversight.​</w:t>
      </w: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</w:p>
    <w:p w14:paraId="2E85CD4C" w14:textId="77777777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Significance:</w:t>
      </w:r>
    </w:p>
    <w:p w14:paraId="52C4E765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These provisions collectively aim to strengthen the governance structure within companies, </w:t>
      </w:r>
    </w:p>
    <w:p w14:paraId="4ECCCA1B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ensuring that decision-making processes are transparent and that directors are held </w:t>
      </w:r>
    </w:p>
    <w:p w14:paraId="3813DE66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accountable for their actions. By mandating the inclusion of independent directors and </w:t>
      </w:r>
    </w:p>
    <w:p w14:paraId="76ECDF9C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specialized committees, the Act seeks to mitigate conflicts of interest and enhance the </w:t>
      </w:r>
    </w:p>
    <w:p w14:paraId="5E21B10D" w14:textId="6D47CF69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integrity of corporate operations.​</w:t>
      </w:r>
    </w:p>
    <w:p w14:paraId="7CE5F503" w14:textId="2737EDFF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SEBI (Listing Obligations and Disclosure Requirements) Regulations, 2015</w:t>
      </w:r>
    </w:p>
    <w:p w14:paraId="7D3831A8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SEBI's LODR Regulations, 2015, establish comprehensive guidelines for listed entities to </w:t>
      </w:r>
    </w:p>
    <w:p w14:paraId="1CF58035" w14:textId="784B563C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ensure transparency and protect investor interests.​</w:t>
      </w:r>
    </w:p>
    <w:p w14:paraId="11443E82" w14:textId="77777777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Key Provisions:</w:t>
      </w:r>
    </w:p>
    <w:p w14:paraId="7D5573E8" w14:textId="77777777" w:rsidR="002915C4" w:rsidRDefault="007537B2" w:rsidP="007537B2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Regulation 17</w:t>
      </w:r>
      <w:r w:rsidRPr="007537B2">
        <w:rPr>
          <w:rFonts w:ascii="Times New Roman" w:hAnsi="Times New Roman" w:cs="Times New Roman"/>
          <w:sz w:val="24"/>
          <w:szCs w:val="24"/>
        </w:rPr>
        <w:t xml:space="preserve">: Specifies the composition of the Board of Directors, including the </w:t>
      </w:r>
    </w:p>
    <w:p w14:paraId="021EBF1F" w14:textId="6FD5EF97" w:rsidR="007537B2" w:rsidRPr="007537B2" w:rsidRDefault="007537B2" w:rsidP="002915C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requirement for independent directors.​</w:t>
      </w:r>
    </w:p>
    <w:p w14:paraId="7096BD15" w14:textId="77777777" w:rsidR="007537B2" w:rsidRPr="007537B2" w:rsidRDefault="007537B2" w:rsidP="007537B2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Regulation 18</w:t>
      </w:r>
      <w:r w:rsidRPr="007537B2">
        <w:rPr>
          <w:rFonts w:ascii="Times New Roman" w:hAnsi="Times New Roman" w:cs="Times New Roman"/>
          <w:sz w:val="24"/>
          <w:szCs w:val="24"/>
        </w:rPr>
        <w:t>: Details the constitution and responsibilities of the Audit Committee.​</w:t>
      </w:r>
    </w:p>
    <w:p w14:paraId="5A42CBD0" w14:textId="77777777" w:rsidR="002915C4" w:rsidRDefault="007537B2" w:rsidP="007537B2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Regulation 23</w:t>
      </w:r>
      <w:r w:rsidRPr="007537B2">
        <w:rPr>
          <w:rFonts w:ascii="Times New Roman" w:hAnsi="Times New Roman" w:cs="Times New Roman"/>
          <w:sz w:val="24"/>
          <w:szCs w:val="24"/>
        </w:rPr>
        <w:t xml:space="preserve">: Addresses related party transactions, requiring approval and </w:t>
      </w:r>
    </w:p>
    <w:p w14:paraId="61E0D101" w14:textId="524C7574" w:rsidR="007537B2" w:rsidRPr="007537B2" w:rsidRDefault="007537B2" w:rsidP="002915C4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disclosure to prevent conflicts of interest.​</w:t>
      </w:r>
    </w:p>
    <w:p w14:paraId="73865C28" w14:textId="77777777" w:rsidR="00F93866" w:rsidRDefault="007537B2" w:rsidP="00F93866">
      <w:pPr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Regulation 30</w:t>
      </w:r>
      <w:r w:rsidRPr="007537B2">
        <w:rPr>
          <w:rFonts w:ascii="Times New Roman" w:hAnsi="Times New Roman" w:cs="Times New Roman"/>
          <w:sz w:val="24"/>
          <w:szCs w:val="24"/>
        </w:rPr>
        <w:t xml:space="preserve">: Mandates timely disclosure of material events to ensure investors are </w:t>
      </w:r>
    </w:p>
    <w:p w14:paraId="08BF0662" w14:textId="378E9211" w:rsidR="007537B2" w:rsidRPr="007537B2" w:rsidRDefault="007537B2" w:rsidP="00F93866">
      <w:pPr>
        <w:spacing w:line="36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lastRenderedPageBreak/>
        <w:t>informed of significant developments.​</w:t>
      </w:r>
      <w:r w:rsidR="0059775B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</w:p>
    <w:p w14:paraId="23648A1C" w14:textId="77777777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Significance:</w:t>
      </w:r>
    </w:p>
    <w:p w14:paraId="702027AD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 LODR Regulations are instrumental in promoting corporate transparency and </w:t>
      </w:r>
    </w:p>
    <w:p w14:paraId="1A570B58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accountability. By enforcing strict disclosure norms and defining the roles and responsibilities </w:t>
      </w:r>
    </w:p>
    <w:p w14:paraId="7194223F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of key committees, SEBI ensures that listed companies adhere to high standards of </w:t>
      </w:r>
    </w:p>
    <w:p w14:paraId="631329F7" w14:textId="185AE1C6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governance, thereby fostering investor confidence.​</w:t>
      </w:r>
    </w:p>
    <w:p w14:paraId="5E758617" w14:textId="3C8AA58D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Role of Regulatory Bodies</w:t>
      </w:r>
    </w:p>
    <w:p w14:paraId="5DA60EB9" w14:textId="77293576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Ministry of Corporate Affairs (MCA)</w:t>
      </w:r>
    </w:p>
    <w:p w14:paraId="2F23E601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 MCA is the apex body responsible for administering corporate laws in India. It oversees </w:t>
      </w:r>
    </w:p>
    <w:p w14:paraId="77AEF662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 implementation of the Companies Act, 2013, and ensures that companies comply with </w:t>
      </w:r>
    </w:p>
    <w:p w14:paraId="3CB8DA73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statutory requirements. The MCA also plays a pivotal role in policy formulation and the </w:t>
      </w:r>
    </w:p>
    <w:p w14:paraId="468FBE67" w14:textId="0E2F03FE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promotion of good corporate governance practices.​</w:t>
      </w:r>
    </w:p>
    <w:p w14:paraId="03E632A0" w14:textId="53CB6850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Securities and Exchange Board of India (SEBI)</w:t>
      </w:r>
    </w:p>
    <w:p w14:paraId="389E6610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SEBI is the regulatory authority for the securities market in India. It formulates regulations to </w:t>
      </w:r>
    </w:p>
    <w:p w14:paraId="30BEC7F9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protect investor interests, promotes fair trading practices, and ensures that companies adhere </w:t>
      </w:r>
    </w:p>
    <w:p w14:paraId="05096462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to disclosure and governance norms. SEBI's proactive measures have been crucial in </w:t>
      </w:r>
    </w:p>
    <w:p w14:paraId="3130E9BC" w14:textId="220A6D22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enhancing the corporate governance landscape in India.​</w:t>
      </w:r>
      <w:r w:rsidR="0059775B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</w:p>
    <w:p w14:paraId="7EA392AD" w14:textId="17D0E3DF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Reserve Bank of India (RBI)</w:t>
      </w:r>
    </w:p>
    <w:p w14:paraId="022ABFFD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 RBI regulates and supervises the banking sector in India. It issues guidelines on </w:t>
      </w:r>
    </w:p>
    <w:p w14:paraId="414BDF91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corporate governance for banks, focusing on aspects such as board composition, risk </w:t>
      </w:r>
    </w:p>
    <w:p w14:paraId="3EC41852" w14:textId="77777777" w:rsidR="002915C4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lastRenderedPageBreak/>
        <w:t xml:space="preserve">management, and internal controls. The RBI's oversight ensures the financial stability and </w:t>
      </w:r>
    </w:p>
    <w:p w14:paraId="643EE0B8" w14:textId="16CC82D6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integrity of banking institutions.​</w:t>
      </w:r>
    </w:p>
    <w:p w14:paraId="4F924452" w14:textId="353B1DC4" w:rsidR="007537B2" w:rsidRPr="007537B2" w:rsidRDefault="007537B2" w:rsidP="007537B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7537B2">
        <w:rPr>
          <w:rFonts w:ascii="Times New Roman" w:hAnsi="Times New Roman" w:cs="Times New Roman"/>
          <w:b/>
          <w:bCs/>
          <w:sz w:val="24"/>
          <w:szCs w:val="24"/>
        </w:rPr>
        <w:t>Serious Fraud Investigation Office (SFIO)</w:t>
      </w:r>
    </w:p>
    <w:p w14:paraId="3146DD53" w14:textId="77777777" w:rsidR="002915C4" w:rsidRDefault="007537B2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The SFIO is a specialized agency under the MCA tasked with investigating complex financial </w:t>
      </w:r>
    </w:p>
    <w:p w14:paraId="14871FAE" w14:textId="77777777" w:rsidR="002915C4" w:rsidRDefault="007537B2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 xml:space="preserve">frauds. It conducts in-depth investigations into corporate misconduct and works towards </w:t>
      </w:r>
    </w:p>
    <w:p w14:paraId="3953D78E" w14:textId="06A57506" w:rsidR="007537B2" w:rsidRDefault="007537B2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37B2">
        <w:rPr>
          <w:rFonts w:ascii="Times New Roman" w:hAnsi="Times New Roman" w:cs="Times New Roman"/>
          <w:sz w:val="24"/>
          <w:szCs w:val="24"/>
        </w:rPr>
        <w:t>prosecuting offenders, thereby acting as a deterrent against financial irregularities.​</w:t>
      </w:r>
    </w:p>
    <w:p w14:paraId="47BE36CD" w14:textId="77777777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5C4">
        <w:rPr>
          <w:rFonts w:ascii="Times New Roman" w:hAnsi="Times New Roman" w:cs="Times New Roman"/>
          <w:b/>
          <w:bCs/>
          <w:sz w:val="24"/>
          <w:szCs w:val="24"/>
        </w:rPr>
        <w:t>Institutional Role in Enforcing Governance</w:t>
      </w:r>
    </w:p>
    <w:p w14:paraId="3A5C3975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India's corporate governance landscape is shaped and governed by a series of key regulatory </w:t>
      </w:r>
    </w:p>
    <w:p w14:paraId="63730793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bodies, each with distinct roles and recent steps towards promoting transparency, </w:t>
      </w:r>
    </w:p>
    <w:p w14:paraId="67492200" w14:textId="7F14FE77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accountability, and ethical business conduct.</w:t>
      </w:r>
    </w:p>
    <w:p w14:paraId="4C1D8A92" w14:textId="1DCA4E86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915C4">
        <w:rPr>
          <w:rFonts w:ascii="Times New Roman" w:hAnsi="Times New Roman" w:cs="Times New Roman"/>
          <w:b/>
          <w:bCs/>
          <w:sz w:val="24"/>
          <w:szCs w:val="24"/>
        </w:rPr>
        <w:t>Securities and Exchange Board of India (SEBI)</w:t>
      </w:r>
    </w:p>
    <w:p w14:paraId="2459D696" w14:textId="77777777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b/>
          <w:bCs/>
          <w:sz w:val="24"/>
          <w:szCs w:val="24"/>
        </w:rPr>
        <w:t>Functions</w:t>
      </w:r>
      <w:r w:rsidRPr="002915C4">
        <w:rPr>
          <w:rFonts w:ascii="Times New Roman" w:hAnsi="Times New Roman" w:cs="Times New Roman"/>
          <w:sz w:val="24"/>
          <w:szCs w:val="24"/>
        </w:rPr>
        <w:t>:</w:t>
      </w:r>
    </w:p>
    <w:p w14:paraId="5D748845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SEBI is the chief regulator of the Indian market for securities, entrusted with the</w:t>
      </w:r>
      <w:r>
        <w:rPr>
          <w:rFonts w:ascii="Times New Roman" w:hAnsi="Times New Roman" w:cs="Times New Roman"/>
          <w:sz w:val="24"/>
          <w:szCs w:val="24"/>
        </w:rPr>
        <w:t xml:space="preserve"> res</w:t>
      </w:r>
    </w:p>
    <w:p w14:paraId="62692CBD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responsibility of protecting investor interests and facilitating fair market practice. </w:t>
      </w:r>
    </w:p>
    <w:p w14:paraId="258A0047" w14:textId="58D10CF0" w:rsidR="002915C4" w:rsidRPr="00FF0348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Its principal</w:t>
      </w:r>
      <w:r w:rsidRPr="00FF034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FF0348">
        <w:rPr>
          <w:rFonts w:ascii="Times New Roman" w:hAnsi="Times New Roman" w:cs="Times New Roman"/>
          <w:b/>
          <w:bCs/>
          <w:sz w:val="24"/>
          <w:szCs w:val="24"/>
        </w:rPr>
        <w:t>functions are:</w:t>
      </w:r>
    </w:p>
    <w:p w14:paraId="455782F8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Regulation of Intermediaries in the Market:</w:t>
      </w:r>
      <w:r w:rsidRPr="002915C4">
        <w:rPr>
          <w:rFonts w:ascii="Times New Roman" w:hAnsi="Times New Roman" w:cs="Times New Roman"/>
          <w:sz w:val="24"/>
          <w:szCs w:val="24"/>
        </w:rPr>
        <w:t xml:space="preserve"> SEBI regulates merchant bankers, brokers, and </w:t>
      </w:r>
    </w:p>
    <w:p w14:paraId="44E702F6" w14:textId="66EA4B4C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other intermediaries to meet regulatory requirements.</w:t>
      </w:r>
    </w:p>
    <w:p w14:paraId="712126A7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Norms of Corporate Governance:</w:t>
      </w:r>
      <w:r w:rsidRPr="002915C4">
        <w:rPr>
          <w:rFonts w:ascii="Times New Roman" w:hAnsi="Times New Roman" w:cs="Times New Roman"/>
          <w:sz w:val="24"/>
          <w:szCs w:val="24"/>
        </w:rPr>
        <w:t xml:space="preserve"> It sets and implements rules for corporate governance, </w:t>
      </w:r>
    </w:p>
    <w:p w14:paraId="0322B92B" w14:textId="49482E33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including board composition and disclosure standards.</w:t>
      </w:r>
    </w:p>
    <w:p w14:paraId="405C5EC3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Investor Protection:</w:t>
      </w:r>
      <w:r w:rsidRPr="002915C4">
        <w:rPr>
          <w:rFonts w:ascii="Times New Roman" w:hAnsi="Times New Roman" w:cs="Times New Roman"/>
          <w:sz w:val="24"/>
          <w:szCs w:val="24"/>
        </w:rPr>
        <w:t xml:space="preserve"> SEBI enforces restraints to protect investors, e.g., requiring disclosure </w:t>
      </w:r>
    </w:p>
    <w:p w14:paraId="68D9BD10" w14:textId="1FD4C37D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and outlawing fraud.</w:t>
      </w:r>
    </w:p>
    <w:p w14:paraId="4E7BC74E" w14:textId="77777777" w:rsidR="002915C4" w:rsidRPr="00FF0348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Recent Activities:</w:t>
      </w:r>
    </w:p>
    <w:p w14:paraId="148E56CF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Strengthened Disclosure Requirements:</w:t>
      </w:r>
      <w:r w:rsidRPr="002915C4">
        <w:rPr>
          <w:rFonts w:ascii="Times New Roman" w:hAnsi="Times New Roman" w:cs="Times New Roman"/>
          <w:sz w:val="24"/>
          <w:szCs w:val="24"/>
        </w:rPr>
        <w:t xml:space="preserve"> SEBI has directed listed entities to report information </w:t>
      </w:r>
    </w:p>
    <w:p w14:paraId="5A3F0087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lastRenderedPageBreak/>
        <w:t xml:space="preserve">related to cyber security breaches or incidents in their quarterly compliance reports as part of </w:t>
      </w:r>
    </w:p>
    <w:p w14:paraId="3FE7387F" w14:textId="23CF54F1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a move to enhance transparency and risk management.</w:t>
      </w:r>
      <w:r w:rsidR="00FF0348">
        <w:rPr>
          <w:rStyle w:val="FootnoteReference"/>
          <w:rFonts w:ascii="Times New Roman" w:hAnsi="Times New Roman" w:cs="Times New Roman"/>
          <w:sz w:val="24"/>
          <w:szCs w:val="24"/>
        </w:rPr>
        <w:footnoteReference w:id="5"/>
      </w:r>
    </w:p>
    <w:p w14:paraId="5BB96A5A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Strengthening Board Oversight:</w:t>
      </w:r>
      <w:r w:rsidRPr="002915C4">
        <w:rPr>
          <w:rFonts w:ascii="Times New Roman" w:hAnsi="Times New Roman" w:cs="Times New Roman"/>
          <w:sz w:val="24"/>
          <w:szCs w:val="24"/>
        </w:rPr>
        <w:t xml:space="preserve"> The regulator has taken measures to strengthen the role of </w:t>
      </w:r>
    </w:p>
    <w:p w14:paraId="57BA1D38" w14:textId="246F4511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independent directors, including stricter eligibility tests and board diversity requirements.</w:t>
      </w:r>
    </w:p>
    <w:p w14:paraId="03F2E79B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Action Against Misuse of Funds: In one high-profile case, SEBI banned the BluSmart </w:t>
      </w:r>
    </w:p>
    <w:p w14:paraId="16040D89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founders from the securities market following an inquiry that discovered misuse of ₹9.78 </w:t>
      </w:r>
    </w:p>
    <w:p w14:paraId="612A4A1B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billion of loans availed to the company's fleet, demonstrating SEBI's zeal to curb financial </w:t>
      </w:r>
    </w:p>
    <w:p w14:paraId="0297B1AB" w14:textId="1D0EDB62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malpractices.</w:t>
      </w:r>
      <w:r w:rsidR="00FF0348">
        <w:rPr>
          <w:rStyle w:val="FootnoteReference"/>
          <w:rFonts w:ascii="Times New Roman" w:hAnsi="Times New Roman" w:cs="Times New Roman"/>
          <w:sz w:val="24"/>
          <w:szCs w:val="24"/>
        </w:rPr>
        <w:footnoteReference w:id="6"/>
      </w:r>
    </w:p>
    <w:p w14:paraId="53018154" w14:textId="01012404" w:rsidR="002915C4" w:rsidRPr="00FF0348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Reserve Bank of India (RBI)</w:t>
      </w:r>
    </w:p>
    <w:p w14:paraId="7BCB5452" w14:textId="77777777" w:rsidR="002915C4" w:rsidRPr="00FF0348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Functions:</w:t>
      </w:r>
    </w:p>
    <w:p w14:paraId="04E9D75A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Being the central bank, RBI bears the responsibility for financial stability as well as bank </w:t>
      </w:r>
    </w:p>
    <w:p w14:paraId="426EC1B4" w14:textId="55750266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regulation. Its roles as a corporate governance are:</w:t>
      </w:r>
    </w:p>
    <w:p w14:paraId="57C38759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Regulatory Supervision: RBI publishes guidelines on corporate governance for banks, </w:t>
      </w:r>
    </w:p>
    <w:p w14:paraId="4E51D91B" w14:textId="7C014511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emphasizing topics like board composition, risk management, and internal controls.​</w:t>
      </w:r>
    </w:p>
    <w:p w14:paraId="551FFF0C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Supervisory Measures: It carries out inspections and audits to verify adherence to regulatory </w:t>
      </w:r>
    </w:p>
    <w:p w14:paraId="44AE04C1" w14:textId="032C4A03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standards and can levy penalties for breach.</w:t>
      </w:r>
    </w:p>
    <w:p w14:paraId="0C14AFA1" w14:textId="77777777" w:rsidR="002915C4" w:rsidRPr="00FF0348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Recent Developments</w:t>
      </w:r>
    </w:p>
    <w:p w14:paraId="568EE29C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Liquidity Risk Management:</w:t>
      </w:r>
      <w:r w:rsidRPr="002915C4">
        <w:rPr>
          <w:rFonts w:ascii="Times New Roman" w:hAnsi="Times New Roman" w:cs="Times New Roman"/>
          <w:sz w:val="24"/>
          <w:szCs w:val="24"/>
        </w:rPr>
        <w:t xml:space="preserve"> RBI reduced the buffer requirement for digitally available retail </w:t>
      </w:r>
    </w:p>
    <w:p w14:paraId="6A33C8A5" w14:textId="77777777" w:rsid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deposits to 2.5% in April 2025 from the recommended 5%, with an eye to containing </w:t>
      </w:r>
    </w:p>
    <w:p w14:paraId="10A26E03" w14:textId="42985CFA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liquidity risks arising from potential sudden digital withdrawals.</w:t>
      </w:r>
    </w:p>
    <w:p w14:paraId="6CA4ED28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lastRenderedPageBreak/>
        <w:t xml:space="preserve">Board Supersession: RBI superseded the board of New India Co-operative Bank for 12 </w:t>
      </w:r>
    </w:p>
    <w:p w14:paraId="23E13823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months when it found evidence of fund misappropriation, and an administrator was appointed </w:t>
      </w:r>
    </w:p>
    <w:p w14:paraId="3164A97C" w14:textId="02FBCF24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to protect the interest of the depositors.</w:t>
      </w:r>
      <w:r w:rsidR="00385CE2">
        <w:rPr>
          <w:rStyle w:val="FootnoteReference"/>
          <w:rFonts w:ascii="Times New Roman" w:hAnsi="Times New Roman" w:cs="Times New Roman"/>
          <w:sz w:val="24"/>
          <w:szCs w:val="24"/>
        </w:rPr>
        <w:footnoteReference w:id="7"/>
      </w:r>
    </w:p>
    <w:p w14:paraId="58FEF9F1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KYC Enforcement:</w:t>
      </w:r>
      <w:r w:rsidRPr="002915C4">
        <w:rPr>
          <w:rFonts w:ascii="Times New Roman" w:hAnsi="Times New Roman" w:cs="Times New Roman"/>
          <w:sz w:val="24"/>
          <w:szCs w:val="24"/>
        </w:rPr>
        <w:t xml:space="preserve"> Fines were levied by the central bank on </w:t>
      </w:r>
      <w:proofErr w:type="gramStart"/>
      <w:r w:rsidRPr="002915C4">
        <w:rPr>
          <w:rFonts w:ascii="Times New Roman" w:hAnsi="Times New Roman" w:cs="Times New Roman"/>
          <w:sz w:val="24"/>
          <w:szCs w:val="24"/>
        </w:rPr>
        <w:t>a number of</w:t>
      </w:r>
      <w:proofErr w:type="gramEnd"/>
      <w:r w:rsidRPr="002915C4">
        <w:rPr>
          <w:rFonts w:ascii="Times New Roman" w:hAnsi="Times New Roman" w:cs="Times New Roman"/>
          <w:sz w:val="24"/>
          <w:szCs w:val="24"/>
        </w:rPr>
        <w:t xml:space="preserve"> non-banking </w:t>
      </w:r>
    </w:p>
    <w:p w14:paraId="24B2F438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financial companies (NBFCs) for non-compliance with Know Your Customer (KYC), again </w:t>
      </w:r>
    </w:p>
    <w:p w14:paraId="02271931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reminding us of the importance of due diligence in financial transactions.</w:t>
      </w:r>
    </w:p>
    <w:p w14:paraId="21847E44" w14:textId="5611C107" w:rsidR="002915C4" w:rsidRPr="00FF0348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Serious Fraud Investigation Office (SFIO)</w:t>
      </w:r>
    </w:p>
    <w:p w14:paraId="72ECB8B6" w14:textId="77777777" w:rsidR="002915C4" w:rsidRPr="00FF0348" w:rsidRDefault="002915C4" w:rsidP="002915C4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Functions:</w:t>
      </w:r>
    </w:p>
    <w:p w14:paraId="1E1DED02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SFIO is a statutory multidisciplinary government agency under the Ministry of Corporate </w:t>
      </w:r>
    </w:p>
    <w:p w14:paraId="7E771F4A" w14:textId="30FE12A4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Affairs formed for probing intricate financial frauds. Its duties are: excellenceenablers.com</w:t>
      </w:r>
    </w:p>
    <w:p w14:paraId="6E11C861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Investigation of Corporate Frauds: SFIO conducts thorough investigations into serious </w:t>
      </w:r>
    </w:p>
    <w:p w14:paraId="657F45E9" w14:textId="7D1A1E85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financial irregularities and corporate frauds.</w:t>
      </w:r>
    </w:p>
    <w:p w14:paraId="4B6977F5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Prosecution:</w:t>
      </w:r>
      <w:r w:rsidRPr="002915C4">
        <w:rPr>
          <w:rFonts w:ascii="Times New Roman" w:hAnsi="Times New Roman" w:cs="Times New Roman"/>
          <w:sz w:val="24"/>
          <w:szCs w:val="24"/>
        </w:rPr>
        <w:t xml:space="preserve"> SFIO can prosecute individuals and organizations that engage in fraudulent </w:t>
      </w:r>
    </w:p>
    <w:p w14:paraId="34786755" w14:textId="3B411904" w:rsidR="002915C4" w:rsidRPr="002915C4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>activities according to its investigations.</w:t>
      </w:r>
    </w:p>
    <w:p w14:paraId="344EC299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F0348">
        <w:rPr>
          <w:rFonts w:ascii="Times New Roman" w:hAnsi="Times New Roman" w:cs="Times New Roman"/>
          <w:b/>
          <w:bCs/>
          <w:sz w:val="24"/>
          <w:szCs w:val="24"/>
        </w:rPr>
        <w:t>Recent Developments:</w:t>
      </w:r>
      <w:r w:rsidRPr="002915C4">
        <w:rPr>
          <w:rFonts w:ascii="Times New Roman" w:hAnsi="Times New Roman" w:cs="Times New Roman"/>
          <w:sz w:val="24"/>
          <w:szCs w:val="24"/>
        </w:rPr>
        <w:t xml:space="preserve"> Escalation in Investigative Work: In the period between financial </w:t>
      </w:r>
    </w:p>
    <w:p w14:paraId="393B5A7D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years 2019-2020 and 2023-2024, SFIO received 72 cases for investigation, alluding to its </w:t>
      </w:r>
    </w:p>
    <w:p w14:paraId="0B29A5E7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active contribution in resolving corporate frauds. Digital Sansad Enhanced Powers: SFIO has </w:t>
      </w:r>
    </w:p>
    <w:p w14:paraId="1E6013AB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been given powers to probe company scams under Section 211 of the Companies Act, 2013, </w:t>
      </w:r>
    </w:p>
    <w:p w14:paraId="1F199743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which allows it to probe complex financial scams of public interest. These regulatory bodies </w:t>
      </w:r>
    </w:p>
    <w:p w14:paraId="4D56E158" w14:textId="77777777" w:rsidR="00FF0348" w:rsidRDefault="002915C4" w:rsidP="002915C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collectively enhance India's corporate governance framework to ensure that companies </w:t>
      </w:r>
    </w:p>
    <w:p w14:paraId="23E9A93B" w14:textId="77777777" w:rsidR="00442D75" w:rsidRDefault="002915C4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t xml:space="preserve">adhere to ethical standards and the law, thereby safeguarding stakeholder interests and </w:t>
      </w:r>
    </w:p>
    <w:p w14:paraId="1B7A997B" w14:textId="77777777" w:rsidR="00F34E36" w:rsidRDefault="002915C4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915C4">
        <w:rPr>
          <w:rFonts w:ascii="Times New Roman" w:hAnsi="Times New Roman" w:cs="Times New Roman"/>
          <w:sz w:val="24"/>
          <w:szCs w:val="24"/>
        </w:rPr>
        <w:lastRenderedPageBreak/>
        <w:t>maintaining market integrity.</w:t>
      </w:r>
      <w:r w:rsidR="00385CE2">
        <w:rPr>
          <w:rStyle w:val="FootnoteReference"/>
          <w:rFonts w:ascii="Times New Roman" w:hAnsi="Times New Roman" w:cs="Times New Roman"/>
          <w:sz w:val="24"/>
          <w:szCs w:val="24"/>
        </w:rPr>
        <w:footnoteReference w:id="8"/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</w:t>
      </w:r>
    </w:p>
    <w:p w14:paraId="3C732517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Case Studies in Governance Failure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</w:t>
      </w:r>
    </w:p>
    <w:p w14:paraId="0E140DD7" w14:textId="44F314D6" w:rsidR="00442D75" w:rsidRP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Examination of some of the most notable corporate governance failures in India goes to</w:t>
      </w:r>
    </w:p>
    <w:p w14:paraId="0095E204" w14:textId="77777777" w:rsidR="00442D75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establish the system failures and the necessity of robust governance mechanisms. Below are </w:t>
      </w:r>
    </w:p>
    <w:p w14:paraId="743EFFA4" w14:textId="7F7D3ABF" w:rsidR="00442D75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elaborate analyses of six key cases:</w:t>
      </w:r>
    </w:p>
    <w:p w14:paraId="5802D39E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Satyam Computer Services (2009)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</w:t>
      </w:r>
    </w:p>
    <w:p w14:paraId="044B195B" w14:textId="2627981A" w:rsidR="00442D75" w:rsidRP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Problem:</w:t>
      </w:r>
      <w:r w:rsidRPr="00442D75">
        <w:rPr>
          <w:rFonts w:ascii="Times New Roman" w:hAnsi="Times New Roman" w:cs="Times New Roman"/>
          <w:sz w:val="24"/>
          <w:szCs w:val="24"/>
        </w:rPr>
        <w:t xml:space="preserve"> Satyam Computer Services, a top IT company, was at the </w:t>
      </w:r>
      <w:r w:rsidRPr="00442D75">
        <w:rPr>
          <w:rFonts w:ascii="Times New Roman" w:hAnsi="Times New Roman" w:cs="Times New Roman"/>
          <w:sz w:val="24"/>
          <w:szCs w:val="24"/>
        </w:rPr>
        <w:t>centre</w:t>
      </w:r>
      <w:r w:rsidRPr="00442D75">
        <w:rPr>
          <w:rFonts w:ascii="Times New Roman" w:hAnsi="Times New Roman" w:cs="Times New Roman"/>
          <w:sz w:val="24"/>
          <w:szCs w:val="24"/>
        </w:rPr>
        <w:t xml:space="preserve"> of a giant </w:t>
      </w:r>
    </w:p>
    <w:p w14:paraId="52586A29" w14:textId="77777777" w:rsidR="00442D75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accounting scandal when its founder, Ramalinga Raju, admitted to overstatement of revenues </w:t>
      </w:r>
    </w:p>
    <w:p w14:paraId="58EEFA7B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and profits at the company by manipulating its accounts.</w:t>
      </w:r>
      <w:r w:rsidRPr="00442D75">
        <w:rPr>
          <w:rFonts w:ascii="Times New Roman" w:hAnsi="Times New Roman" w:cs="Times New Roman"/>
          <w:sz w:val="24"/>
          <w:szCs w:val="24"/>
        </w:rPr>
        <w:cr/>
        <w:t>Governance Failures</w:t>
      </w:r>
      <w:r w:rsidRPr="00442D75">
        <w:rPr>
          <w:rFonts w:ascii="Times New Roman" w:hAnsi="Times New Roman" w:cs="Times New Roman"/>
          <w:sz w:val="24"/>
          <w:szCs w:val="24"/>
        </w:rPr>
        <w:cr/>
      </w:r>
      <w:r w:rsidRPr="00442D75">
        <w:rPr>
          <w:rFonts w:ascii="Times New Roman" w:hAnsi="Times New Roman" w:cs="Times New Roman"/>
          <w:b/>
          <w:bCs/>
          <w:sz w:val="24"/>
          <w:szCs w:val="24"/>
        </w:rPr>
        <w:t>Failure in Board Oversight: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Board of Directors failed to detect or query the financial </w:t>
      </w:r>
    </w:p>
    <w:p w14:paraId="647EC009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statement irregularities.</w:t>
      </w:r>
      <w:r w:rsidRPr="00442D75">
        <w:rPr>
          <w:rFonts w:ascii="Times New Roman" w:hAnsi="Times New Roman" w:cs="Times New Roman"/>
          <w:sz w:val="24"/>
          <w:szCs w:val="24"/>
        </w:rPr>
        <w:cr/>
      </w:r>
      <w:r w:rsidRPr="00442D75">
        <w:rPr>
          <w:rFonts w:ascii="Times New Roman" w:hAnsi="Times New Roman" w:cs="Times New Roman"/>
          <w:b/>
          <w:bCs/>
          <w:sz w:val="24"/>
          <w:szCs w:val="24"/>
        </w:rPr>
        <w:t>Audit Committee Ineffectiveness: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There was no internal auditing structure that allowed </w:t>
      </w:r>
    </w:p>
    <w:p w14:paraId="6D6F0D73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financial numbers to be manipulated and went unchecked.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</w:t>
      </w:r>
    </w:p>
    <w:p w14:paraId="094AA5F1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34E36">
        <w:rPr>
          <w:rFonts w:ascii="Times New Roman" w:hAnsi="Times New Roman" w:cs="Times New Roman"/>
          <w:b/>
          <w:bCs/>
          <w:sz w:val="24"/>
          <w:szCs w:val="24"/>
        </w:rPr>
        <w:t>Outcome: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scandal caused a massive erosion of investor confidence, a precipitous fall in </w:t>
      </w:r>
    </w:p>
    <w:p w14:paraId="3FA65C69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share prices, and subsequent takeover by Tech Mahindra. The scandal also prompted </w:t>
      </w:r>
    </w:p>
    <w:p w14:paraId="343BB613" w14:textId="2862CAE8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regulatory changes to enhance corporate governance norms in India.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</w:t>
      </w:r>
      <w:r w:rsidR="00F34E36">
        <w:rPr>
          <w:rStyle w:val="FootnoteReference"/>
          <w:rFonts w:ascii="Times New Roman" w:hAnsi="Times New Roman" w:cs="Times New Roman"/>
          <w:sz w:val="24"/>
          <w:szCs w:val="24"/>
        </w:rPr>
        <w:footnoteReference w:id="9"/>
      </w:r>
    </w:p>
    <w:p w14:paraId="74CC76D1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IL&amp;FS Crisis (2018)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</w:t>
      </w:r>
    </w:p>
    <w:p w14:paraId="3D40D34B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Problem:</w:t>
      </w:r>
      <w:r w:rsidRPr="00442D75">
        <w:rPr>
          <w:rFonts w:ascii="Times New Roman" w:hAnsi="Times New Roman" w:cs="Times New Roman"/>
          <w:sz w:val="24"/>
          <w:szCs w:val="24"/>
        </w:rPr>
        <w:t xml:space="preserve"> Infrastructure Leasing &amp; Financial Services (IL&amp;FS), which is one of India's </w:t>
      </w:r>
    </w:p>
    <w:p w14:paraId="6357ECA9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largest infrastructure development and finance companies, defaulted on its debt obligations, </w:t>
      </w:r>
    </w:p>
    <w:p w14:paraId="430DC7FF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creating a liquidity crisis in the financial markets.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</w:t>
      </w:r>
    </w:p>
    <w:p w14:paraId="4E1F09BA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34E36">
        <w:rPr>
          <w:rFonts w:ascii="Times New Roman" w:hAnsi="Times New Roman" w:cs="Times New Roman"/>
          <w:b/>
          <w:bCs/>
          <w:sz w:val="24"/>
          <w:szCs w:val="24"/>
        </w:rPr>
        <w:t>Governance Failures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</w:p>
    <w:p w14:paraId="79896906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lastRenderedPageBreak/>
        <w:t>Lack of Risk Management: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firm resorted to risky financial strategies with poor risk </w:t>
      </w:r>
    </w:p>
    <w:p w14:paraId="01958988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assessment.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</w:t>
      </w:r>
    </w:p>
    <w:p w14:paraId="3A79479F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Ineffective Oversight: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Board failed to implement effective internal controls and </w:t>
      </w:r>
    </w:p>
    <w:p w14:paraId="43CF8059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oversight procedures.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</w:t>
      </w:r>
    </w:p>
    <w:p w14:paraId="48448116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Outcome: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crisis struck a harsh blow to the NBFC industry, and the government </w:t>
      </w:r>
    </w:p>
    <w:p w14:paraId="37D4600D" w14:textId="371D61E2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intervened with an overhaul of corporate governance standards at financial institutions.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</w:t>
      </w:r>
      <w:r w:rsidR="00F34E36">
        <w:rPr>
          <w:rStyle w:val="FootnoteReference"/>
          <w:rFonts w:ascii="Times New Roman" w:hAnsi="Times New Roman" w:cs="Times New Roman"/>
          <w:sz w:val="24"/>
          <w:szCs w:val="24"/>
        </w:rPr>
        <w:footnoteReference w:id="10"/>
      </w:r>
    </w:p>
    <w:p w14:paraId="29FC6667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proofErr w:type="gramStart"/>
      <w:r w:rsidRPr="00442D75">
        <w:rPr>
          <w:rFonts w:ascii="Times New Roman" w:hAnsi="Times New Roman" w:cs="Times New Roman"/>
          <w:b/>
          <w:bCs/>
          <w:sz w:val="24"/>
          <w:szCs w:val="24"/>
        </w:rPr>
        <w:t>Yes</w:t>
      </w:r>
      <w:proofErr w:type="gramEnd"/>
      <w:r w:rsidRPr="00442D75">
        <w:rPr>
          <w:rFonts w:ascii="Times New Roman" w:hAnsi="Times New Roman" w:cs="Times New Roman"/>
          <w:b/>
          <w:bCs/>
          <w:sz w:val="24"/>
          <w:szCs w:val="24"/>
        </w:rPr>
        <w:t xml:space="preserve"> Bank Crisis (2020)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</w:t>
      </w:r>
    </w:p>
    <w:p w14:paraId="0F42F570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Problem:</w:t>
      </w:r>
      <w:r w:rsidRPr="00442D7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42D75">
        <w:rPr>
          <w:rFonts w:ascii="Times New Roman" w:hAnsi="Times New Roman" w:cs="Times New Roman"/>
          <w:sz w:val="24"/>
          <w:szCs w:val="24"/>
        </w:rPr>
        <w:t>Yes</w:t>
      </w:r>
      <w:proofErr w:type="gramEnd"/>
      <w:r w:rsidRPr="00442D75">
        <w:rPr>
          <w:rFonts w:ascii="Times New Roman" w:hAnsi="Times New Roman" w:cs="Times New Roman"/>
          <w:sz w:val="24"/>
          <w:szCs w:val="24"/>
        </w:rPr>
        <w:t xml:space="preserve"> Bank also faced a serious financial crisis due to increasing non-performing </w:t>
      </w:r>
    </w:p>
    <w:p w14:paraId="0A6DE864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assets (NPAs) and governance issues, leading to a moratorium by the Reserve Bank of India </w:t>
      </w:r>
    </w:p>
    <w:p w14:paraId="12F3E1B7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(RBI).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</w:t>
      </w:r>
    </w:p>
    <w:p w14:paraId="38EA47A3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Governance Failures: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</w:t>
      </w:r>
    </w:p>
    <w:p w14:paraId="2B4394B7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Aggressive Lending Practices: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bank had engaged in high-risk lending with insufficient </w:t>
      </w:r>
    </w:p>
    <w:p w14:paraId="6CD188D7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due diligence.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</w:t>
      </w:r>
    </w:p>
    <w:p w14:paraId="4999CCC5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Concealment of NPAs: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There was systematic underreporting of NPAs, giving false </w:t>
      </w:r>
    </w:p>
    <w:p w14:paraId="517C2A75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impressions to stakeholders regarding the bank's financial health.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</w:t>
      </w:r>
    </w:p>
    <w:p w14:paraId="76A3EDCE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Outcome:</w:t>
      </w:r>
      <w:r w:rsidRPr="00442D75">
        <w:rPr>
          <w:rFonts w:ascii="Times New Roman" w:hAnsi="Times New Roman" w:cs="Times New Roman"/>
          <w:sz w:val="24"/>
          <w:szCs w:val="24"/>
        </w:rPr>
        <w:t xml:space="preserve"> RBI acted with a reconstruction plan, involving infusion of capital by other banks, </w:t>
      </w:r>
    </w:p>
    <w:p w14:paraId="7C36AFD8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to stabilize the situation. The crisis highlighted the necessity for strict regulation of the </w:t>
      </w:r>
    </w:p>
    <w:p w14:paraId="3C923D77" w14:textId="713081E9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banking industry.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</w:t>
      </w:r>
      <w:r w:rsidR="00FB6B73">
        <w:rPr>
          <w:rStyle w:val="FootnoteReference"/>
          <w:rFonts w:ascii="Times New Roman" w:hAnsi="Times New Roman" w:cs="Times New Roman"/>
          <w:sz w:val="24"/>
          <w:szCs w:val="24"/>
        </w:rPr>
        <w:footnoteReference w:id="11"/>
      </w:r>
    </w:p>
    <w:p w14:paraId="08007094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D. R. Adani Group Scandal (2023–2024)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</w:t>
      </w:r>
    </w:p>
    <w:p w14:paraId="503DFD0A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Problem:</w:t>
      </w:r>
      <w:r w:rsidRPr="00442D75">
        <w:rPr>
          <w:rFonts w:ascii="Times New Roman" w:hAnsi="Times New Roman" w:cs="Times New Roman"/>
          <w:sz w:val="24"/>
          <w:szCs w:val="24"/>
        </w:rPr>
        <w:t xml:space="preserve"> Adani Group was accused of being involved in a $265 million bribery case to </w:t>
      </w:r>
    </w:p>
    <w:p w14:paraId="58D14459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lastRenderedPageBreak/>
        <w:t>secure energy deals in India, and due to this, U.S. officials carried out investigations.</w:t>
      </w:r>
      <w:r w:rsidR="00F34E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578CD09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Governance Failures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</w:t>
      </w:r>
    </w:p>
    <w:p w14:paraId="756B68F7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Lack of Transparency: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company allegedly failed to reveal investigations in process to </w:t>
      </w:r>
    </w:p>
    <w:p w14:paraId="10FFF5CF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investors.</w:t>
      </w:r>
      <w:r w:rsidRPr="00442D75">
        <w:rPr>
          <w:rFonts w:ascii="Times New Roman" w:hAnsi="Times New Roman" w:cs="Times New Roman"/>
          <w:sz w:val="24"/>
          <w:szCs w:val="24"/>
        </w:rPr>
        <w:cr/>
      </w:r>
    </w:p>
    <w:p w14:paraId="162211A4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Misrepresentation:</w:t>
      </w:r>
      <w:r w:rsidRPr="00442D75">
        <w:rPr>
          <w:rFonts w:ascii="Times New Roman" w:hAnsi="Times New Roman" w:cs="Times New Roman"/>
          <w:sz w:val="24"/>
          <w:szCs w:val="24"/>
        </w:rPr>
        <w:t xml:space="preserve"> Misrepresentations had been made regarding compliance with anti-</w:t>
      </w:r>
    </w:p>
    <w:p w14:paraId="189E9A64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bribery laws in financial reports.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14:paraId="665E201D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Outcome: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allegations resulted in a sudden decline in Adani Group's stock prices and </w:t>
      </w:r>
    </w:p>
    <w:p w14:paraId="1DA86A05" w14:textId="2F699032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enhanced regulatory oversight, highlighting the value of transparency and ethical </w:t>
      </w:r>
      <w:r w:rsidRPr="00442D75">
        <w:rPr>
          <w:rFonts w:ascii="Times New Roman" w:hAnsi="Times New Roman" w:cs="Times New Roman"/>
          <w:sz w:val="24"/>
          <w:szCs w:val="24"/>
        </w:rPr>
        <w:t>behaviour</w:t>
      </w:r>
      <w:r w:rsidRPr="00442D75">
        <w:rPr>
          <w:rFonts w:ascii="Times New Roman" w:hAnsi="Times New Roman" w:cs="Times New Roman"/>
          <w:sz w:val="24"/>
          <w:szCs w:val="24"/>
        </w:rPr>
        <w:t>.</w:t>
      </w:r>
      <w:r w:rsidR="00F34E36">
        <w:rPr>
          <w:rFonts w:ascii="Times New Roman" w:hAnsi="Times New Roman" w:cs="Times New Roman"/>
          <w:sz w:val="24"/>
          <w:szCs w:val="24"/>
        </w:rPr>
        <w:t xml:space="preserve"> </w:t>
      </w:r>
      <w:r w:rsidR="00FB6B73">
        <w:rPr>
          <w:rStyle w:val="FootnoteReference"/>
          <w:rFonts w:ascii="Times New Roman" w:hAnsi="Times New Roman" w:cs="Times New Roman"/>
          <w:sz w:val="24"/>
          <w:szCs w:val="24"/>
        </w:rPr>
        <w:footnoteReference w:id="12"/>
      </w:r>
    </w:p>
    <w:p w14:paraId="25503B7D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BluSmart Mobility Case (2024) Issue:</w:t>
      </w:r>
      <w:r w:rsidRPr="00442D75">
        <w:rPr>
          <w:rFonts w:ascii="Times New Roman" w:hAnsi="Times New Roman" w:cs="Times New Roman"/>
          <w:sz w:val="24"/>
          <w:szCs w:val="24"/>
        </w:rPr>
        <w:t xml:space="preserve"> BluSmart Mobility, an electric cab company, had its </w:t>
      </w:r>
    </w:p>
    <w:p w14:paraId="2E246AA8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co-founders charged with misappropriation of funds, prompting regulatory action by SEBI.</w:t>
      </w:r>
      <w:r w:rsidR="00F34E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49D4D01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34E36">
        <w:rPr>
          <w:rFonts w:ascii="Times New Roman" w:hAnsi="Times New Roman" w:cs="Times New Roman"/>
          <w:b/>
          <w:bCs/>
          <w:sz w:val="24"/>
          <w:szCs w:val="24"/>
        </w:rPr>
        <w:t>Governance Failures:</w:t>
      </w:r>
      <w:r w:rsidR="00F34E36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</w:t>
      </w:r>
    </w:p>
    <w:p w14:paraId="008229BB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Abuse of Funds:</w:t>
      </w:r>
      <w:r w:rsidRPr="00442D75">
        <w:rPr>
          <w:rFonts w:ascii="Times New Roman" w:hAnsi="Times New Roman" w:cs="Times New Roman"/>
          <w:sz w:val="24"/>
          <w:szCs w:val="24"/>
        </w:rPr>
        <w:t xml:space="preserve"> The fleet growth loans were supposedly used for personal expenses.</w:t>
      </w:r>
      <w:r w:rsidR="00F34E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4EBE024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Ineffective Monitoring:</w:t>
      </w:r>
      <w:r w:rsidR="00F34E3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442D75">
        <w:rPr>
          <w:rFonts w:ascii="Times New Roman" w:hAnsi="Times New Roman" w:cs="Times New Roman"/>
          <w:sz w:val="24"/>
          <w:szCs w:val="24"/>
        </w:rPr>
        <w:t xml:space="preserve">Internal controls in the company failed to detect or prevent the </w:t>
      </w:r>
    </w:p>
    <w:p w14:paraId="2E043874" w14:textId="72F67B7A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>misappropriation.</w:t>
      </w:r>
      <w:r w:rsidR="00F34E3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03A525" w14:textId="77777777" w:rsidR="00F34E36" w:rsidRDefault="00442D75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42D75">
        <w:rPr>
          <w:rFonts w:ascii="Times New Roman" w:hAnsi="Times New Roman" w:cs="Times New Roman"/>
          <w:b/>
          <w:bCs/>
          <w:sz w:val="24"/>
          <w:szCs w:val="24"/>
        </w:rPr>
        <w:t>Outcome:</w:t>
      </w:r>
      <w:r w:rsidRPr="00442D75">
        <w:rPr>
          <w:rFonts w:ascii="Times New Roman" w:hAnsi="Times New Roman" w:cs="Times New Roman"/>
          <w:sz w:val="24"/>
          <w:szCs w:val="24"/>
        </w:rPr>
        <w:t xml:space="preserve"> SEBI banned the co-founders from the market, and BluSmart appointed a forensic </w:t>
      </w:r>
    </w:p>
    <w:p w14:paraId="784C2E7C" w14:textId="1802C9C7" w:rsidR="00385CE2" w:rsidRPr="00F34E36" w:rsidRDefault="00442D75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2D75">
        <w:rPr>
          <w:rFonts w:ascii="Times New Roman" w:hAnsi="Times New Roman" w:cs="Times New Roman"/>
          <w:sz w:val="24"/>
          <w:szCs w:val="24"/>
        </w:rPr>
        <w:t xml:space="preserve">auditor to investigate the financial irregularities. The case highlights the need for rigorous </w:t>
      </w:r>
    </w:p>
    <w:p w14:paraId="2F5A9060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3"/>
      </w:r>
    </w:p>
    <w:p w14:paraId="50978573" w14:textId="18091440" w:rsidR="00FB6B73" w:rsidRP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Comparative Perspective: Indian Design and International Best Practices</w:t>
      </w:r>
    </w:p>
    <w:p w14:paraId="15BA9E20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 xml:space="preserve">Corporate governance structures differ between nations, based on legal systems, market </w:t>
      </w:r>
    </w:p>
    <w:p w14:paraId="45B0773B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 xml:space="preserve">conditions, and regulatory styles. This section compares India's structure with international </w:t>
      </w:r>
    </w:p>
    <w:p w14:paraId="74DA71C0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lastRenderedPageBreak/>
        <w:t xml:space="preserve">best practices, focusing on the OECD Principles, the U.S. Sarbanes-Oxley Act (SOX), and </w:t>
      </w:r>
    </w:p>
    <w:p w14:paraId="2BAC28A4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the UK Corporate Governance Code.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</w:t>
      </w:r>
    </w:p>
    <w:p w14:paraId="7507D51F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OECD Principles of Corporate Governance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</w:t>
      </w:r>
    </w:p>
    <w:p w14:paraId="2BAE4AA9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The OECD G20 Principles are an international benchmark, promoting: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BFA9D92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Clear and accountable governance arrangements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F8C3B1B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Protection of shareholders' rights, e.g., equitable treatment of all shareholders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74BAF76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Stakeholder awareness and cooperation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4A7F31F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Strong disclosure frameworks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D1A5EA7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Board responsibilities in guiding company direction and overseeing management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8A4679" w14:textId="40618466" w:rsidR="00FB6B73" w:rsidRPr="00FB6B73" w:rsidRDefault="00FB6B73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These tenets shape governance reforms in emerging markets like India.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 w:rsidR="005F2F87">
        <w:rPr>
          <w:rStyle w:val="FootnoteReference"/>
          <w:rFonts w:ascii="Times New Roman" w:hAnsi="Times New Roman" w:cs="Times New Roman"/>
          <w:b/>
          <w:bCs/>
          <w:sz w:val="24"/>
          <w:szCs w:val="24"/>
        </w:rPr>
        <w:footnoteReference w:id="14"/>
      </w:r>
    </w:p>
    <w:p w14:paraId="2EEC56D3" w14:textId="3BCB97C5" w:rsidR="00FB6B73" w:rsidRDefault="00FB6B73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Sarbanes-Oxley Act (USA)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</w:t>
      </w:r>
    </w:p>
    <w:p w14:paraId="315BC8EE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 xml:space="preserve">SOX was enacted in 2002 through high-profile cases to revive investor confidence. Its </w:t>
      </w:r>
    </w:p>
    <w:p w14:paraId="7F4BBAB9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features are: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457B7E12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Conservative financial disclosures and reports on internal control (Sections 302 and 404)</w:t>
      </w:r>
    </w:p>
    <w:p w14:paraId="7B42DC5F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Accountability of the executive by CEO/CFO certification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64A4CF4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Auditor independence to avoid conflict of interest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ED91E86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Protection of whistleblowers to encourage ethical reporting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C596F41" w14:textId="77777777" w:rsidR="00F93866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SOX is a rules-based framework, unlike the UK's principles-based approach.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</w:t>
      </w:r>
      <w:r w:rsidR="005F2F87">
        <w:rPr>
          <w:rStyle w:val="FootnoteReference"/>
          <w:rFonts w:ascii="Times New Roman" w:hAnsi="Times New Roman" w:cs="Times New Roman"/>
          <w:sz w:val="24"/>
          <w:szCs w:val="24"/>
        </w:rPr>
        <w:footnoteReference w:id="15"/>
      </w:r>
    </w:p>
    <w:p w14:paraId="492C3330" w14:textId="398B3412" w:rsidR="00FB6B73" w:rsidRPr="00F93866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UK Corporate Governance Code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</w:t>
      </w:r>
    </w:p>
    <w:p w14:paraId="4BBDF628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The UK Code has a principles-based "comply or explain" framework. It emphasizes:</w:t>
      </w:r>
    </w:p>
    <w:p w14:paraId="3C38EDA8" w14:textId="291CAA4C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Board leadership and purpose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B6B73">
        <w:rPr>
          <w:rFonts w:ascii="Times New Roman" w:hAnsi="Times New Roman" w:cs="Times New Roman"/>
          <w:sz w:val="24"/>
          <w:szCs w:val="24"/>
        </w:rPr>
        <w:t>Role separation between leadership and management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EDE2793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lastRenderedPageBreak/>
        <w:t>Board composition and succession planning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BED676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Risk oversight and internal control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D3B995D" w14:textId="77777777" w:rsidR="005F2F87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Remuneration linked to long-term value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6D59719" w14:textId="49362523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This framework leaves more space for flexibility while having high standards of governance.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</w:t>
      </w:r>
    </w:p>
    <w:p w14:paraId="0C015587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Comparison with India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</w:t>
      </w:r>
    </w:p>
    <w:p w14:paraId="3003B2CA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India's regulatory environment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FB6B73">
        <w:rPr>
          <w:rFonts w:ascii="Times New Roman" w:hAnsi="Times New Roman" w:cs="Times New Roman"/>
          <w:sz w:val="24"/>
          <w:szCs w:val="24"/>
        </w:rPr>
        <w:t xml:space="preserve">headed by the Companies Act, 2013 and SEBI's LODR </w:t>
      </w:r>
    </w:p>
    <w:p w14:paraId="0D9235B7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Regulations</w:t>
      </w:r>
      <w:r>
        <w:rPr>
          <w:rFonts w:ascii="Times New Roman" w:hAnsi="Times New Roman" w:cs="Times New Roman"/>
          <w:sz w:val="24"/>
          <w:szCs w:val="24"/>
        </w:rPr>
        <w:t xml:space="preserve"> - </w:t>
      </w:r>
      <w:r w:rsidRPr="00FB6B73">
        <w:rPr>
          <w:rFonts w:ascii="Times New Roman" w:hAnsi="Times New Roman" w:cs="Times New Roman"/>
          <w:sz w:val="24"/>
          <w:szCs w:val="24"/>
        </w:rPr>
        <w:t>combines rules-based discipline with evolving market practices.</w:t>
      </w:r>
      <w:r>
        <w:rPr>
          <w:rFonts w:ascii="Times New Roman" w:hAnsi="Times New Roman" w:cs="Times New Roman"/>
          <w:sz w:val="24"/>
          <w:szCs w:val="24"/>
        </w:rPr>
        <w:t xml:space="preserve">                </w:t>
      </w:r>
    </w:p>
    <w:p w14:paraId="64E684DA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Convergence with SOX:</w:t>
      </w:r>
      <w:r w:rsidRPr="00FB6B73">
        <w:rPr>
          <w:rFonts w:ascii="Times New Roman" w:hAnsi="Times New Roman" w:cs="Times New Roman"/>
          <w:sz w:val="24"/>
          <w:szCs w:val="24"/>
        </w:rPr>
        <w:t xml:space="preserve"> Emphasis on compliance and formal board organization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7A1691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Convergence with OECD:</w:t>
      </w:r>
      <w:r w:rsidRPr="00FB6B73">
        <w:rPr>
          <w:rFonts w:ascii="Times New Roman" w:hAnsi="Times New Roman" w:cs="Times New Roman"/>
          <w:sz w:val="24"/>
          <w:szCs w:val="24"/>
        </w:rPr>
        <w:t xml:space="preserve"> Standards for independent directors and stakeholder rights</w:t>
      </w:r>
    </w:p>
    <w:p w14:paraId="4912CE0B" w14:textId="77777777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b/>
          <w:bCs/>
          <w:sz w:val="24"/>
          <w:szCs w:val="24"/>
        </w:rPr>
        <w:t>Challenges:</w:t>
      </w:r>
      <w:r w:rsidRPr="00FB6B73">
        <w:rPr>
          <w:rFonts w:ascii="Times New Roman" w:hAnsi="Times New Roman" w:cs="Times New Roman"/>
          <w:sz w:val="24"/>
          <w:szCs w:val="24"/>
        </w:rPr>
        <w:t xml:space="preserve"> Gaps in board independence implementation, disclosures, and stakeholder </w:t>
      </w:r>
    </w:p>
    <w:p w14:paraId="139148E2" w14:textId="56997A41" w:rsidR="00FB6B73" w:rsidRDefault="00FB6B73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B6B73">
        <w:rPr>
          <w:rFonts w:ascii="Times New Roman" w:hAnsi="Times New Roman" w:cs="Times New Roman"/>
          <w:sz w:val="24"/>
          <w:szCs w:val="24"/>
        </w:rPr>
        <w:t>participation compared to developed markets</w:t>
      </w:r>
      <w:r w:rsidR="005F2F87">
        <w:rPr>
          <w:rStyle w:val="FootnoteReference"/>
          <w:rFonts w:ascii="Times New Roman" w:hAnsi="Times New Roman" w:cs="Times New Roman"/>
          <w:sz w:val="24"/>
          <w:szCs w:val="24"/>
        </w:rPr>
        <w:footnoteReference w:id="16"/>
      </w:r>
    </w:p>
    <w:p w14:paraId="57357D0C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2F87">
        <w:rPr>
          <w:rFonts w:ascii="Times New Roman" w:hAnsi="Times New Roman" w:cs="Times New Roman"/>
          <w:b/>
          <w:bCs/>
          <w:sz w:val="24"/>
          <w:szCs w:val="24"/>
        </w:rPr>
        <w:t>Strategic Advantages of Good Governance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</w:t>
      </w:r>
    </w:p>
    <w:p w14:paraId="553ECA1A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 xml:space="preserve">Good corporate governance is not only a regulatory mandate but a strategic advantage that </w:t>
      </w:r>
    </w:p>
    <w:p w14:paraId="70372E2D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 xml:space="preserve">ensures resilience, trust, and long-term growth. Based on valuable insights from recognized </w:t>
      </w:r>
    </w:p>
    <w:p w14:paraId="05A0A6E1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 xml:space="preserve">sources like NASSCOM, the International Finance Corporation (IFC), KPMG, and PwC, we </w:t>
      </w:r>
    </w:p>
    <w:p w14:paraId="23B15859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>discuss the varied benefits of strong governance practices.​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</w:p>
    <w:p w14:paraId="53A373E3" w14:textId="77777777" w:rsidR="005F2F87" w:rsidRPr="005F2F87" w:rsidRDefault="005F2F8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5F2F87">
        <w:rPr>
          <w:rFonts w:ascii="Times New Roman" w:hAnsi="Times New Roman" w:cs="Times New Roman"/>
          <w:b/>
          <w:bCs/>
          <w:sz w:val="24"/>
          <w:szCs w:val="24"/>
        </w:rPr>
        <w:t>Risk Mitigation</w:t>
      </w:r>
      <w:r w:rsidRPr="005F2F87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                        </w:t>
      </w:r>
    </w:p>
    <w:p w14:paraId="64B8625D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>Strong governance structures act as a shield against numerous organizational risks:</w:t>
      </w:r>
      <w:r>
        <w:rPr>
          <w:rFonts w:ascii="Times New Roman" w:hAnsi="Times New Roman" w:cs="Times New Roman"/>
          <w:sz w:val="24"/>
          <w:szCs w:val="24"/>
        </w:rPr>
        <w:t xml:space="preserve">           </w:t>
      </w:r>
    </w:p>
    <w:p w14:paraId="3D41E580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b/>
          <w:bCs/>
          <w:sz w:val="24"/>
          <w:szCs w:val="24"/>
        </w:rPr>
        <w:t>Fraud Prevention:</w:t>
      </w:r>
      <w:r w:rsidRPr="005F2F87">
        <w:rPr>
          <w:rFonts w:ascii="Times New Roman" w:hAnsi="Times New Roman" w:cs="Times New Roman"/>
          <w:sz w:val="24"/>
          <w:szCs w:val="24"/>
        </w:rPr>
        <w:t xml:space="preserve"> Strict internal controls and audit procedures decrease the probability of</w:t>
      </w:r>
    </w:p>
    <w:p w14:paraId="2FFB19F6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>fraudulent actions.​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</w:t>
      </w:r>
    </w:p>
    <w:p w14:paraId="0FBF17E4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b/>
          <w:bCs/>
          <w:sz w:val="24"/>
          <w:szCs w:val="24"/>
        </w:rPr>
        <w:t>Operational Resilience:</w:t>
      </w:r>
      <w:r w:rsidRPr="005F2F87">
        <w:rPr>
          <w:rFonts w:ascii="Times New Roman" w:hAnsi="Times New Roman" w:cs="Times New Roman"/>
          <w:sz w:val="24"/>
          <w:szCs w:val="24"/>
        </w:rPr>
        <w:t xml:space="preserve"> Effective reporting lines and responsibility frameworks guarantee </w:t>
      </w:r>
    </w:p>
    <w:p w14:paraId="23B07D21" w14:textId="77777777" w:rsidR="005F2F87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>quick reaction to disruptions in operations.​</w:t>
      </w:r>
    </w:p>
    <w:p w14:paraId="2A1E1AF5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b/>
          <w:bCs/>
          <w:sz w:val="24"/>
          <w:szCs w:val="24"/>
        </w:rPr>
        <w:t>Reputational Safeguard:</w:t>
      </w:r>
      <w:r w:rsidRPr="005F2F87">
        <w:rPr>
          <w:rFonts w:ascii="Times New Roman" w:hAnsi="Times New Roman" w:cs="Times New Roman"/>
          <w:sz w:val="24"/>
          <w:szCs w:val="24"/>
        </w:rPr>
        <w:t xml:space="preserve"> Ethical leadership and transparent practices defend the </w:t>
      </w:r>
    </w:p>
    <w:p w14:paraId="5D7D1B3C" w14:textId="2B1E4A53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lastRenderedPageBreak/>
        <w:t>organization's reputation in the public sphere.​</w:t>
      </w:r>
      <w:r w:rsidR="003043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</w:t>
      </w:r>
      <w:r w:rsidR="003043FF">
        <w:rPr>
          <w:rStyle w:val="FootnoteReference"/>
          <w:rFonts w:ascii="Times New Roman" w:hAnsi="Times New Roman" w:cs="Times New Roman"/>
          <w:sz w:val="24"/>
          <w:szCs w:val="24"/>
        </w:rPr>
        <w:footnoteReference w:id="17"/>
      </w:r>
    </w:p>
    <w:p w14:paraId="4863AFF4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43FF">
        <w:rPr>
          <w:rFonts w:ascii="Times New Roman" w:hAnsi="Times New Roman" w:cs="Times New Roman"/>
          <w:b/>
          <w:bCs/>
          <w:sz w:val="24"/>
          <w:szCs w:val="24"/>
        </w:rPr>
        <w:t>Long-Term Sustainability</w:t>
      </w:r>
      <w:r w:rsidR="003043F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        </w:t>
      </w:r>
    </w:p>
    <w:p w14:paraId="58F64329" w14:textId="77777777" w:rsidR="003043FF" w:rsidRPr="003043FF" w:rsidRDefault="005F2F87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043FF">
        <w:rPr>
          <w:rFonts w:ascii="Times New Roman" w:hAnsi="Times New Roman" w:cs="Times New Roman"/>
          <w:b/>
          <w:bCs/>
          <w:sz w:val="24"/>
          <w:szCs w:val="24"/>
        </w:rPr>
        <w:t>Governance frameworks support sustainable business practices:</w:t>
      </w:r>
      <w:r w:rsidR="003043FF" w:rsidRPr="003043FF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</w:t>
      </w:r>
    </w:p>
    <w:p w14:paraId="6A77C93D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043FF">
        <w:rPr>
          <w:rFonts w:ascii="Times New Roman" w:hAnsi="Times New Roman" w:cs="Times New Roman"/>
          <w:b/>
          <w:bCs/>
          <w:sz w:val="24"/>
          <w:szCs w:val="24"/>
        </w:rPr>
        <w:t>Ethical Decision-Making:</w:t>
      </w:r>
      <w:r w:rsidRPr="005F2F87">
        <w:rPr>
          <w:rFonts w:ascii="Times New Roman" w:hAnsi="Times New Roman" w:cs="Times New Roman"/>
          <w:sz w:val="24"/>
          <w:szCs w:val="24"/>
        </w:rPr>
        <w:t xml:space="preserve"> Strongly governed boards are likely to make decisions taking into </w:t>
      </w:r>
    </w:p>
    <w:p w14:paraId="772DF843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>account long-term consequences versus short-term benefits.</w:t>
      </w:r>
      <w:r w:rsidR="003043FF"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</w:p>
    <w:p w14:paraId="63648D56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043FF">
        <w:rPr>
          <w:rFonts w:ascii="Times New Roman" w:hAnsi="Times New Roman" w:cs="Times New Roman"/>
          <w:b/>
          <w:bCs/>
          <w:sz w:val="24"/>
          <w:szCs w:val="24"/>
        </w:rPr>
        <w:t>Stakeholder Trust:</w:t>
      </w:r>
      <w:r w:rsidRPr="005F2F87">
        <w:rPr>
          <w:rFonts w:ascii="Times New Roman" w:hAnsi="Times New Roman" w:cs="Times New Roman"/>
          <w:sz w:val="24"/>
          <w:szCs w:val="24"/>
        </w:rPr>
        <w:t xml:space="preserve"> Fair and consistent practices </w:t>
      </w:r>
      <w:r w:rsidR="003043FF" w:rsidRPr="005F2F87">
        <w:rPr>
          <w:rFonts w:ascii="Times New Roman" w:hAnsi="Times New Roman" w:cs="Times New Roman"/>
          <w:sz w:val="24"/>
          <w:szCs w:val="24"/>
        </w:rPr>
        <w:t>in still</w:t>
      </w:r>
      <w:r w:rsidRPr="005F2F87">
        <w:rPr>
          <w:rFonts w:ascii="Times New Roman" w:hAnsi="Times New Roman" w:cs="Times New Roman"/>
          <w:sz w:val="24"/>
          <w:szCs w:val="24"/>
        </w:rPr>
        <w:t xml:space="preserve"> trust in stakeholders, such as</w:t>
      </w:r>
    </w:p>
    <w:p w14:paraId="4A0DDF19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>investors, employees, and customers.</w:t>
      </w:r>
      <w:r w:rsidR="003043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</w:t>
      </w:r>
    </w:p>
    <w:p w14:paraId="27FB792E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3043FF">
        <w:rPr>
          <w:rFonts w:ascii="Times New Roman" w:hAnsi="Times New Roman" w:cs="Times New Roman"/>
          <w:b/>
          <w:bCs/>
          <w:sz w:val="24"/>
          <w:szCs w:val="24"/>
        </w:rPr>
        <w:t>Regulatory Compliance:</w:t>
      </w:r>
      <w:r w:rsidRPr="005F2F87">
        <w:rPr>
          <w:rFonts w:ascii="Times New Roman" w:hAnsi="Times New Roman" w:cs="Times New Roman"/>
          <w:sz w:val="24"/>
          <w:szCs w:val="24"/>
        </w:rPr>
        <w:t xml:space="preserve"> Complying with governance norms helps maintain adherence to </w:t>
      </w:r>
    </w:p>
    <w:p w14:paraId="67DAD045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>changing legal and environmental standards.</w:t>
      </w:r>
      <w:r w:rsidR="003043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</w:p>
    <w:p w14:paraId="2FC4F4A5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 xml:space="preserve">The World Bank highlights that effective environmental, social, and governance practices are </w:t>
      </w:r>
    </w:p>
    <w:p w14:paraId="7FEC7686" w14:textId="77777777" w:rsidR="003043FF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 xml:space="preserve">now an integral part of business activities, enhancing financial performance and </w:t>
      </w:r>
    </w:p>
    <w:p w14:paraId="67819E84" w14:textId="77777777" w:rsidR="00FE0812" w:rsidRDefault="005F2F87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F2F87">
        <w:rPr>
          <w:rFonts w:ascii="Times New Roman" w:hAnsi="Times New Roman" w:cs="Times New Roman"/>
          <w:sz w:val="24"/>
          <w:szCs w:val="24"/>
        </w:rPr>
        <w:t xml:space="preserve">competitiveness. </w:t>
      </w:r>
      <w:r w:rsidR="003043FF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="003043FF">
        <w:rPr>
          <w:rStyle w:val="FootnoteReference"/>
          <w:rFonts w:ascii="Times New Roman" w:hAnsi="Times New Roman" w:cs="Times New Roman"/>
          <w:sz w:val="24"/>
          <w:szCs w:val="24"/>
        </w:rPr>
        <w:footnoteReference w:id="18"/>
      </w:r>
      <w:r w:rsidR="00FE0812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="00FE0812" w:rsidRPr="00FE0812">
        <w:rPr>
          <w:rFonts w:ascii="Times New Roman" w:hAnsi="Times New Roman" w:cs="Times New Roman"/>
          <w:b/>
          <w:bCs/>
          <w:sz w:val="24"/>
          <w:szCs w:val="24"/>
        </w:rPr>
        <w:t>Strategic Value of Good Governance</w:t>
      </w:r>
      <w:r w:rsidR="00FE0812" w:rsidRPr="00FE081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   </w:t>
      </w:r>
    </w:p>
    <w:p w14:paraId="27DDB6D5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Good governance elevates a firm's international image through foreign investment attraction, </w:t>
      </w:r>
    </w:p>
    <w:p w14:paraId="627C55E1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enhanced market access, and the promotion of cross-border alliances. It cultivates investor </w:t>
      </w:r>
    </w:p>
    <w:p w14:paraId="73572B5C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confidence through minimized risks, promotes staff morale through ethical leadership and </w:t>
      </w:r>
    </w:p>
    <w:p w14:paraId="699879E4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transparent decision-making, and enhances talent retention. In addition, governance fosters </w:t>
      </w:r>
    </w:p>
    <w:p w14:paraId="3B3474E0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strategic alignment by allowing boards to steer long-term vision, track performance, and </w:t>
      </w:r>
    </w:p>
    <w:p w14:paraId="1DE9A236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shape up with evolving market forces. Research by KPMG and PwC identifies that strong </w:t>
      </w:r>
    </w:p>
    <w:p w14:paraId="5FEF8E33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governance not only reduces the cost of capital and enhances access to finance but also </w:t>
      </w:r>
    </w:p>
    <w:p w14:paraId="0C2F0689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lastRenderedPageBreak/>
        <w:t xml:space="preserve">harmonizes the </w:t>
      </w:r>
      <w:r w:rsidRPr="00FE0812">
        <w:rPr>
          <w:rFonts w:ascii="Times New Roman" w:hAnsi="Times New Roman" w:cs="Times New Roman"/>
          <w:sz w:val="24"/>
          <w:szCs w:val="24"/>
        </w:rPr>
        <w:t>behaviour</w:t>
      </w:r>
      <w:r w:rsidRPr="00FE0812">
        <w:rPr>
          <w:rFonts w:ascii="Times New Roman" w:hAnsi="Times New Roman" w:cs="Times New Roman"/>
          <w:sz w:val="24"/>
          <w:szCs w:val="24"/>
        </w:rPr>
        <w:t xml:space="preserve"> of employees with corporate purpose—ultimately leading to </w:t>
      </w:r>
    </w:p>
    <w:p w14:paraId="6DB0BFBD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>resilience, sustainability, and global competitiveness.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</w:t>
      </w:r>
    </w:p>
    <w:p w14:paraId="54AC0283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0812">
        <w:rPr>
          <w:rFonts w:ascii="Times New Roman" w:hAnsi="Times New Roman" w:cs="Times New Roman"/>
          <w:b/>
          <w:bCs/>
          <w:sz w:val="24"/>
          <w:szCs w:val="24"/>
        </w:rPr>
        <w:t>Challenges in Effective Corporate Governance Implementation in India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</w:t>
      </w:r>
    </w:p>
    <w:p w14:paraId="42C9DF8F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While India has a strong legal framework for corporate governance, its actual enforcement </w:t>
      </w:r>
    </w:p>
    <w:p w14:paraId="67A5408E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continues to remain a challenging issue. Regulatory arbitrage continues to be a persistent </w:t>
      </w:r>
    </w:p>
    <w:p w14:paraId="29AA55C9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problem, with firms using loopholes and redundancy provisions to avoid compliance. </w:t>
      </w:r>
    </w:p>
    <w:p w14:paraId="3CD86170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Dominance of promoters in most Indian companies further compromises governance </w:t>
      </w:r>
    </w:p>
    <w:p w14:paraId="41777870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integrity, with decision-making typically vested in a handful of people, undermining minority </w:t>
      </w:r>
    </w:p>
    <w:p w14:paraId="7B5675BB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shareholder rights. Moreover, the independent directors' role, as important in theory, is often </w:t>
      </w:r>
    </w:p>
    <w:p w14:paraId="06C11439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undermined in practice because of close relationships with management and lack of access to </w:t>
      </w:r>
    </w:p>
    <w:p w14:paraId="5F3F2C87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necessary information. Ineffective whistleblower systems also deter workers from reporting </w:t>
      </w:r>
    </w:p>
    <w:p w14:paraId="22233E8A" w14:textId="7470E53A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misconduct, enabling it to go unchecked. Most importantly, </w:t>
      </w:r>
      <w:r w:rsidR="00F93866" w:rsidRPr="00FE0812">
        <w:rPr>
          <w:rFonts w:ascii="Times New Roman" w:hAnsi="Times New Roman" w:cs="Times New Roman"/>
          <w:sz w:val="24"/>
          <w:szCs w:val="24"/>
        </w:rPr>
        <w:t>slow,</w:t>
      </w:r>
      <w:r w:rsidRPr="00FE0812">
        <w:rPr>
          <w:rFonts w:ascii="Times New Roman" w:hAnsi="Times New Roman" w:cs="Times New Roman"/>
          <w:sz w:val="24"/>
          <w:szCs w:val="24"/>
        </w:rPr>
        <w:t xml:space="preserve"> and uneven enforcement by </w:t>
      </w:r>
    </w:p>
    <w:p w14:paraId="014CA421" w14:textId="1C10494D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regulators </w:t>
      </w:r>
      <w:r w:rsidR="00F93866" w:rsidRPr="00FE0812">
        <w:rPr>
          <w:rFonts w:ascii="Times New Roman" w:hAnsi="Times New Roman" w:cs="Times New Roman"/>
          <w:sz w:val="24"/>
          <w:szCs w:val="24"/>
        </w:rPr>
        <w:t>diminish</w:t>
      </w:r>
      <w:r w:rsidRPr="00FE0812">
        <w:rPr>
          <w:rFonts w:ascii="Times New Roman" w:hAnsi="Times New Roman" w:cs="Times New Roman"/>
          <w:sz w:val="24"/>
          <w:szCs w:val="24"/>
        </w:rPr>
        <w:t xml:space="preserve"> the deterrent impact of corporate governance legislation, making </w:t>
      </w:r>
    </w:p>
    <w:p w14:paraId="05B85373" w14:textId="37D8CA64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>reforms on paper less effective in practice.</w:t>
      </w:r>
      <w:r w:rsidR="00F93866">
        <w:rPr>
          <w:rStyle w:val="FootnoteReference"/>
          <w:rFonts w:ascii="Times New Roman" w:hAnsi="Times New Roman" w:cs="Times New Roman"/>
          <w:sz w:val="24"/>
          <w:szCs w:val="24"/>
        </w:rPr>
        <w:footnoteReference w:id="19"/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14:paraId="4A66135F" w14:textId="77777777" w:rsidR="00FE0812" w:rsidRPr="00FE0812" w:rsidRDefault="00FE0812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E0812">
        <w:rPr>
          <w:rFonts w:ascii="Times New Roman" w:hAnsi="Times New Roman" w:cs="Times New Roman"/>
          <w:b/>
          <w:bCs/>
          <w:sz w:val="24"/>
          <w:szCs w:val="24"/>
        </w:rPr>
        <w:t>Recommendations and Way Forward</w:t>
      </w:r>
      <w:r w:rsidRPr="00FE0812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              </w:t>
      </w:r>
    </w:p>
    <w:p w14:paraId="6C69D6FA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To meet these needs, India should implement a multi-faceted approach to augment oversight </w:t>
      </w:r>
    </w:p>
    <w:p w14:paraId="64386EF7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as well as internal culture. One, enforcement of regulators must become prompt, systematic, </w:t>
      </w:r>
    </w:p>
    <w:p w14:paraId="50A0620B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and armed with technology like data analytics and AI for timely fraud detection. Two, </w:t>
      </w:r>
    </w:p>
    <w:p w14:paraId="6C77C28E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protection for whistleblowers needs to be enacted in new whistleblower protection legislation </w:t>
      </w:r>
    </w:p>
    <w:p w14:paraId="5E75DF32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guaranteeing anonymity, legal safety, and reward to those reporting corruption. </w:t>
      </w:r>
    </w:p>
    <w:p w14:paraId="0A760718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Institutionalizing regular third-party assessments of board performance can enhance </w:t>
      </w:r>
    </w:p>
    <w:p w14:paraId="70BF0C92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 xml:space="preserve">accountability and effectiveness. Moreover, increasing financial and ethical literacy among </w:t>
      </w:r>
    </w:p>
    <w:p w14:paraId="2929CF1A" w14:textId="77777777" w:rsidR="00FE0812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lastRenderedPageBreak/>
        <w:t xml:space="preserve">directors, particularly independent directors, can greatly enhance monitoring of sophisticated </w:t>
      </w:r>
    </w:p>
    <w:p w14:paraId="0D49E36C" w14:textId="77777777" w:rsidR="00F93866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>financial transactions. Lastly, harnessing technology-driven governance can enhance</w:t>
      </w:r>
    </w:p>
    <w:p w14:paraId="1454406C" w14:textId="5FEC74CE" w:rsidR="003043FF" w:rsidRDefault="00FE0812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E0812">
        <w:rPr>
          <w:rFonts w:ascii="Times New Roman" w:hAnsi="Times New Roman" w:cs="Times New Roman"/>
          <w:sz w:val="24"/>
          <w:szCs w:val="24"/>
        </w:rPr>
        <w:t>transparency, responsiveness, and trust in corporate mechanisms.</w:t>
      </w:r>
      <w:r w:rsidR="00F93866">
        <w:rPr>
          <w:rStyle w:val="FootnoteReference"/>
          <w:rFonts w:ascii="Times New Roman" w:hAnsi="Times New Roman" w:cs="Times New Roman"/>
          <w:sz w:val="24"/>
          <w:szCs w:val="24"/>
        </w:rPr>
        <w:footnoteReference w:id="20"/>
      </w:r>
    </w:p>
    <w:p w14:paraId="6A7A6A03" w14:textId="77777777" w:rsidR="00F93866" w:rsidRPr="00F93866" w:rsidRDefault="00F93866" w:rsidP="005123B7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93866">
        <w:rPr>
          <w:rFonts w:ascii="Times New Roman" w:hAnsi="Times New Roman" w:cs="Times New Roman"/>
          <w:b/>
          <w:bCs/>
          <w:sz w:val="24"/>
          <w:szCs w:val="24"/>
        </w:rPr>
        <w:t>Conclusion: From Compliance to Commitment</w:t>
      </w:r>
      <w:r w:rsidRPr="00F93866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          </w:t>
      </w:r>
    </w:p>
    <w:p w14:paraId="7E3B321D" w14:textId="77777777" w:rsidR="00F93866" w:rsidRDefault="00F93866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3866">
        <w:rPr>
          <w:rFonts w:ascii="Times New Roman" w:hAnsi="Times New Roman" w:cs="Times New Roman"/>
          <w:sz w:val="24"/>
          <w:szCs w:val="24"/>
        </w:rPr>
        <w:t xml:space="preserve">Indian corporate governance is evolving from a check-box formalism to a strategic </w:t>
      </w:r>
    </w:p>
    <w:p w14:paraId="20DC2A91" w14:textId="77777777" w:rsidR="00F93866" w:rsidRDefault="00F93866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3866">
        <w:rPr>
          <w:rFonts w:ascii="Times New Roman" w:hAnsi="Times New Roman" w:cs="Times New Roman"/>
          <w:sz w:val="24"/>
          <w:szCs w:val="24"/>
        </w:rPr>
        <w:t xml:space="preserve">imperative. Scandals such as Satyam and Adani demonstrate the enormous price of poor </w:t>
      </w:r>
    </w:p>
    <w:p w14:paraId="4251681F" w14:textId="77777777" w:rsidR="00F93866" w:rsidRDefault="00F93866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3866">
        <w:rPr>
          <w:rFonts w:ascii="Times New Roman" w:hAnsi="Times New Roman" w:cs="Times New Roman"/>
          <w:sz w:val="24"/>
          <w:szCs w:val="24"/>
        </w:rPr>
        <w:t xml:space="preserve">governance and the imperative for ethical leadership. Going ahead, India needs to adopt </w:t>
      </w:r>
    </w:p>
    <w:p w14:paraId="4E881024" w14:textId="77777777" w:rsidR="00F93866" w:rsidRDefault="00F93866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3866">
        <w:rPr>
          <w:rFonts w:ascii="Times New Roman" w:hAnsi="Times New Roman" w:cs="Times New Roman"/>
          <w:sz w:val="24"/>
          <w:szCs w:val="24"/>
        </w:rPr>
        <w:t xml:space="preserve">value-based governance based on transparency, robust regulation, technology integration, and </w:t>
      </w:r>
    </w:p>
    <w:p w14:paraId="32FC7B4B" w14:textId="77777777" w:rsidR="00F93866" w:rsidRDefault="00F93866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3866">
        <w:rPr>
          <w:rFonts w:ascii="Times New Roman" w:hAnsi="Times New Roman" w:cs="Times New Roman"/>
          <w:sz w:val="24"/>
          <w:szCs w:val="24"/>
        </w:rPr>
        <w:t xml:space="preserve">ESG alignment. In the end, it is a culture of accountability and constant improvement that </w:t>
      </w:r>
    </w:p>
    <w:p w14:paraId="2A1E2B6D" w14:textId="54E01117" w:rsidR="00F93866" w:rsidRPr="00FE0812" w:rsidRDefault="00F93866" w:rsidP="005123B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93866">
        <w:rPr>
          <w:rFonts w:ascii="Times New Roman" w:hAnsi="Times New Roman" w:cs="Times New Roman"/>
          <w:sz w:val="24"/>
          <w:szCs w:val="24"/>
        </w:rPr>
        <w:t>will make governance a strength, not merely a compliance requirement.</w:t>
      </w:r>
    </w:p>
    <w:sectPr w:rsidR="00F93866" w:rsidRPr="00FE081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FA406F" w14:textId="77777777" w:rsidR="002558AA" w:rsidRDefault="002558AA" w:rsidP="005123B7">
      <w:pPr>
        <w:spacing w:after="0" w:line="240" w:lineRule="auto"/>
      </w:pPr>
      <w:r>
        <w:separator/>
      </w:r>
    </w:p>
  </w:endnote>
  <w:endnote w:type="continuationSeparator" w:id="0">
    <w:p w14:paraId="681DC446" w14:textId="77777777" w:rsidR="002558AA" w:rsidRDefault="002558AA" w:rsidP="00512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E14ADB" w14:textId="77777777" w:rsidR="002558AA" w:rsidRDefault="002558AA" w:rsidP="005123B7">
      <w:pPr>
        <w:spacing w:after="0" w:line="240" w:lineRule="auto"/>
      </w:pPr>
      <w:r>
        <w:separator/>
      </w:r>
    </w:p>
  </w:footnote>
  <w:footnote w:type="continuationSeparator" w:id="0">
    <w:p w14:paraId="08974859" w14:textId="77777777" w:rsidR="002558AA" w:rsidRDefault="002558AA" w:rsidP="005123B7">
      <w:pPr>
        <w:spacing w:after="0" w:line="240" w:lineRule="auto"/>
      </w:pPr>
      <w:r>
        <w:continuationSeparator/>
      </w:r>
    </w:p>
  </w:footnote>
  <w:footnote w:id="1">
    <w:p w14:paraId="41D40334" w14:textId="7752A4AD" w:rsidR="005123B7" w:rsidRPr="005123B7" w:rsidRDefault="005123B7" w:rsidP="00F93866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59775B">
        <w:rPr>
          <w:rFonts w:ascii="Times New Roman" w:hAnsi="Times New Roman" w:cs="Times New Roman"/>
          <w:sz w:val="24"/>
          <w:szCs w:val="24"/>
        </w:rPr>
        <w:t>International Comparative Legal Guides, India: Corporate Governance Laws and Regulations 2024–2025</w:t>
      </w:r>
      <w:r>
        <w:t xml:space="preserve"> </w:t>
      </w:r>
    </w:p>
  </w:footnote>
  <w:footnote w:id="2">
    <w:p w14:paraId="4C077C1C" w14:textId="78C63ED5" w:rsidR="007537B2" w:rsidRPr="007537B2" w:rsidRDefault="007537B2">
      <w:pPr>
        <w:pStyle w:val="FootnoteText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59775B">
        <w:rPr>
          <w:rFonts w:ascii="Times New Roman" w:hAnsi="Times New Roman" w:cs="Times New Roman"/>
          <w:sz w:val="24"/>
          <w:szCs w:val="24"/>
        </w:rPr>
        <w:t>Companies Act, 2013, 149, 166, 173, 177, 178</w:t>
      </w:r>
    </w:p>
  </w:footnote>
  <w:footnote w:id="3">
    <w:p w14:paraId="0E515F9D" w14:textId="02E5AE6D" w:rsidR="0059775B" w:rsidRPr="0059775B" w:rsidRDefault="0059775B" w:rsidP="00F93866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59775B">
        <w:rPr>
          <w:rFonts w:ascii="Times New Roman" w:hAnsi="Times New Roman" w:cs="Times New Roman"/>
          <w:sz w:val="24"/>
          <w:szCs w:val="24"/>
        </w:rPr>
        <w:t>Securities and Exchange Board of India (Listing Obligations and Disclosure Requirements) Regulations, 201</w:t>
      </w:r>
      <w:r w:rsidRPr="0059775B">
        <w:rPr>
          <w:rFonts w:ascii="Times New Roman" w:hAnsi="Times New Roman" w:cs="Times New Roman"/>
          <w:sz w:val="24"/>
          <w:szCs w:val="24"/>
        </w:rPr>
        <w:t>5</w:t>
      </w:r>
    </w:p>
  </w:footnote>
  <w:footnote w:id="4">
    <w:p w14:paraId="09DFE079" w14:textId="4732005A" w:rsidR="0059775B" w:rsidRPr="0059775B" w:rsidRDefault="0059775B" w:rsidP="00F93866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7537B2">
        <w:rPr>
          <w:rFonts w:ascii="Times New Roman" w:hAnsi="Times New Roman" w:cs="Times New Roman"/>
          <w:sz w:val="24"/>
          <w:szCs w:val="24"/>
        </w:rPr>
        <w:t>Prerna, Role of SEBI in Corporate Governance, International Journal of Novel Research and Development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</w:footnote>
  <w:footnote w:id="5">
    <w:p w14:paraId="63FA70D3" w14:textId="2C7F0939" w:rsidR="00FF0348" w:rsidRPr="00FF0348" w:rsidRDefault="00FF0348" w:rsidP="00FF0348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FF0348">
        <w:rPr>
          <w:rFonts w:ascii="Times New Roman" w:hAnsi="Times New Roman" w:cs="Times New Roman"/>
          <w:sz w:val="24"/>
          <w:szCs w:val="24"/>
        </w:rPr>
        <w:t xml:space="preserve">International Comparative Legal Guides, Corporate Governance </w:t>
      </w:r>
      <w:proofErr w:type="gramStart"/>
      <w:r w:rsidRPr="00FF0348">
        <w:rPr>
          <w:rFonts w:ascii="Times New Roman" w:hAnsi="Times New Roman" w:cs="Times New Roman"/>
          <w:sz w:val="24"/>
          <w:szCs w:val="24"/>
        </w:rPr>
        <w:t>Laws</w:t>
      </w:r>
      <w:proofErr w:type="gramEnd"/>
      <w:r w:rsidRPr="00FF0348">
        <w:rPr>
          <w:rFonts w:ascii="Times New Roman" w:hAnsi="Times New Roman" w:cs="Times New Roman"/>
          <w:sz w:val="24"/>
          <w:szCs w:val="24"/>
        </w:rPr>
        <w:t xml:space="preserve"> and Regulations 2024: India, ICLG.com (2024).</w:t>
      </w:r>
    </w:p>
  </w:footnote>
  <w:footnote w:id="6">
    <w:p w14:paraId="5E02F320" w14:textId="7F44FF2A" w:rsidR="00FF0348" w:rsidRPr="00FF0348" w:rsidRDefault="00FF0348" w:rsidP="00FF0348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FF0348">
        <w:rPr>
          <w:rFonts w:ascii="Times New Roman" w:hAnsi="Times New Roman" w:cs="Times New Roman"/>
          <w:sz w:val="24"/>
          <w:szCs w:val="24"/>
        </w:rPr>
        <w:t>B.B. Kumar, SEBI’s New Regulations: Transforming Corporate Governance in India, LinkedIn Articles (2025).</w:t>
      </w:r>
    </w:p>
  </w:footnote>
  <w:footnote w:id="7">
    <w:p w14:paraId="11464424" w14:textId="0756F29B" w:rsidR="00385CE2" w:rsidRPr="00385CE2" w:rsidRDefault="00385CE2" w:rsidP="00F93866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385CE2">
        <w:rPr>
          <w:rFonts w:ascii="Times New Roman" w:hAnsi="Times New Roman" w:cs="Times New Roman"/>
          <w:sz w:val="24"/>
          <w:szCs w:val="24"/>
        </w:rPr>
        <w:t>R. Sethi, RBI directs banks to increase run-off rates on digital deposits, Reuters India (2025).</w:t>
      </w:r>
    </w:p>
  </w:footnote>
  <w:footnote w:id="8">
    <w:p w14:paraId="58AB9D52" w14:textId="71CF8D3E" w:rsidR="00385CE2" w:rsidRPr="00385CE2" w:rsidRDefault="00385CE2" w:rsidP="00F34E36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385CE2">
        <w:rPr>
          <w:rFonts w:ascii="Times New Roman" w:hAnsi="Times New Roman" w:cs="Times New Roman"/>
          <w:sz w:val="24"/>
          <w:szCs w:val="24"/>
        </w:rPr>
        <w:t>Ministry of Corporate Affairs, Parliamentary Response to Lok Sabha Unstarred Question No. 233 (2025)</w:t>
      </w:r>
    </w:p>
  </w:footnote>
  <w:footnote w:id="9">
    <w:p w14:paraId="710F012B" w14:textId="05AC51B2" w:rsidR="00F34E36" w:rsidRPr="00F34E36" w:rsidRDefault="00F34E36" w:rsidP="00F34E36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F34E36">
        <w:rPr>
          <w:rFonts w:ascii="Times New Roman" w:hAnsi="Times New Roman" w:cs="Times New Roman"/>
          <w:sz w:val="24"/>
          <w:szCs w:val="24"/>
        </w:rPr>
        <w:t>Satyam Scam: Case Study of the Satyam Fraud Case, 5paisa (2025).</w:t>
      </w:r>
    </w:p>
  </w:footnote>
  <w:footnote w:id="10">
    <w:p w14:paraId="7D40FDB4" w14:textId="79BBE8C4" w:rsidR="00F34E36" w:rsidRPr="00F34E36" w:rsidRDefault="00F34E36" w:rsidP="00FB6B73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F34E36">
        <w:rPr>
          <w:rFonts w:ascii="Times New Roman" w:hAnsi="Times New Roman" w:cs="Times New Roman"/>
          <w:sz w:val="24"/>
          <w:szCs w:val="24"/>
        </w:rPr>
        <w:t>The IL&amp;FS Scandal of 2018 – Unveiling Corporate Governance Failures and Financial Mismanagement, Nobel Online (2025).</w:t>
      </w:r>
    </w:p>
  </w:footnote>
  <w:footnote w:id="11">
    <w:p w14:paraId="6CF4C333" w14:textId="7231CD83" w:rsidR="00FB6B73" w:rsidRPr="00FB6B73" w:rsidRDefault="00FB6B73" w:rsidP="00FB6B73">
      <w:pPr>
        <w:pStyle w:val="FootnoteText"/>
        <w:spacing w:line="360" w:lineRule="auto"/>
        <w:rPr>
          <w:lang w:val="en-US"/>
        </w:rPr>
      </w:pPr>
      <w:r>
        <w:rPr>
          <w:rStyle w:val="FootnoteReference"/>
        </w:rPr>
        <w:footnoteRef/>
      </w:r>
      <w:r>
        <w:t xml:space="preserve"> </w:t>
      </w:r>
      <w:proofErr w:type="gramStart"/>
      <w:r w:rsidRPr="00FB6B73">
        <w:rPr>
          <w:rFonts w:ascii="Times New Roman" w:hAnsi="Times New Roman" w:cs="Times New Roman"/>
          <w:sz w:val="24"/>
          <w:szCs w:val="24"/>
        </w:rPr>
        <w:t>Yes</w:t>
      </w:r>
      <w:proofErr w:type="gramEnd"/>
      <w:r w:rsidRPr="00FB6B73">
        <w:rPr>
          <w:rFonts w:ascii="Times New Roman" w:hAnsi="Times New Roman" w:cs="Times New Roman"/>
          <w:sz w:val="24"/>
          <w:szCs w:val="24"/>
        </w:rPr>
        <w:t xml:space="preserve"> Bank Crisis (2020) – Corporate Governance and Financial Mismanagement Issues, Lawful Legal (2025).</w:t>
      </w:r>
    </w:p>
  </w:footnote>
  <w:footnote w:id="12">
    <w:p w14:paraId="7FCDA96C" w14:textId="666CE44E" w:rsidR="00FB6B73" w:rsidRPr="00FB6B73" w:rsidRDefault="00FB6B73" w:rsidP="00FB6B73">
      <w:pPr>
        <w:pStyle w:val="FootnoteTex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Style w:val="FootnoteReference"/>
        </w:rPr>
        <w:footnoteRef/>
      </w:r>
      <w:r>
        <w:t xml:space="preserve"> </w:t>
      </w:r>
      <w:r w:rsidRPr="00FB6B73">
        <w:rPr>
          <w:rFonts w:ascii="Times New Roman" w:hAnsi="Times New Roman" w:cs="Times New Roman"/>
          <w:sz w:val="24"/>
          <w:szCs w:val="24"/>
        </w:rPr>
        <w:t>Adani’s Bribery Scandal Raises Concern on Market, Public Disclosure Lapses, Reuters (2025).</w:t>
      </w:r>
    </w:p>
  </w:footnote>
  <w:footnote w:id="13">
    <w:p w14:paraId="47816F60" w14:textId="771EEC8F" w:rsidR="00FB6B73" w:rsidRPr="00FB6B73" w:rsidRDefault="00FB6B73" w:rsidP="00FB6B73">
      <w:pPr>
        <w:pStyle w:val="FootnoteText"/>
        <w:spacing w:line="360" w:lineRule="auto"/>
        <w:rPr>
          <w:lang w:val="en-US"/>
        </w:rPr>
      </w:pPr>
      <w:r w:rsidRPr="00FB6B73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FB6B73">
        <w:rPr>
          <w:rFonts w:ascii="Times New Roman" w:hAnsi="Times New Roman" w:cs="Times New Roman"/>
          <w:sz w:val="24"/>
          <w:szCs w:val="24"/>
        </w:rPr>
        <w:t xml:space="preserve"> </w:t>
      </w:r>
      <w:r w:rsidRPr="00FB6B73">
        <w:rPr>
          <w:rFonts w:ascii="Times New Roman" w:hAnsi="Times New Roman" w:cs="Times New Roman"/>
          <w:sz w:val="24"/>
          <w:szCs w:val="24"/>
        </w:rPr>
        <w:t>India’s BluSmart Appoints Grant Thornton for a Forensic Audit, Reuters (2025).</w:t>
      </w:r>
    </w:p>
  </w:footnote>
  <w:footnote w:id="14">
    <w:p w14:paraId="78210881" w14:textId="283F4192" w:rsidR="005F2F87" w:rsidRPr="00F93866" w:rsidRDefault="005F2F87" w:rsidP="005F2F87">
      <w:pPr>
        <w:pStyle w:val="FootnoteTex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93866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F93866">
        <w:rPr>
          <w:rFonts w:ascii="Times New Roman" w:hAnsi="Times New Roman" w:cs="Times New Roman"/>
          <w:sz w:val="24"/>
          <w:szCs w:val="24"/>
        </w:rPr>
        <w:t xml:space="preserve"> </w:t>
      </w:r>
      <w:r w:rsidRPr="00F93866">
        <w:rPr>
          <w:rFonts w:ascii="Times New Roman" w:hAnsi="Times New Roman" w:cs="Times New Roman"/>
          <w:sz w:val="24"/>
          <w:szCs w:val="24"/>
        </w:rPr>
        <w:t>OECD, G20/OECD Principles of Corporate Governance 2023 (2025).</w:t>
      </w:r>
    </w:p>
  </w:footnote>
  <w:footnote w:id="15">
    <w:p w14:paraId="1FC55A1C" w14:textId="54913A03" w:rsidR="005F2F87" w:rsidRPr="005F2F87" w:rsidRDefault="005F2F87" w:rsidP="005F2F87">
      <w:pPr>
        <w:pStyle w:val="FootnoteText"/>
        <w:spacing w:line="360" w:lineRule="auto"/>
        <w:rPr>
          <w:lang w:val="en-US"/>
        </w:rPr>
      </w:pPr>
      <w:r w:rsidRPr="00F93866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F938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F93866">
        <w:rPr>
          <w:rFonts w:ascii="Times New Roman" w:hAnsi="Times New Roman" w:cs="Times New Roman"/>
          <w:sz w:val="24"/>
          <w:szCs w:val="24"/>
        </w:rPr>
        <w:t>AuditBoard</w:t>
      </w:r>
      <w:proofErr w:type="spellEnd"/>
      <w:r w:rsidRPr="00F93866">
        <w:rPr>
          <w:rFonts w:ascii="Times New Roman" w:hAnsi="Times New Roman" w:cs="Times New Roman"/>
          <w:sz w:val="24"/>
          <w:szCs w:val="24"/>
        </w:rPr>
        <w:t>, The Sarbanes-Oxley Act: A Comprehensive Overview (2025).</w:t>
      </w:r>
    </w:p>
  </w:footnote>
  <w:footnote w:id="16">
    <w:p w14:paraId="58F3FF1B" w14:textId="491E2F47" w:rsidR="005F2F87" w:rsidRPr="005F2F87" w:rsidRDefault="005F2F87">
      <w:pPr>
        <w:pStyle w:val="FootnoteText"/>
        <w:rPr>
          <w:rFonts w:ascii="Times New Roman" w:hAnsi="Times New Roman" w:cs="Times New Roman"/>
          <w:sz w:val="24"/>
          <w:szCs w:val="24"/>
          <w:lang w:val="en-US"/>
        </w:rPr>
      </w:pPr>
      <w:r w:rsidRPr="005F2F87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5F2F87">
        <w:rPr>
          <w:rFonts w:ascii="Times New Roman" w:hAnsi="Times New Roman" w:cs="Times New Roman"/>
          <w:sz w:val="24"/>
          <w:szCs w:val="24"/>
        </w:rPr>
        <w:t xml:space="preserve"> </w:t>
      </w:r>
      <w:r w:rsidRPr="00F93866">
        <w:rPr>
          <w:rFonts w:ascii="Times New Roman" w:hAnsi="Times New Roman" w:cs="Times New Roman"/>
          <w:sz w:val="24"/>
          <w:szCs w:val="24"/>
        </w:rPr>
        <w:t>KPMG, Corporate Governance in India and the UK: A Regulatory Contrast (2025).</w:t>
      </w:r>
    </w:p>
  </w:footnote>
  <w:footnote w:id="17">
    <w:p w14:paraId="44160E9F" w14:textId="001C545B" w:rsidR="003043FF" w:rsidRPr="00FE0812" w:rsidRDefault="003043FF" w:rsidP="003043FF">
      <w:pPr>
        <w:pStyle w:val="FootnoteTex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3043FF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3043FF">
        <w:rPr>
          <w:rFonts w:ascii="Times New Roman" w:hAnsi="Times New Roman" w:cs="Times New Roman"/>
          <w:sz w:val="24"/>
          <w:szCs w:val="24"/>
        </w:rPr>
        <w:t xml:space="preserve"> </w:t>
      </w:r>
      <w:r w:rsidRPr="00FE0812">
        <w:rPr>
          <w:rFonts w:ascii="Times New Roman" w:hAnsi="Times New Roman" w:cs="Times New Roman"/>
          <w:sz w:val="24"/>
          <w:szCs w:val="24"/>
        </w:rPr>
        <w:t>IFC, IFC ESG Guidebook: Tools and Resources to Implement Environmental and Social Practices in Investment Operations, International Finance Corporation (2022).</w:t>
      </w:r>
    </w:p>
  </w:footnote>
  <w:footnote w:id="18">
    <w:p w14:paraId="5AD89EE1" w14:textId="50FB8994" w:rsidR="003043FF" w:rsidRPr="003043FF" w:rsidRDefault="003043FF" w:rsidP="003043FF">
      <w:pPr>
        <w:pStyle w:val="FootnoteText"/>
        <w:spacing w:line="360" w:lineRule="auto"/>
        <w:rPr>
          <w:lang w:val="en-US"/>
        </w:rPr>
      </w:pPr>
      <w:r w:rsidRPr="00FE0812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FE0812">
        <w:rPr>
          <w:rFonts w:ascii="Times New Roman" w:hAnsi="Times New Roman" w:cs="Times New Roman"/>
          <w:sz w:val="24"/>
          <w:szCs w:val="24"/>
        </w:rPr>
        <w:t xml:space="preserve"> </w:t>
      </w:r>
      <w:r w:rsidRPr="00FE0812">
        <w:rPr>
          <w:rFonts w:ascii="Times New Roman" w:hAnsi="Times New Roman" w:cs="Times New Roman"/>
          <w:sz w:val="24"/>
          <w:szCs w:val="24"/>
        </w:rPr>
        <w:t>World Bank, Environmental, Social and Governance Standards: A Business Imperative for Sustainability and Growth, World Bank Group (2022).</w:t>
      </w:r>
    </w:p>
  </w:footnote>
  <w:footnote w:id="19">
    <w:p w14:paraId="12D939BE" w14:textId="425AB6D1" w:rsidR="00F93866" w:rsidRPr="00F93866" w:rsidRDefault="00F93866" w:rsidP="00F93866">
      <w:pPr>
        <w:pStyle w:val="FootnoteTex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93866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F93866">
        <w:rPr>
          <w:rFonts w:ascii="Times New Roman" w:hAnsi="Times New Roman" w:cs="Times New Roman"/>
          <w:sz w:val="24"/>
          <w:szCs w:val="24"/>
        </w:rPr>
        <w:t xml:space="preserve"> </w:t>
      </w:r>
      <w:r w:rsidRPr="00F93866">
        <w:rPr>
          <w:rFonts w:ascii="Times New Roman" w:hAnsi="Times New Roman" w:cs="Times New Roman"/>
          <w:sz w:val="24"/>
          <w:szCs w:val="24"/>
        </w:rPr>
        <w:t>SEBI, Consultative Paper on Review of Corporate Governance Norms in India, Securities and Exchange Board of India (2013).</w:t>
      </w:r>
    </w:p>
  </w:footnote>
  <w:footnote w:id="20">
    <w:p w14:paraId="27BAA352" w14:textId="2ACE4EB3" w:rsidR="00F93866" w:rsidRPr="00F93866" w:rsidRDefault="00F93866" w:rsidP="00F93866">
      <w:pPr>
        <w:pStyle w:val="FootnoteText"/>
        <w:spacing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F93866">
        <w:rPr>
          <w:rStyle w:val="FootnoteReference"/>
          <w:rFonts w:ascii="Times New Roman" w:hAnsi="Times New Roman" w:cs="Times New Roman"/>
          <w:sz w:val="24"/>
          <w:szCs w:val="24"/>
        </w:rPr>
        <w:footnoteRef/>
      </w:r>
      <w:r w:rsidRPr="00F93866">
        <w:rPr>
          <w:rFonts w:ascii="Times New Roman" w:hAnsi="Times New Roman" w:cs="Times New Roman"/>
          <w:sz w:val="24"/>
          <w:szCs w:val="24"/>
        </w:rPr>
        <w:t xml:space="preserve"> </w:t>
      </w:r>
      <w:r w:rsidRPr="00F93866">
        <w:rPr>
          <w:rFonts w:ascii="Times New Roman" w:hAnsi="Times New Roman" w:cs="Times New Roman"/>
          <w:sz w:val="24"/>
          <w:szCs w:val="24"/>
        </w:rPr>
        <w:t xml:space="preserve">World Economic Forum, The Global Public Impact of </w:t>
      </w:r>
      <w:proofErr w:type="spellStart"/>
      <w:r w:rsidRPr="00F93866">
        <w:rPr>
          <w:rFonts w:ascii="Times New Roman" w:hAnsi="Times New Roman" w:cs="Times New Roman"/>
          <w:sz w:val="24"/>
          <w:szCs w:val="24"/>
        </w:rPr>
        <w:t>GovTech</w:t>
      </w:r>
      <w:proofErr w:type="spellEnd"/>
      <w:r w:rsidRPr="00F93866">
        <w:rPr>
          <w:rFonts w:ascii="Times New Roman" w:hAnsi="Times New Roman" w:cs="Times New Roman"/>
          <w:sz w:val="24"/>
          <w:szCs w:val="24"/>
        </w:rPr>
        <w:t>: A $9.8 Trillion Opportunity, World Economic Forum (2025).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9D7B6B"/>
    <w:multiLevelType w:val="multilevel"/>
    <w:tmpl w:val="326CCB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B904869"/>
    <w:multiLevelType w:val="multilevel"/>
    <w:tmpl w:val="4DC28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2715647">
    <w:abstractNumId w:val="1"/>
  </w:num>
  <w:num w:numId="2" w16cid:durableId="6811326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6358"/>
    <w:rsid w:val="002558AA"/>
    <w:rsid w:val="002915C4"/>
    <w:rsid w:val="003043FF"/>
    <w:rsid w:val="00385CE2"/>
    <w:rsid w:val="003A7DC4"/>
    <w:rsid w:val="00442D75"/>
    <w:rsid w:val="005123B7"/>
    <w:rsid w:val="0059775B"/>
    <w:rsid w:val="005F2F87"/>
    <w:rsid w:val="006B21F0"/>
    <w:rsid w:val="007537B2"/>
    <w:rsid w:val="00755858"/>
    <w:rsid w:val="008D7A8B"/>
    <w:rsid w:val="00AD6316"/>
    <w:rsid w:val="00E16358"/>
    <w:rsid w:val="00E5119B"/>
    <w:rsid w:val="00F34E36"/>
    <w:rsid w:val="00F93866"/>
    <w:rsid w:val="00FB6B73"/>
    <w:rsid w:val="00FE0812"/>
    <w:rsid w:val="00FF0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99698"/>
  <w15:chartTrackingRefBased/>
  <w15:docId w15:val="{CC5A844E-AA7A-4930-B1C6-96BA493F7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bidi="mr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E163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163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163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63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63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635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635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635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635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6358"/>
    <w:rPr>
      <w:rFonts w:asciiTheme="majorHAnsi" w:eastAsiaTheme="majorEastAsia" w:hAnsiTheme="majorHAnsi" w:cstheme="majorBidi"/>
      <w:color w:val="2F5496" w:themeColor="accent1" w:themeShade="BF"/>
      <w:sz w:val="40"/>
      <w:szCs w:val="36"/>
      <w:lang w:bidi="mr-IN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16358"/>
    <w:rPr>
      <w:rFonts w:asciiTheme="majorHAnsi" w:eastAsiaTheme="majorEastAsia" w:hAnsiTheme="majorHAnsi" w:cstheme="majorBidi"/>
      <w:color w:val="2F5496" w:themeColor="accent1" w:themeShade="BF"/>
      <w:sz w:val="32"/>
      <w:szCs w:val="29"/>
      <w:lang w:bidi="mr-I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16358"/>
    <w:rPr>
      <w:rFonts w:eastAsiaTheme="majorEastAsia" w:cstheme="majorBidi"/>
      <w:color w:val="2F5496" w:themeColor="accent1" w:themeShade="BF"/>
      <w:sz w:val="28"/>
      <w:szCs w:val="25"/>
      <w:lang w:bidi="mr-I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6358"/>
    <w:rPr>
      <w:rFonts w:eastAsiaTheme="majorEastAsia" w:cstheme="majorBidi"/>
      <w:i/>
      <w:iCs/>
      <w:color w:val="2F5496" w:themeColor="accent1" w:themeShade="BF"/>
      <w:szCs w:val="20"/>
      <w:lang w:bidi="mr-IN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6358"/>
    <w:rPr>
      <w:rFonts w:eastAsiaTheme="majorEastAsia" w:cstheme="majorBidi"/>
      <w:color w:val="2F5496" w:themeColor="accent1" w:themeShade="BF"/>
      <w:szCs w:val="20"/>
      <w:lang w:bidi="mr-I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6358"/>
    <w:rPr>
      <w:rFonts w:eastAsiaTheme="majorEastAsia" w:cstheme="majorBidi"/>
      <w:i/>
      <w:iCs/>
      <w:color w:val="595959" w:themeColor="text1" w:themeTint="A6"/>
      <w:szCs w:val="20"/>
      <w:lang w:bidi="mr-I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6358"/>
    <w:rPr>
      <w:rFonts w:eastAsiaTheme="majorEastAsia" w:cstheme="majorBidi"/>
      <w:color w:val="595959" w:themeColor="text1" w:themeTint="A6"/>
      <w:szCs w:val="20"/>
      <w:lang w:bidi="mr-IN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6358"/>
    <w:rPr>
      <w:rFonts w:eastAsiaTheme="majorEastAsia" w:cstheme="majorBidi"/>
      <w:i/>
      <w:iCs/>
      <w:color w:val="272727" w:themeColor="text1" w:themeTint="D8"/>
      <w:szCs w:val="20"/>
      <w:lang w:bidi="mr-I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6358"/>
    <w:rPr>
      <w:rFonts w:eastAsiaTheme="majorEastAsia" w:cstheme="majorBidi"/>
      <w:color w:val="272727" w:themeColor="text1" w:themeTint="D8"/>
      <w:szCs w:val="20"/>
      <w:lang w:bidi="mr-IN"/>
    </w:rPr>
  </w:style>
  <w:style w:type="paragraph" w:styleId="Title">
    <w:name w:val="Title"/>
    <w:basedOn w:val="Normal"/>
    <w:next w:val="Normal"/>
    <w:link w:val="TitleChar"/>
    <w:uiPriority w:val="10"/>
    <w:qFormat/>
    <w:rsid w:val="00E1635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E16358"/>
    <w:rPr>
      <w:rFonts w:asciiTheme="majorHAnsi" w:eastAsiaTheme="majorEastAsia" w:hAnsiTheme="majorHAnsi" w:cstheme="majorBidi"/>
      <w:spacing w:val="-10"/>
      <w:kern w:val="28"/>
      <w:sz w:val="56"/>
      <w:szCs w:val="50"/>
      <w:lang w:bidi="mr-IN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635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E16358"/>
    <w:rPr>
      <w:rFonts w:eastAsiaTheme="majorEastAsia" w:cstheme="majorBidi"/>
      <w:color w:val="595959" w:themeColor="text1" w:themeTint="A6"/>
      <w:spacing w:val="15"/>
      <w:sz w:val="28"/>
      <w:szCs w:val="25"/>
      <w:lang w:bidi="mr-IN"/>
    </w:rPr>
  </w:style>
  <w:style w:type="paragraph" w:styleId="Quote">
    <w:name w:val="Quote"/>
    <w:basedOn w:val="Normal"/>
    <w:next w:val="Normal"/>
    <w:link w:val="QuoteChar"/>
    <w:uiPriority w:val="29"/>
    <w:qFormat/>
    <w:rsid w:val="00E16358"/>
    <w:pPr>
      <w:spacing w:before="160"/>
      <w:jc w:val="center"/>
    </w:pPr>
    <w:rPr>
      <w:i/>
      <w:iCs/>
      <w:color w:val="404040" w:themeColor="text1" w:themeTint="BF"/>
      <w:szCs w:val="20"/>
    </w:rPr>
  </w:style>
  <w:style w:type="character" w:customStyle="1" w:styleId="QuoteChar">
    <w:name w:val="Quote Char"/>
    <w:basedOn w:val="DefaultParagraphFont"/>
    <w:link w:val="Quote"/>
    <w:uiPriority w:val="29"/>
    <w:rsid w:val="00E16358"/>
    <w:rPr>
      <w:i/>
      <w:iCs/>
      <w:color w:val="404040" w:themeColor="text1" w:themeTint="BF"/>
      <w:szCs w:val="20"/>
      <w:lang w:bidi="mr-IN"/>
    </w:rPr>
  </w:style>
  <w:style w:type="paragraph" w:styleId="ListParagraph">
    <w:name w:val="List Paragraph"/>
    <w:basedOn w:val="Normal"/>
    <w:uiPriority w:val="34"/>
    <w:qFormat/>
    <w:rsid w:val="00E16358"/>
    <w:pPr>
      <w:ind w:left="720"/>
      <w:contextualSpacing/>
    </w:pPr>
    <w:rPr>
      <w:szCs w:val="20"/>
    </w:rPr>
  </w:style>
  <w:style w:type="character" w:styleId="IntenseEmphasis">
    <w:name w:val="Intense Emphasis"/>
    <w:basedOn w:val="DefaultParagraphFont"/>
    <w:uiPriority w:val="21"/>
    <w:qFormat/>
    <w:rsid w:val="00E163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63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szCs w:val="2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6358"/>
    <w:rPr>
      <w:i/>
      <w:iCs/>
      <w:color w:val="2F5496" w:themeColor="accent1" w:themeShade="BF"/>
      <w:szCs w:val="20"/>
      <w:lang w:bidi="mr-IN"/>
    </w:rPr>
  </w:style>
  <w:style w:type="character" w:styleId="IntenseReference">
    <w:name w:val="Intense Reference"/>
    <w:basedOn w:val="DefaultParagraphFont"/>
    <w:uiPriority w:val="32"/>
    <w:qFormat/>
    <w:rsid w:val="00E16358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5123B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123B7"/>
    <w:rPr>
      <w:color w:val="605E5C"/>
      <w:shd w:val="clear" w:color="auto" w:fill="E1DFDD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123B7"/>
    <w:pPr>
      <w:spacing w:after="0" w:line="240" w:lineRule="auto"/>
    </w:pPr>
    <w:rPr>
      <w:sz w:val="20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123B7"/>
    <w:rPr>
      <w:sz w:val="20"/>
      <w:szCs w:val="18"/>
      <w:lang w:bidi="mr-IN"/>
    </w:rPr>
  </w:style>
  <w:style w:type="character" w:styleId="FootnoteReference">
    <w:name w:val="footnote reference"/>
    <w:basedOn w:val="DefaultParagraphFont"/>
    <w:uiPriority w:val="99"/>
    <w:semiHidden/>
    <w:unhideWhenUsed/>
    <w:rsid w:val="005123B7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101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8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75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42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68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60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4BA53C-1733-4B13-B714-4402BFAEB3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15</Pages>
  <Words>3714</Words>
  <Characters>21172</Characters>
  <Application>Microsoft Office Word</Application>
  <DocSecurity>0</DocSecurity>
  <Lines>176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Saniya Lanjekar</dc:creator>
  <cp:keywords/>
  <dc:description/>
  <cp:lastModifiedBy>Saniya Lanjekar</cp:lastModifiedBy>
  <cp:revision>1</cp:revision>
  <dcterms:created xsi:type="dcterms:W3CDTF">2025-04-25T15:34:00Z</dcterms:created>
  <dcterms:modified xsi:type="dcterms:W3CDTF">2025-04-25T16:59:00Z</dcterms:modified>
</cp:coreProperties>
</file>