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default" w:ascii="Times New Roman" w:hAnsi="Times New Roman" w:eastAsia="Times New Roman" w:cs="Times New Roman"/>
          <w:i w:val="0"/>
          <w:smallCaps w:val="0"/>
          <w:color w:val="0D0D0D"/>
          <w:highlight w:val="white"/>
        </w:rPr>
      </w:pPr>
      <w:r>
        <w:rPr>
          <w:rFonts w:hint="default" w:ascii="Times New Roman" w:hAnsi="Times New Roman" w:eastAsia="Times New Roman" w:cs="Times New Roman"/>
          <w:b/>
          <w:rtl w:val="0"/>
        </w:rPr>
        <w:t xml:space="preserve">TOPIC :-  Recognition of Privacy as a Fundamental Right in India </w:t>
      </w:r>
    </w:p>
    <w:p>
      <w:pPr>
        <w:spacing w:line="360" w:lineRule="auto"/>
        <w:rPr>
          <w:rFonts w:hint="default" w:ascii="Times New Roman" w:hAnsi="Times New Roman" w:eastAsia="Times New Roman" w:cs="Times New Roman"/>
          <w:i w:val="0"/>
          <w:smallCaps w:val="0"/>
          <w:color w:val="0D0D0D"/>
          <w:highlight w:val="white"/>
        </w:rPr>
      </w:pPr>
    </w:p>
    <w:p>
      <w:pPr>
        <w:spacing w:line="360" w:lineRule="auto"/>
        <w:jc w:val="both"/>
        <w:rPr>
          <w:rFonts w:hint="default" w:ascii="Times New Roman" w:hAnsi="Times New Roman" w:eastAsia="Times New Roman" w:cs="Times New Roman"/>
          <w:i w:val="0"/>
          <w:smallCaps w:val="0"/>
          <w:color w:val="0D0D0D"/>
          <w:highlight w:val="white"/>
        </w:rPr>
      </w:pPr>
      <w:r>
        <w:rPr>
          <w:rFonts w:hint="default" w:ascii="Times New Roman" w:hAnsi="Times New Roman" w:eastAsia="Times New Roman" w:cs="Times New Roman"/>
          <w:i w:val="0"/>
          <w:smallCaps w:val="0"/>
          <w:color w:val="0D0D0D"/>
          <w:highlight w:val="white"/>
          <w:rtl w:val="0"/>
        </w:rPr>
        <w:t>This article meticulously examines the evolution and “recognition of the right to privacy as a fundamental right within the Indian” legal framework. It commences via defining the concept of privacy  and scrutinizing its historical and jurisprudential trajectory, highlighting seminal Supreme Court judgments which have shaped its legal standing.The discourse then transitions to the fundamental rights enshrined in the Indian Constitution, elucidating their provenance, significance, and enforceability. The article accentuates the pivotal 2017 Supreme Court ruling in Justice K.S. Puttaswamy v. Union of India, which unequivocally affirmed the right to privacy as a fundamental right enshrined underneath Articles 14, 19, and 21 of the Constitution. Furthermore, it significantly analyzes worldwide covenants upholding privacy rights and addresses contemporary challenges posed by means of technological advancements. The research underscores the imperative of recognizing privacy as a fundamental right to protect individual liberties and ensure legal accountability, concluding with the profound jurisprudential and constitutional implications of the Puttaswamy verdict on India's legal landscape.</w:t>
      </w:r>
    </w:p>
    <w:p>
      <w:pPr>
        <w:spacing w:line="360" w:lineRule="auto"/>
        <w:jc w:val="both"/>
        <w:rPr>
          <w:rFonts w:hint="default" w:ascii="Times New Roman" w:hAnsi="Times New Roman" w:eastAsia="Times New Roman" w:cs="Times New Roman"/>
          <w:i w:val="0"/>
          <w:smallCaps w:val="0"/>
          <w:color w:val="0D0D0D"/>
          <w:highlight w:val="white"/>
        </w:rPr>
      </w:pPr>
    </w:p>
    <w:p>
      <w:pPr>
        <w:spacing w:line="360" w:lineRule="auto"/>
        <w:jc w:val="both"/>
        <w:rPr>
          <w:rFonts w:hint="default" w:ascii="Times New Roman" w:hAnsi="Times New Roman" w:eastAsia="Times New Roman" w:cs="Times New Roman"/>
          <w:i w:val="0"/>
          <w:smallCaps w:val="0"/>
          <w:color w:val="0D0D0D"/>
          <w:highlight w:val="white"/>
        </w:rPr>
      </w:pPr>
    </w:p>
    <w:p>
      <w:pPr>
        <w:spacing w:line="360" w:lineRule="auto"/>
        <w:jc w:val="both"/>
        <w:rPr>
          <w:rFonts w:hint="default" w:ascii="Times New Roman" w:hAnsi="Times New Roman" w:eastAsia="Times New Roman" w:cs="Times New Roman"/>
          <w:i w:val="0"/>
          <w:smallCaps w:val="0"/>
          <w:color w:val="0D0D0D"/>
          <w:highlight w:val="white"/>
        </w:rPr>
      </w:pPr>
    </w:p>
    <w:p>
      <w:pPr>
        <w:spacing w:line="360" w:lineRule="auto"/>
        <w:jc w:val="both"/>
        <w:rPr>
          <w:rFonts w:hint="default" w:ascii="Times New Roman" w:hAnsi="Times New Roman" w:eastAsia="Times New Roman" w:cs="Times New Roman"/>
          <w:i w:val="0"/>
          <w:smallCaps w:val="0"/>
          <w:color w:val="0D0D0D"/>
          <w:highlight w:val="white"/>
        </w:rPr>
      </w:pPr>
    </w:p>
    <w:p>
      <w:pPr>
        <w:spacing w:line="360" w:lineRule="auto"/>
        <w:jc w:val="both"/>
        <w:rPr>
          <w:rFonts w:hint="default" w:ascii="Times New Roman" w:hAnsi="Times New Roman" w:eastAsia="Times New Roman" w:cs="Times New Roman"/>
          <w:i w:val="0"/>
          <w:smallCaps w:val="0"/>
          <w:color w:val="0D0D0D"/>
          <w:highlight w:val="white"/>
        </w:rPr>
      </w:pPr>
    </w:p>
    <w:p>
      <w:pPr>
        <w:spacing w:line="360" w:lineRule="auto"/>
        <w:jc w:val="both"/>
        <w:rPr>
          <w:rFonts w:hint="default" w:ascii="Times New Roman" w:hAnsi="Times New Roman" w:eastAsia="Times New Roman" w:cs="Times New Roman"/>
          <w:i w:val="0"/>
          <w:smallCaps w:val="0"/>
          <w:color w:val="0D0D0D"/>
          <w:highlight w:val="white"/>
        </w:rPr>
      </w:pPr>
    </w:p>
    <w:p>
      <w:pPr>
        <w:spacing w:line="360" w:lineRule="auto"/>
        <w:jc w:val="both"/>
        <w:rPr>
          <w:rFonts w:hint="default" w:ascii="Times New Roman" w:hAnsi="Times New Roman" w:eastAsia="Times New Roman" w:cs="Times New Roman"/>
          <w:i w:val="0"/>
          <w:smallCaps w:val="0"/>
          <w:color w:val="0D0D0D"/>
          <w:highlight w:val="white"/>
        </w:rPr>
      </w:pPr>
    </w:p>
    <w:p>
      <w:pPr>
        <w:spacing w:line="360" w:lineRule="auto"/>
        <w:jc w:val="both"/>
        <w:rPr>
          <w:rFonts w:hint="default" w:ascii="Times New Roman" w:hAnsi="Times New Roman" w:eastAsia="Times New Roman" w:cs="Times New Roman"/>
          <w:i w:val="0"/>
          <w:smallCaps w:val="0"/>
          <w:color w:val="0D0D0D"/>
          <w:highlight w:val="white"/>
        </w:rPr>
      </w:pPr>
    </w:p>
    <w:p>
      <w:pPr>
        <w:spacing w:line="360" w:lineRule="auto"/>
        <w:jc w:val="both"/>
        <w:rPr>
          <w:rFonts w:hint="default" w:ascii="Times New Roman" w:hAnsi="Times New Roman" w:eastAsia="Times New Roman" w:cs="Times New Roman"/>
          <w:i w:val="0"/>
          <w:smallCaps w:val="0"/>
          <w:color w:val="0D0D0D"/>
          <w:highlight w:val="white"/>
        </w:rPr>
      </w:pPr>
    </w:p>
    <w:p>
      <w:pPr>
        <w:spacing w:line="360" w:lineRule="auto"/>
        <w:jc w:val="both"/>
        <w:rPr>
          <w:rFonts w:hint="default" w:ascii="Times New Roman" w:hAnsi="Times New Roman" w:eastAsia="Times New Roman" w:cs="Times New Roman"/>
          <w:i w:val="0"/>
          <w:smallCaps w:val="0"/>
          <w:color w:val="0D0D0D"/>
          <w:highlight w:val="white"/>
        </w:rPr>
      </w:pPr>
    </w:p>
    <w:p>
      <w:pPr>
        <w:spacing w:line="360" w:lineRule="auto"/>
        <w:jc w:val="both"/>
        <w:rPr>
          <w:rFonts w:hint="default" w:ascii="Times New Roman" w:hAnsi="Times New Roman" w:eastAsia="Times New Roman" w:cs="Times New Roman"/>
          <w:i w:val="0"/>
          <w:smallCaps w:val="0"/>
          <w:color w:val="0D0D0D"/>
          <w:highlight w:val="white"/>
        </w:rPr>
      </w:pPr>
    </w:p>
    <w:p>
      <w:pPr>
        <w:spacing w:line="360" w:lineRule="auto"/>
        <w:jc w:val="both"/>
        <w:rPr>
          <w:rFonts w:hint="default" w:ascii="Times New Roman" w:hAnsi="Times New Roman" w:eastAsia="Times New Roman" w:cs="Times New Roman"/>
          <w:i w:val="0"/>
          <w:smallCaps w:val="0"/>
          <w:color w:val="0D0D0D"/>
          <w:highlight w:val="white"/>
        </w:rPr>
      </w:pPr>
    </w:p>
    <w:p>
      <w:pPr>
        <w:spacing w:line="360" w:lineRule="auto"/>
        <w:jc w:val="both"/>
        <w:rPr>
          <w:rFonts w:hint="default" w:ascii="Times New Roman" w:hAnsi="Times New Roman" w:eastAsia="Times New Roman" w:cs="Times New Roman"/>
          <w:i w:val="0"/>
          <w:smallCaps w:val="0"/>
          <w:color w:val="0D0D0D"/>
          <w:highlight w:val="white"/>
        </w:rPr>
      </w:pPr>
    </w:p>
    <w:p>
      <w:pPr>
        <w:spacing w:line="360" w:lineRule="auto"/>
        <w:jc w:val="both"/>
        <w:rPr>
          <w:rFonts w:hint="default" w:ascii="Times New Roman" w:hAnsi="Times New Roman" w:eastAsia="Times New Roman" w:cs="Times New Roman"/>
          <w:i w:val="0"/>
          <w:smallCaps w:val="0"/>
          <w:color w:val="0D0D0D"/>
          <w:highlight w:val="white"/>
        </w:rPr>
      </w:pPr>
    </w:p>
    <w:p>
      <w:pPr>
        <w:spacing w:line="360" w:lineRule="auto"/>
        <w:jc w:val="both"/>
        <w:rPr>
          <w:rFonts w:hint="default" w:ascii="Times New Roman" w:hAnsi="Times New Roman" w:eastAsia="Times New Roman" w:cs="Times New Roman"/>
          <w:i w:val="0"/>
          <w:smallCaps w:val="0"/>
          <w:color w:val="0D0D0D"/>
          <w:highlight w:val="white"/>
        </w:rPr>
      </w:pPr>
    </w:p>
    <w:p>
      <w:pPr>
        <w:spacing w:line="360" w:lineRule="auto"/>
        <w:jc w:val="both"/>
        <w:rPr>
          <w:rFonts w:hint="default" w:ascii="Times New Roman" w:hAnsi="Times New Roman" w:eastAsia="Times New Roman" w:cs="Times New Roman"/>
          <w:i w:val="0"/>
          <w:smallCaps w:val="0"/>
          <w:color w:val="0D0D0D"/>
          <w:highlight w:val="white"/>
        </w:rPr>
      </w:pPr>
    </w:p>
    <w:p>
      <w:pPr>
        <w:spacing w:line="360" w:lineRule="auto"/>
        <w:jc w:val="both"/>
        <w:rPr>
          <w:rFonts w:hint="default" w:ascii="Times New Roman" w:hAnsi="Times New Roman" w:eastAsia="Times New Roman" w:cs="Times New Roman"/>
          <w:i w:val="0"/>
          <w:smallCaps w:val="0"/>
          <w:color w:val="0D0D0D"/>
          <w:highlight w:val="white"/>
        </w:rPr>
      </w:pPr>
    </w:p>
    <w:p>
      <w:pPr>
        <w:spacing w:line="360" w:lineRule="auto"/>
        <w:ind w:firstLine="2521" w:firstLineChars="1050"/>
        <w:jc w:val="both"/>
        <w:rPr>
          <w:rFonts w:hint="default" w:ascii="Times New Roman" w:hAnsi="Times New Roman" w:eastAsia="Times New Roman" w:cs="Times New Roman"/>
          <w:b/>
        </w:rPr>
      </w:pPr>
      <w:r>
        <w:rPr>
          <w:rFonts w:hint="default" w:ascii="Times New Roman" w:hAnsi="Times New Roman" w:eastAsia="Times New Roman" w:cs="Times New Roman"/>
          <w:b/>
          <w:rtl w:val="0"/>
        </w:rPr>
        <w:t>FUNDAMENTAL RIGHTS</w:t>
      </w:r>
    </w:p>
    <w:p>
      <w:pPr>
        <w:spacing w:line="360" w:lineRule="auto"/>
        <w:jc w:val="both"/>
        <w:rPr>
          <w:rFonts w:hint="default" w:ascii="Times New Roman" w:hAnsi="Times New Roman" w:eastAsia="Times New Roman" w:cs="Times New Roman"/>
          <w:i w:val="0"/>
          <w:smallCaps w:val="0"/>
          <w:color w:val="0D0D0D"/>
          <w:highlight w:val="white"/>
        </w:rPr>
      </w:pPr>
    </w:p>
    <w:p>
      <w:pPr>
        <w:numPr>
          <w:ilvl w:val="0"/>
          <w:numId w:val="1"/>
        </w:numPr>
        <w:spacing w:line="360" w:lineRule="auto"/>
        <w:ind w:left="420" w:hanging="420"/>
        <w:jc w:val="both"/>
        <w:rPr>
          <w:rFonts w:hint="default" w:ascii="Times New Roman" w:hAnsi="Times New Roman" w:cs="Times New Roman"/>
          <w:i w:val="0"/>
          <w:smallCaps w:val="0"/>
          <w:color w:val="0D0D0D"/>
          <w:highlight w:val="white"/>
        </w:rPr>
      </w:pPr>
      <w:r>
        <w:rPr>
          <w:rFonts w:hint="default" w:ascii="Times New Roman" w:hAnsi="Times New Roman" w:eastAsia="Times New Roman" w:cs="Times New Roman"/>
          <w:b w:val="0"/>
          <w:rtl w:val="0"/>
        </w:rPr>
        <w:t>WHAT IS FUNDAMENTAL RIGHTS?</w:t>
      </w:r>
    </w:p>
    <w:p>
      <w:pPr>
        <w:spacing w:line="360" w:lineRule="auto"/>
        <w:jc w:val="both"/>
        <w:rPr>
          <w:rFonts w:hint="default" w:ascii="Times New Roman" w:hAnsi="Times New Roman" w:eastAsia="Times New Roman" w:cs="Times New Roman"/>
          <w:i w:val="0"/>
          <w:smallCaps w:val="0"/>
          <w:color w:val="0D0D0D"/>
          <w:highlight w:val="white"/>
        </w:rPr>
      </w:pPr>
    </w:p>
    <w:p>
      <w:pPr>
        <w:spacing w:line="360" w:lineRule="auto"/>
        <w:jc w:val="both"/>
        <w:rPr>
          <w:rFonts w:hint="default" w:ascii="Times New Roman" w:hAnsi="Times New Roman" w:eastAsia="Times New Roman" w:cs="Times New Roman"/>
          <w:i w:val="0"/>
          <w:smallCaps w:val="0"/>
          <w:color w:val="0D0D0D"/>
          <w:highlight w:val="white"/>
        </w:rPr>
      </w:pPr>
      <w:r>
        <w:rPr>
          <w:rFonts w:hint="default" w:ascii="Times New Roman" w:hAnsi="Times New Roman" w:eastAsia="Times New Roman" w:cs="Times New Roman"/>
          <w:i w:val="0"/>
          <w:smallCaps w:val="0"/>
          <w:color w:val="0D0D0D"/>
          <w:highlight w:val="white"/>
          <w:rtl w:val="0"/>
        </w:rPr>
        <w:t xml:space="preserve">Fundamental rights, as enshrined in Part III of the Constitution of India, are basic human rights guaranteed to all citizens of India by the Constitution of India.These rights, articulated from Articles 12 to 35, form the cornerstone of the Indian legal system and are indispensable for the development of the individual and the preservation of human dignity. </w:t>
      </w:r>
      <w:r>
        <w:rPr>
          <w:rFonts w:hint="default" w:ascii="Times New Roman" w:hAnsi="Times New Roman" w:eastAsia="Times New Roman" w:cs="Times New Roman"/>
          <w:color w:val="0D0D0D"/>
          <w:highlight w:val="white"/>
          <w:rtl w:val="0"/>
        </w:rPr>
        <w:t>“</w:t>
      </w:r>
      <w:r>
        <w:rPr>
          <w:rFonts w:hint="default" w:ascii="Times New Roman" w:hAnsi="Times New Roman" w:eastAsia="Times New Roman" w:cs="Times New Roman"/>
          <w:i w:val="0"/>
          <w:smallCaps w:val="0"/>
          <w:color w:val="0D0D0D"/>
          <w:highlight w:val="white"/>
          <w:rtl w:val="0"/>
        </w:rPr>
        <w:t>There are six fundamental rights outlined in the Constitution:</w:t>
      </w:r>
    </w:p>
    <w:p>
      <w:pPr>
        <w:numPr>
          <w:ilvl w:val="0"/>
          <w:numId w:val="2"/>
        </w:numPr>
        <w:spacing w:line="360" w:lineRule="auto"/>
        <w:ind w:left="0" w:firstLine="0"/>
        <w:jc w:val="both"/>
        <w:rPr>
          <w:rFonts w:hint="default" w:ascii="Times New Roman" w:hAnsi="Times New Roman" w:eastAsia="Times New Roman" w:cs="Times New Roman"/>
          <w:i w:val="0"/>
          <w:smallCaps w:val="0"/>
          <w:color w:val="0D0D0D"/>
          <w:highlight w:val="white"/>
        </w:rPr>
      </w:pPr>
      <w:r>
        <w:rPr>
          <w:rFonts w:hint="default" w:ascii="Times New Roman" w:hAnsi="Times New Roman" w:eastAsia="Times New Roman" w:cs="Times New Roman"/>
          <w:i w:val="0"/>
          <w:smallCaps w:val="0"/>
          <w:color w:val="0D0D0D"/>
          <w:highlight w:val="white"/>
          <w:rtl w:val="0"/>
        </w:rPr>
        <w:t>Right to Equality (Articles 14–18)</w:t>
      </w:r>
    </w:p>
    <w:p>
      <w:pPr>
        <w:numPr>
          <w:ilvl w:val="0"/>
          <w:numId w:val="2"/>
        </w:numPr>
        <w:spacing w:line="360" w:lineRule="auto"/>
        <w:ind w:left="0" w:firstLine="0"/>
        <w:jc w:val="both"/>
        <w:rPr>
          <w:rFonts w:hint="default" w:ascii="Times New Roman" w:hAnsi="Times New Roman" w:eastAsia="Times New Roman" w:cs="Times New Roman"/>
          <w:i w:val="0"/>
          <w:smallCaps w:val="0"/>
          <w:color w:val="0D0D0D"/>
          <w:highlight w:val="white"/>
        </w:rPr>
      </w:pPr>
      <w:r>
        <w:rPr>
          <w:rFonts w:hint="default" w:ascii="Times New Roman" w:hAnsi="Times New Roman" w:eastAsia="Times New Roman" w:cs="Times New Roman"/>
          <w:i w:val="0"/>
          <w:smallCaps w:val="0"/>
          <w:color w:val="0D0D0D"/>
          <w:highlight w:val="white"/>
          <w:rtl w:val="0"/>
        </w:rPr>
        <w:t>Right to Freedom (Articles 19–22)</w:t>
      </w:r>
    </w:p>
    <w:p>
      <w:pPr>
        <w:numPr>
          <w:ilvl w:val="0"/>
          <w:numId w:val="2"/>
        </w:numPr>
        <w:spacing w:line="360" w:lineRule="auto"/>
        <w:ind w:left="0" w:firstLine="0"/>
        <w:jc w:val="both"/>
        <w:rPr>
          <w:rFonts w:hint="default" w:ascii="Times New Roman" w:hAnsi="Times New Roman" w:eastAsia="Times New Roman" w:cs="Times New Roman"/>
          <w:i w:val="0"/>
          <w:smallCaps w:val="0"/>
          <w:color w:val="0D0D0D"/>
          <w:highlight w:val="white"/>
        </w:rPr>
      </w:pPr>
      <w:r>
        <w:rPr>
          <w:rFonts w:hint="default" w:ascii="Times New Roman" w:hAnsi="Times New Roman" w:eastAsia="Times New Roman" w:cs="Times New Roman"/>
          <w:i w:val="0"/>
          <w:smallCaps w:val="0"/>
          <w:color w:val="0D0D0D"/>
          <w:highlight w:val="white"/>
          <w:rtl w:val="0"/>
        </w:rPr>
        <w:t>Right against Exploitation (Articles 23–24)</w:t>
      </w:r>
    </w:p>
    <w:p>
      <w:pPr>
        <w:numPr>
          <w:ilvl w:val="0"/>
          <w:numId w:val="2"/>
        </w:numPr>
        <w:spacing w:line="360" w:lineRule="auto"/>
        <w:ind w:left="0" w:firstLine="0"/>
        <w:jc w:val="both"/>
        <w:rPr>
          <w:rFonts w:hint="default" w:ascii="Times New Roman" w:hAnsi="Times New Roman" w:eastAsia="Times New Roman" w:cs="Times New Roman"/>
          <w:i w:val="0"/>
          <w:smallCaps w:val="0"/>
          <w:color w:val="0D0D0D"/>
          <w:highlight w:val="white"/>
        </w:rPr>
      </w:pPr>
      <w:r>
        <w:rPr>
          <w:rFonts w:hint="default" w:ascii="Times New Roman" w:hAnsi="Times New Roman" w:eastAsia="Times New Roman" w:cs="Times New Roman"/>
          <w:i w:val="0"/>
          <w:smallCaps w:val="0"/>
          <w:color w:val="0D0D0D"/>
          <w:highlight w:val="white"/>
          <w:rtl w:val="0"/>
        </w:rPr>
        <w:t>Right to Freedom of Religion (Articles 25–28)</w:t>
      </w:r>
    </w:p>
    <w:p>
      <w:pPr>
        <w:numPr>
          <w:ilvl w:val="0"/>
          <w:numId w:val="2"/>
        </w:numPr>
        <w:spacing w:line="360" w:lineRule="auto"/>
        <w:ind w:left="0" w:firstLine="0"/>
        <w:jc w:val="both"/>
        <w:rPr>
          <w:rFonts w:hint="default" w:ascii="Times New Roman" w:hAnsi="Times New Roman" w:eastAsia="Times New Roman" w:cs="Times New Roman"/>
          <w:i w:val="0"/>
          <w:smallCaps w:val="0"/>
          <w:color w:val="0D0D0D"/>
          <w:highlight w:val="white"/>
        </w:rPr>
      </w:pPr>
      <w:r>
        <w:rPr>
          <w:rFonts w:hint="default" w:ascii="Times New Roman" w:hAnsi="Times New Roman" w:eastAsia="Times New Roman" w:cs="Times New Roman"/>
          <w:i w:val="0"/>
          <w:smallCaps w:val="0"/>
          <w:color w:val="0D0D0D"/>
          <w:highlight w:val="white"/>
          <w:rtl w:val="0"/>
        </w:rPr>
        <w:t>Cultural and Educational Rights (Articles 29–30)</w:t>
      </w:r>
    </w:p>
    <w:p>
      <w:pPr>
        <w:numPr>
          <w:ilvl w:val="0"/>
          <w:numId w:val="2"/>
        </w:numPr>
        <w:spacing w:line="360" w:lineRule="auto"/>
        <w:ind w:left="0" w:firstLine="0"/>
        <w:jc w:val="both"/>
        <w:rPr>
          <w:rFonts w:hint="default" w:ascii="Times New Roman" w:hAnsi="Times New Roman" w:eastAsia="Times New Roman" w:cs="Times New Roman"/>
          <w:i w:val="0"/>
          <w:smallCaps w:val="0"/>
          <w:color w:val="0D0D0D"/>
          <w:highlight w:val="white"/>
        </w:rPr>
      </w:pPr>
      <w:r>
        <w:rPr>
          <w:rFonts w:hint="default" w:ascii="Times New Roman" w:hAnsi="Times New Roman" w:eastAsia="Times New Roman" w:cs="Times New Roman"/>
          <w:i w:val="0"/>
          <w:smallCaps w:val="0"/>
          <w:color w:val="0D0D0D"/>
          <w:highlight w:val="white"/>
          <w:rtl w:val="0"/>
        </w:rPr>
        <w:t>Right to Constitutional Remedies (Article 32)</w:t>
      </w:r>
      <w:r>
        <w:rPr>
          <w:rFonts w:hint="default" w:ascii="Times New Roman" w:hAnsi="Times New Roman" w:eastAsia="Times New Roman" w:cs="Times New Roman"/>
          <w:color w:val="0D0D0D"/>
          <w:highlight w:val="white"/>
          <w:rtl w:val="0"/>
        </w:rPr>
        <w:t>”</w:t>
      </w:r>
    </w:p>
    <w:p>
      <w:pPr>
        <w:spacing w:line="360" w:lineRule="auto"/>
        <w:jc w:val="both"/>
        <w:rPr>
          <w:rFonts w:hint="default" w:ascii="Times New Roman" w:hAnsi="Times New Roman" w:eastAsia="Times New Roman" w:cs="Times New Roman"/>
          <w:i w:val="0"/>
          <w:smallCaps w:val="0"/>
          <w:color w:val="0D0D0D"/>
          <w:highlight w:val="white"/>
        </w:rPr>
      </w:pPr>
    </w:p>
    <w:p>
      <w:pPr>
        <w:numPr>
          <w:ilvl w:val="0"/>
          <w:numId w:val="3"/>
        </w:numPr>
        <w:spacing w:line="360" w:lineRule="auto"/>
        <w:ind w:left="420" w:hanging="420"/>
        <w:jc w:val="both"/>
        <w:rPr>
          <w:rFonts w:hint="default" w:ascii="Times New Roman" w:hAnsi="Times New Roman" w:cs="Times New Roman"/>
          <w:i w:val="0"/>
          <w:smallCaps w:val="0"/>
          <w:color w:val="0D0D0D"/>
          <w:highlight w:val="white"/>
        </w:rPr>
      </w:pPr>
      <w:r>
        <w:rPr>
          <w:rFonts w:hint="default" w:ascii="Times New Roman" w:hAnsi="Times New Roman" w:eastAsia="Times New Roman" w:cs="Times New Roman"/>
          <w:i w:val="0"/>
          <w:smallCaps w:val="0"/>
          <w:color w:val="0D0D0D"/>
          <w:highlight w:val="white"/>
          <w:rtl w:val="0"/>
        </w:rPr>
        <w:t>Originally, there was a seventh fundamental right—</w:t>
      </w:r>
      <w:r>
        <w:rPr>
          <w:rFonts w:hint="default" w:ascii="Times New Roman" w:hAnsi="Times New Roman" w:eastAsia="Times New Roman" w:cs="Times New Roman"/>
          <w:color w:val="0D0D0D"/>
          <w:highlight w:val="white"/>
          <w:rtl w:val="0"/>
        </w:rPr>
        <w:t xml:space="preserve"> “</w:t>
      </w:r>
      <w:r>
        <w:rPr>
          <w:rFonts w:hint="default" w:ascii="Times New Roman" w:hAnsi="Times New Roman" w:eastAsia="Times New Roman" w:cs="Times New Roman"/>
          <w:i w:val="0"/>
          <w:smallCaps w:val="0"/>
          <w:color w:val="0D0D0D"/>
          <w:highlight w:val="white"/>
          <w:rtl w:val="0"/>
        </w:rPr>
        <w:t>Right to Property (Article 31)—which was removed from the list of fundamental rights by the 44th Constitutional Amendment Act of 1978 and is now a legal right under Article 300A in Part XII of the Constitution</w:t>
      </w:r>
      <w:r>
        <w:rPr>
          <w:rFonts w:hint="default" w:ascii="Times New Roman" w:hAnsi="Times New Roman" w:eastAsia="Times New Roman" w:cs="Times New Roman"/>
          <w:color w:val="0D0D0D"/>
          <w:highlight w:val="white"/>
          <w:rtl w:val="0"/>
        </w:rPr>
        <w:t>”</w:t>
      </w:r>
      <w:r>
        <w:rPr>
          <w:rFonts w:hint="default" w:ascii="Times New Roman" w:hAnsi="Times New Roman" w:eastAsia="Times New Roman" w:cs="Times New Roman"/>
          <w:i w:val="0"/>
          <w:smallCaps w:val="0"/>
          <w:color w:val="0D0D0D"/>
          <w:highlight w:val="white"/>
          <w:rtl w:val="0"/>
        </w:rPr>
        <w:t xml:space="preserve">. </w:t>
      </w:r>
    </w:p>
    <w:p>
      <w:pPr>
        <w:numPr>
          <w:ilvl w:val="0"/>
          <w:numId w:val="3"/>
        </w:numPr>
        <w:spacing w:line="360" w:lineRule="auto"/>
        <w:ind w:left="420" w:hanging="420"/>
        <w:jc w:val="both"/>
        <w:rPr>
          <w:rFonts w:hint="default" w:ascii="Times New Roman" w:hAnsi="Times New Roman" w:cs="Times New Roman"/>
          <w:i w:val="0"/>
          <w:smallCaps w:val="0"/>
          <w:color w:val="0D0D0D"/>
          <w:highlight w:val="white"/>
        </w:rPr>
      </w:pPr>
      <w:r>
        <w:rPr>
          <w:rFonts w:hint="default" w:ascii="Times New Roman" w:hAnsi="Times New Roman" w:eastAsia="Times New Roman" w:cs="Times New Roman"/>
          <w:i w:val="0"/>
          <w:smallCaps w:val="0"/>
          <w:color w:val="0D0D0D"/>
          <w:highlight w:val="white"/>
          <w:rtl w:val="0"/>
        </w:rPr>
        <w:t>Part III of the Indian Constitution, often referred to as the "Magna Carta of India," encapsulates these essential rights.</w:t>
      </w:r>
    </w:p>
    <w:p>
      <w:pPr>
        <w:spacing w:line="360" w:lineRule="auto"/>
        <w:jc w:val="both"/>
        <w:rPr>
          <w:rFonts w:hint="default" w:ascii="Times New Roman" w:hAnsi="Times New Roman" w:eastAsia="Times New Roman" w:cs="Times New Roman"/>
          <w:i w:val="0"/>
          <w:smallCaps w:val="0"/>
          <w:color w:val="0D0D0D"/>
          <w:highlight w:val="white"/>
        </w:rPr>
      </w:pPr>
    </w:p>
    <w:p>
      <w:pPr>
        <w:numPr>
          <w:ilvl w:val="0"/>
          <w:numId w:val="4"/>
        </w:numPr>
        <w:spacing w:line="360" w:lineRule="auto"/>
        <w:ind w:left="420" w:hanging="420"/>
        <w:jc w:val="both"/>
        <w:rPr>
          <w:rFonts w:hint="default" w:ascii="Times New Roman" w:hAnsi="Times New Roman" w:cs="Times New Roman"/>
          <w:b w:val="0"/>
          <w:i w:val="0"/>
          <w:smallCaps w:val="0"/>
          <w:color w:val="0D0D0D"/>
          <w:highlight w:val="white"/>
        </w:rPr>
      </w:pPr>
      <w:r>
        <w:rPr>
          <w:rFonts w:hint="default" w:ascii="Times New Roman" w:hAnsi="Times New Roman" w:eastAsia="Times New Roman" w:cs="Times New Roman"/>
          <w:b w:val="0"/>
          <w:rtl w:val="0"/>
        </w:rPr>
        <w:t>FROM WHERE DOES  FUNDAMENTAL  RIGHTS  DERIVED?</w:t>
      </w:r>
    </w:p>
    <w:p>
      <w:pPr>
        <w:spacing w:line="360" w:lineRule="auto"/>
        <w:jc w:val="both"/>
        <w:rPr>
          <w:rFonts w:hint="default" w:ascii="Times New Roman" w:hAnsi="Times New Roman" w:eastAsia="Times New Roman" w:cs="Times New Roman"/>
          <w:b w:val="0"/>
          <w:i w:val="0"/>
          <w:smallCaps w:val="0"/>
          <w:color w:val="0D0D0D"/>
          <w:highlight w:val="white"/>
        </w:rPr>
      </w:pPr>
    </w:p>
    <w:p>
      <w:pPr>
        <w:spacing w:line="360" w:lineRule="auto"/>
        <w:jc w:val="both"/>
        <w:rPr>
          <w:rFonts w:hint="default" w:ascii="Times New Roman" w:hAnsi="Times New Roman" w:eastAsia="Times New Roman" w:cs="Times New Roman"/>
          <w:color w:val="0D0D0D"/>
          <w:highlight w:val="white"/>
        </w:rPr>
      </w:pPr>
      <w:r>
        <w:rPr>
          <w:rFonts w:hint="default" w:ascii="Times New Roman" w:hAnsi="Times New Roman" w:eastAsia="Times New Roman" w:cs="Times New Roman"/>
          <w:i w:val="0"/>
          <w:smallCaps w:val="0"/>
          <w:color w:val="0D0D0D"/>
          <w:highlight w:val="white"/>
          <w:rtl w:val="0"/>
        </w:rPr>
        <w:t>The Fundamental Rights enshrined in the Indian Constitution draw inspiration from the United States Bill of Rights. These rights are incorporated into the Indian legal framework because they are deemed essential for the development of the individual's personality and for the preservation of human dignity. They reflect the core values of liberty, equality, and fraternity, foundational to a democratic society.</w:t>
      </w:r>
    </w:p>
    <w:p>
      <w:pPr>
        <w:spacing w:line="360" w:lineRule="auto"/>
        <w:jc w:val="both"/>
        <w:rPr>
          <w:rFonts w:hint="default" w:ascii="Times New Roman" w:hAnsi="Times New Roman" w:eastAsia="Times New Roman" w:cs="Times New Roman"/>
          <w:color w:val="0D0D0D"/>
          <w:highlight w:val="white"/>
        </w:rPr>
      </w:pPr>
    </w:p>
    <w:p>
      <w:pPr>
        <w:numPr>
          <w:ilvl w:val="0"/>
          <w:numId w:val="4"/>
        </w:numPr>
        <w:spacing w:line="360" w:lineRule="auto"/>
        <w:ind w:left="420" w:hanging="420"/>
        <w:jc w:val="both"/>
        <w:rPr>
          <w:rFonts w:hint="default" w:ascii="Times New Roman" w:hAnsi="Times New Roman" w:cs="Times New Roman"/>
          <w:i w:val="0"/>
          <w:smallCaps w:val="0"/>
          <w:color w:val="0D0D0D"/>
          <w:highlight w:val="white"/>
        </w:rPr>
      </w:pPr>
      <w:r>
        <w:rPr>
          <w:rFonts w:hint="default" w:ascii="Times New Roman" w:hAnsi="Times New Roman" w:eastAsia="Times New Roman" w:cs="Times New Roman"/>
          <w:i w:val="0"/>
          <w:smallCaps w:val="0"/>
          <w:color w:val="0D0D0D"/>
          <w:highlight w:val="white"/>
          <w:rtl w:val="0"/>
        </w:rPr>
        <w:t>WHY THEY ARE CALLED AS FUNDAMENTAL RIGHTS?</w:t>
      </w:r>
    </w:p>
    <w:p>
      <w:pPr>
        <w:spacing w:line="360" w:lineRule="auto"/>
        <w:jc w:val="both"/>
        <w:rPr>
          <w:rFonts w:hint="default" w:ascii="Times New Roman" w:hAnsi="Times New Roman" w:eastAsia="Times New Roman" w:cs="Times New Roman"/>
          <w:i w:val="0"/>
          <w:smallCaps w:val="0"/>
          <w:color w:val="0D0D0D"/>
          <w:highlight w:val="white"/>
        </w:rPr>
      </w:pPr>
      <w:r>
        <w:rPr>
          <w:rFonts w:hint="default" w:ascii="Times New Roman" w:hAnsi="Times New Roman" w:eastAsia="Times New Roman" w:cs="Times New Roman"/>
          <w:i w:val="0"/>
          <w:smallCaps w:val="0"/>
          <w:color w:val="0D0D0D"/>
          <w:highlight w:val="white"/>
          <w:rtl w:val="0"/>
        </w:rPr>
        <w:t>Fundamental rights are designated as such due to their justiciable nature. This means that individuals have the right to approach the courts for enforcement if they believe that their fundamental rights have been violated. The judiciary thus plays a crucial role in the protection and reinforcement of these rights.</w:t>
      </w:r>
    </w:p>
    <w:p>
      <w:pPr>
        <w:spacing w:line="360" w:lineRule="auto"/>
        <w:jc w:val="both"/>
        <w:rPr>
          <w:rFonts w:hint="default" w:ascii="Times New Roman" w:hAnsi="Times New Roman" w:eastAsia="Times New Roman" w:cs="Times New Roman"/>
          <w:i w:val="0"/>
          <w:smallCaps w:val="0"/>
          <w:color w:val="0D0D0D"/>
          <w:highlight w:val="white"/>
        </w:rPr>
      </w:pPr>
    </w:p>
    <w:p>
      <w:pPr>
        <w:numPr>
          <w:ilvl w:val="0"/>
          <w:numId w:val="4"/>
        </w:numPr>
        <w:spacing w:line="360" w:lineRule="auto"/>
        <w:ind w:left="420" w:hanging="420"/>
        <w:jc w:val="both"/>
        <w:rPr>
          <w:rFonts w:hint="default" w:ascii="Times New Roman" w:hAnsi="Times New Roman" w:cs="Times New Roman"/>
          <w:i w:val="0"/>
          <w:smallCaps w:val="0"/>
          <w:color w:val="0D0D0D"/>
          <w:highlight w:val="white"/>
        </w:rPr>
      </w:pPr>
      <w:r>
        <w:rPr>
          <w:rFonts w:hint="default" w:ascii="Times New Roman" w:hAnsi="Times New Roman" w:eastAsia="Times New Roman" w:cs="Times New Roman"/>
          <w:i w:val="0"/>
          <w:smallCaps w:val="0"/>
          <w:color w:val="0D0D0D"/>
          <w:highlight w:val="white"/>
          <w:rtl w:val="0"/>
        </w:rPr>
        <w:t>CAN  FUNDAMENTAL  RIGHTS  BE  RESTRICTED OR SUSPENDED ?</w:t>
      </w:r>
    </w:p>
    <w:p>
      <w:pPr>
        <w:spacing w:line="360" w:lineRule="auto"/>
        <w:jc w:val="both"/>
        <w:rPr>
          <w:rFonts w:hint="default" w:ascii="Times New Roman" w:hAnsi="Times New Roman" w:eastAsia="Times New Roman" w:cs="Times New Roman"/>
          <w:i w:val="0"/>
          <w:smallCaps w:val="0"/>
          <w:color w:val="0D0D0D"/>
          <w:highlight w:val="white"/>
        </w:rPr>
      </w:pPr>
      <w:r>
        <w:rPr>
          <w:rFonts w:hint="default" w:ascii="Times New Roman" w:hAnsi="Times New Roman" w:eastAsia="Times New Roman" w:cs="Times New Roman"/>
          <w:i w:val="0"/>
          <w:smallCaps w:val="0"/>
          <w:color w:val="0D0D0D"/>
          <w:highlight w:val="white"/>
          <w:rtl w:val="0"/>
        </w:rPr>
        <w:t>The Constitution provides mechanisms for the restriction and suspension of fundamental rights under certain circumstances:</w:t>
      </w:r>
    </w:p>
    <w:p>
      <w:pPr>
        <w:spacing w:line="360" w:lineRule="auto"/>
        <w:jc w:val="both"/>
        <w:rPr>
          <w:rFonts w:hint="default" w:ascii="Times New Roman" w:hAnsi="Times New Roman" w:eastAsia="Times New Roman" w:cs="Times New Roman"/>
          <w:i w:val="0"/>
          <w:smallCaps w:val="0"/>
          <w:color w:val="0D0D0D"/>
          <w:highlight w:val="white"/>
        </w:rPr>
      </w:pPr>
    </w:p>
    <w:p>
      <w:pPr>
        <w:spacing w:line="360" w:lineRule="auto"/>
        <w:jc w:val="both"/>
        <w:rPr>
          <w:rFonts w:hint="default" w:ascii="Times New Roman" w:hAnsi="Times New Roman" w:eastAsia="Times New Roman" w:cs="Times New Roman"/>
          <w:b/>
          <w:i w:val="0"/>
          <w:smallCaps w:val="0"/>
          <w:color w:val="0D0D0D"/>
          <w:highlight w:val="white"/>
        </w:rPr>
      </w:pPr>
      <w:r>
        <w:rPr>
          <w:rFonts w:hint="default" w:ascii="Times New Roman" w:hAnsi="Times New Roman" w:eastAsia="Times New Roman" w:cs="Times New Roman"/>
          <w:b/>
          <w:i w:val="0"/>
          <w:smallCaps w:val="0"/>
          <w:color w:val="0D0D0D"/>
          <w:highlight w:val="white"/>
          <w:rtl w:val="0"/>
        </w:rPr>
        <w:t>Suspension During National Emergencies</w:t>
      </w:r>
    </w:p>
    <w:p>
      <w:pPr>
        <w:spacing w:line="360" w:lineRule="auto"/>
        <w:jc w:val="both"/>
        <w:rPr>
          <w:rFonts w:hint="default" w:ascii="Times New Roman" w:hAnsi="Times New Roman" w:eastAsia="Times New Roman" w:cs="Times New Roman"/>
          <w:i w:val="0"/>
          <w:smallCaps w:val="0"/>
          <w:color w:val="0D0D0D"/>
          <w:highlight w:val="white"/>
        </w:rPr>
      </w:pPr>
      <w:r>
        <w:rPr>
          <w:rFonts w:hint="default" w:ascii="Times New Roman" w:hAnsi="Times New Roman" w:eastAsia="Times New Roman" w:cs="Times New Roman"/>
          <w:i w:val="0"/>
          <w:smallCaps w:val="0"/>
          <w:color w:val="0D0D0D"/>
          <w:highlight w:val="white"/>
          <w:rtl w:val="0"/>
        </w:rPr>
        <w:t>Under the 44th Amendment Act of 1978, fundamental rights can be suspended during national emergencies, except for the rights guaranteed under:</w:t>
      </w:r>
    </w:p>
    <w:p>
      <w:pPr>
        <w:spacing w:line="360" w:lineRule="auto"/>
        <w:jc w:val="both"/>
        <w:rPr>
          <w:rFonts w:hint="default" w:ascii="Times New Roman" w:hAnsi="Times New Roman" w:eastAsia="Times New Roman" w:cs="Times New Roman"/>
          <w:i w:val="0"/>
          <w:smallCaps w:val="0"/>
          <w:color w:val="0D0D0D"/>
          <w:highlight w:val="white"/>
        </w:rPr>
      </w:pPr>
      <w:r>
        <w:rPr>
          <w:rFonts w:hint="default" w:ascii="Times New Roman" w:hAnsi="Times New Roman" w:eastAsia="Times New Roman" w:cs="Times New Roman"/>
          <w:color w:val="0D0D0D"/>
          <w:highlight w:val="white"/>
          <w:rtl w:val="0"/>
        </w:rPr>
        <w:t>“</w:t>
      </w:r>
      <w:r>
        <w:rPr>
          <w:rFonts w:hint="default" w:ascii="Times New Roman" w:hAnsi="Times New Roman" w:eastAsia="Times New Roman" w:cs="Times New Roman"/>
          <w:i w:val="0"/>
          <w:smallCaps w:val="0"/>
          <w:color w:val="0D0D0D"/>
          <w:highlight w:val="white"/>
          <w:rtl w:val="0"/>
        </w:rPr>
        <w:t>Article 20: Protection in respect of conviction for offenses.</w:t>
      </w:r>
    </w:p>
    <w:p>
      <w:pPr>
        <w:spacing w:line="360" w:lineRule="auto"/>
        <w:jc w:val="both"/>
        <w:rPr>
          <w:rFonts w:hint="default" w:ascii="Times New Roman" w:hAnsi="Times New Roman" w:eastAsia="Times New Roman" w:cs="Times New Roman"/>
          <w:i w:val="0"/>
          <w:smallCaps w:val="0"/>
          <w:color w:val="0D0D0D"/>
          <w:highlight w:val="white"/>
        </w:rPr>
      </w:pPr>
      <w:r>
        <w:rPr>
          <w:rFonts w:hint="default" w:ascii="Times New Roman" w:hAnsi="Times New Roman" w:eastAsia="Times New Roman" w:cs="Times New Roman"/>
          <w:i w:val="0"/>
          <w:smallCaps w:val="0"/>
          <w:color w:val="0D0D0D"/>
          <w:highlight w:val="white"/>
          <w:rtl w:val="0"/>
        </w:rPr>
        <w:t>Article 21: Protection of life and personal liberty.</w:t>
      </w:r>
    </w:p>
    <w:p>
      <w:pPr>
        <w:spacing w:line="360" w:lineRule="auto"/>
        <w:jc w:val="both"/>
        <w:rPr>
          <w:rFonts w:hint="default" w:ascii="Times New Roman" w:hAnsi="Times New Roman" w:eastAsia="Times New Roman" w:cs="Times New Roman"/>
          <w:i w:val="0"/>
          <w:smallCaps w:val="0"/>
          <w:color w:val="0D0D0D"/>
          <w:highlight w:val="white"/>
        </w:rPr>
      </w:pPr>
      <w:r>
        <w:rPr>
          <w:rFonts w:hint="default" w:ascii="Times New Roman" w:hAnsi="Times New Roman" w:eastAsia="Times New Roman" w:cs="Times New Roman"/>
          <w:i w:val="0"/>
          <w:smallCaps w:val="0"/>
          <w:color w:val="0D0D0D"/>
          <w:highlight w:val="white"/>
          <w:rtl w:val="0"/>
        </w:rPr>
        <w:t>Article 21A: Right to education.</w:t>
      </w:r>
      <w:r>
        <w:rPr>
          <w:rFonts w:hint="default" w:ascii="Times New Roman" w:hAnsi="Times New Roman" w:eastAsia="Times New Roman" w:cs="Times New Roman"/>
          <w:color w:val="0D0D0D"/>
          <w:highlight w:val="white"/>
          <w:rtl w:val="0"/>
        </w:rPr>
        <w:t>”</w:t>
      </w:r>
    </w:p>
    <w:p>
      <w:pPr>
        <w:spacing w:line="360" w:lineRule="auto"/>
        <w:jc w:val="both"/>
        <w:rPr>
          <w:rFonts w:hint="default" w:ascii="Times New Roman" w:hAnsi="Times New Roman" w:eastAsia="Times New Roman" w:cs="Times New Roman"/>
          <w:i w:val="0"/>
          <w:smallCaps w:val="0"/>
          <w:color w:val="0D0D0D"/>
          <w:highlight w:val="white"/>
        </w:rPr>
      </w:pPr>
    </w:p>
    <w:p>
      <w:pPr>
        <w:spacing w:line="360" w:lineRule="auto"/>
        <w:jc w:val="both"/>
        <w:rPr>
          <w:rFonts w:hint="default" w:ascii="Times New Roman" w:hAnsi="Times New Roman" w:eastAsia="Times New Roman" w:cs="Times New Roman"/>
          <w:i w:val="0"/>
          <w:smallCaps w:val="0"/>
          <w:color w:val="0D0D0D"/>
          <w:highlight w:val="white"/>
        </w:rPr>
      </w:pPr>
      <w:r>
        <w:rPr>
          <w:rFonts w:hint="default" w:ascii="Times New Roman" w:hAnsi="Times New Roman" w:eastAsia="Times New Roman" w:cs="Times New Roman"/>
          <w:b/>
          <w:i w:val="0"/>
          <w:smallCaps w:val="0"/>
          <w:color w:val="0D0D0D"/>
          <w:highlight w:val="white"/>
          <w:rtl w:val="0"/>
        </w:rPr>
        <w:t>Restriction Under Military Rule</w:t>
      </w:r>
    </w:p>
    <w:p>
      <w:pPr>
        <w:spacing w:line="360" w:lineRule="auto"/>
        <w:jc w:val="both"/>
        <w:rPr>
          <w:rFonts w:hint="default" w:ascii="Times New Roman" w:hAnsi="Times New Roman" w:eastAsia="Times New Roman" w:cs="Times New Roman"/>
          <w:i w:val="0"/>
          <w:smallCaps w:val="0"/>
          <w:color w:val="0D0D0D"/>
          <w:highlight w:val="white"/>
        </w:rPr>
      </w:pPr>
      <w:r>
        <w:rPr>
          <w:rFonts w:hint="default" w:ascii="Times New Roman" w:hAnsi="Times New Roman" w:eastAsia="Times New Roman" w:cs="Times New Roman"/>
          <w:i w:val="0"/>
          <w:smallCaps w:val="0"/>
          <w:color w:val="0D0D0D"/>
          <w:highlight w:val="white"/>
          <w:rtl w:val="0"/>
        </w:rPr>
        <w:t>Articles 33 and 34 empower Parliament to restrict, modify, or abrogate fundamental rights during times of military rule in any specific area.</w:t>
      </w:r>
    </w:p>
    <w:p>
      <w:pPr>
        <w:spacing w:line="360" w:lineRule="auto"/>
        <w:ind w:left="0" w:firstLine="0"/>
        <w:jc w:val="both"/>
        <w:rPr>
          <w:rFonts w:hint="default" w:ascii="Times New Roman" w:hAnsi="Times New Roman" w:eastAsia="Times New Roman" w:cs="Times New Roman"/>
          <w:color w:val="0D0D0D"/>
          <w:highlight w:val="white"/>
        </w:rPr>
      </w:pPr>
    </w:p>
    <w:p>
      <w:pPr>
        <w:spacing w:line="360" w:lineRule="auto"/>
        <w:ind w:left="0" w:firstLine="1081" w:firstLineChars="450"/>
        <w:jc w:val="both"/>
        <w:rPr>
          <w:rFonts w:hint="default" w:ascii="Times New Roman" w:hAnsi="Times New Roman" w:eastAsia="Times New Roman" w:cs="Times New Roman"/>
          <w:b/>
        </w:rPr>
      </w:pPr>
      <w:r>
        <w:rPr>
          <w:rFonts w:hint="default" w:ascii="Times New Roman" w:hAnsi="Times New Roman" w:eastAsia="Times New Roman" w:cs="Times New Roman"/>
          <w:b/>
          <w:rtl w:val="0"/>
        </w:rPr>
        <w:t>RECOGNITION OF PRIVACY FUNDAMNTAL RIGHT</w:t>
      </w:r>
    </w:p>
    <w:p>
      <w:pPr>
        <w:spacing w:line="360" w:lineRule="auto"/>
        <w:jc w:val="both"/>
        <w:rPr>
          <w:rFonts w:hint="default" w:ascii="Times New Roman" w:hAnsi="Times New Roman" w:eastAsia="Times New Roman" w:cs="Times New Roman"/>
          <w:b/>
        </w:rPr>
      </w:pPr>
    </w:p>
    <w:p>
      <w:pPr>
        <w:numPr>
          <w:ilvl w:val="0"/>
          <w:numId w:val="4"/>
        </w:numPr>
        <w:spacing w:line="360" w:lineRule="auto"/>
        <w:ind w:left="420" w:hanging="420"/>
        <w:jc w:val="both"/>
        <w:rPr>
          <w:rFonts w:hint="default" w:ascii="Times New Roman" w:hAnsi="Times New Roman" w:cs="Times New Roman"/>
          <w:b/>
        </w:rPr>
      </w:pPr>
      <w:r>
        <w:rPr>
          <w:rFonts w:hint="default" w:ascii="Times New Roman" w:hAnsi="Times New Roman" w:eastAsia="Times New Roman" w:cs="Times New Roman"/>
          <w:b w:val="0"/>
          <w:rtl w:val="0"/>
        </w:rPr>
        <w:t>INTRODUCTION</w:t>
      </w:r>
    </w:p>
    <w:p>
      <w:pPr>
        <w:spacing w:line="360" w:lineRule="auto"/>
        <w:jc w:val="both"/>
        <w:rPr>
          <w:rFonts w:hint="default" w:ascii="Times New Roman" w:hAnsi="Times New Roman" w:eastAsia="Times New Roman" w:cs="Times New Roman"/>
        </w:rPr>
      </w:pPr>
      <w:r>
        <w:rPr>
          <w:rFonts w:hint="default" w:ascii="Times New Roman" w:hAnsi="Times New Roman" w:eastAsia="Times New Roman" w:cs="Times New Roman"/>
          <w:rtl w:val="0"/>
        </w:rPr>
        <w:t>Before we can fully examine the right to privacy, we must first understand what the word "privacy" means.  According to Black's Law Dictionary, Privacy means "Right to be left alone; the freedom of a person from any unwarranted publicity; the right to live without any unwarranted intrusion by the public in things with which the public is not necessarily concerned.</w:t>
      </w:r>
    </w:p>
    <w:p>
      <w:pPr>
        <w:spacing w:line="360" w:lineRule="auto"/>
        <w:jc w:val="both"/>
        <w:rPr>
          <w:rFonts w:hint="default" w:ascii="Times New Roman" w:hAnsi="Times New Roman" w:eastAsia="Times New Roman" w:cs="Times New Roman"/>
          <w:b/>
        </w:rPr>
      </w:pPr>
    </w:p>
    <w:p>
      <w:pPr>
        <w:numPr>
          <w:ilvl w:val="0"/>
          <w:numId w:val="4"/>
        </w:numPr>
        <w:spacing w:line="360" w:lineRule="auto"/>
        <w:ind w:left="420" w:hanging="420"/>
        <w:jc w:val="both"/>
        <w:rPr>
          <w:rFonts w:hint="default" w:ascii="Times New Roman" w:hAnsi="Times New Roman" w:cs="Times New Roman"/>
          <w:b w:val="0"/>
        </w:rPr>
      </w:pPr>
      <w:r>
        <w:rPr>
          <w:rFonts w:hint="default" w:ascii="Times New Roman" w:hAnsi="Times New Roman" w:eastAsia="Times New Roman" w:cs="Times New Roman"/>
          <w:b w:val="0"/>
          <w:rtl w:val="0"/>
        </w:rPr>
        <w:t>RIGHT TO PRIVACY?</w:t>
      </w:r>
    </w:p>
    <w:p>
      <w:pPr>
        <w:spacing w:line="360" w:lineRule="auto"/>
        <w:jc w:val="both"/>
        <w:rPr>
          <w:rFonts w:hint="default" w:ascii="Times New Roman" w:hAnsi="Times New Roman" w:eastAsia="Times New Roman" w:cs="Times New Roman"/>
          <w:b w:val="0"/>
          <w:i w:val="0"/>
          <w:smallCaps w:val="0"/>
          <w:color w:val="0D0D0D"/>
          <w:highlight w:val="white"/>
        </w:rPr>
      </w:pPr>
      <w:r>
        <w:rPr>
          <w:rFonts w:hint="default" w:ascii="Times New Roman" w:hAnsi="Times New Roman" w:eastAsia="Times New Roman" w:cs="Times New Roman"/>
          <w:b w:val="0"/>
          <w:i w:val="0"/>
          <w:smallCaps w:val="0"/>
          <w:color w:val="0D0D0D"/>
          <w:highlight w:val="white"/>
          <w:rtl w:val="0"/>
        </w:rPr>
        <w:t>Article 12 of the Universal Declaration of Human Rights (1948) articulates, "No one shall be subjected to arbitrary interference with his private, family, home, or communications, nor to attacks upon his honour and reputation." This provision asserts that everyone has the right to the protection of the law against such intrusions or assaults.</w:t>
      </w:r>
    </w:p>
    <w:p>
      <w:pPr>
        <w:spacing w:line="360" w:lineRule="auto"/>
        <w:jc w:val="both"/>
        <w:rPr>
          <w:rFonts w:hint="default" w:ascii="Times New Roman" w:hAnsi="Times New Roman" w:eastAsia="Times New Roman" w:cs="Times New Roman"/>
          <w:i w:val="0"/>
          <w:smallCaps w:val="0"/>
          <w:color w:val="0D0D0D"/>
          <w:highlight w:val="white"/>
        </w:rPr>
      </w:pPr>
      <w:r>
        <w:rPr>
          <w:rFonts w:hint="default" w:ascii="Times New Roman" w:hAnsi="Times New Roman" w:eastAsia="Times New Roman" w:cs="Times New Roman"/>
          <w:i w:val="0"/>
          <w:smallCaps w:val="0"/>
          <w:color w:val="0D0D0D"/>
          <w:highlight w:val="white"/>
          <w:rtl w:val="0"/>
        </w:rPr>
        <w:t xml:space="preserve">Recently, a judgment  was passed by Justice D.Y.Chandrachud that over the principles evolved in the Habeas Corpus casein the  case of </w:t>
      </w:r>
      <w:r>
        <w:rPr>
          <w:rFonts w:hint="default" w:ascii="Times New Roman" w:hAnsi="Times New Roman" w:eastAsia="Times New Roman" w:cs="Times New Roman"/>
          <w:b/>
          <w:i w:val="0"/>
          <w:smallCaps w:val="0"/>
          <w:color w:val="0D0D0D"/>
          <w:highlight w:val="white"/>
          <w:rtl w:val="0"/>
        </w:rPr>
        <w:t>Justice K.S. Puttaswamy and ors. V. Union of India</w:t>
      </w:r>
      <w:r>
        <w:rPr>
          <w:rFonts w:hint="default" w:ascii="Times New Roman" w:hAnsi="Times New Roman" w:eastAsia="Times New Roman" w:cs="Times New Roman"/>
          <w:b/>
          <w:i w:val="0"/>
          <w:smallCaps w:val="0"/>
          <w:color w:val="0D0D0D"/>
          <w:highlight w:val="white"/>
          <w:vertAlign w:val="superscript"/>
        </w:rPr>
        <w:footnoteReference w:id="0"/>
      </w:r>
      <w:r>
        <w:rPr>
          <w:rFonts w:hint="default" w:ascii="Times New Roman" w:hAnsi="Times New Roman" w:eastAsia="Times New Roman" w:cs="Times New Roman"/>
          <w:i w:val="0"/>
          <w:smallCaps w:val="0"/>
          <w:color w:val="0D0D0D"/>
          <w:highlight w:val="white"/>
          <w:rtl w:val="0"/>
        </w:rPr>
        <w:t>, that evolved as a landmark case in the history of India with regards  to the status of Right to Privacy.</w:t>
      </w:r>
    </w:p>
    <w:p>
      <w:pPr>
        <w:spacing w:line="360" w:lineRule="auto"/>
        <w:jc w:val="both"/>
        <w:rPr>
          <w:rFonts w:hint="default" w:ascii="Times New Roman" w:hAnsi="Times New Roman" w:eastAsia="Times New Roman" w:cs="Times New Roman"/>
          <w:i w:val="0"/>
          <w:smallCaps w:val="0"/>
          <w:color w:val="0D0D0D"/>
          <w:highlight w:val="white"/>
        </w:rPr>
      </w:pPr>
    </w:p>
    <w:p>
      <w:pPr>
        <w:numPr>
          <w:ilvl w:val="0"/>
          <w:numId w:val="5"/>
        </w:numPr>
        <w:spacing w:line="360" w:lineRule="auto"/>
        <w:ind w:left="420" w:leftChars="0" w:hanging="420" w:firstLineChars="0"/>
        <w:jc w:val="both"/>
        <w:rPr>
          <w:rFonts w:hint="default" w:ascii="Times New Roman" w:hAnsi="Times New Roman" w:cs="Times New Roman"/>
          <w:b w:val="0"/>
        </w:rPr>
      </w:pPr>
      <w:r>
        <w:rPr>
          <w:rFonts w:hint="default" w:ascii="Times New Roman" w:hAnsi="Times New Roman" w:eastAsia="Times New Roman" w:cs="Times New Roman"/>
          <w:b w:val="0"/>
          <w:rtl w:val="0"/>
        </w:rPr>
        <w:t>EVOLUTION  OF RIGHT TO PRIVACY</w:t>
      </w:r>
    </w:p>
    <w:p>
      <w:pPr>
        <w:spacing w:line="360" w:lineRule="auto"/>
        <w:jc w:val="both"/>
        <w:rPr>
          <w:rFonts w:hint="default" w:ascii="Times New Roman" w:hAnsi="Times New Roman" w:eastAsia="Times New Roman" w:cs="Times New Roman"/>
          <w:b w:val="0"/>
        </w:rPr>
      </w:pPr>
    </w:p>
    <w:p>
      <w:pPr>
        <w:spacing w:line="360" w:lineRule="auto"/>
        <w:jc w:val="both"/>
        <w:rPr>
          <w:rFonts w:hint="default" w:ascii="Times New Roman" w:hAnsi="Times New Roman" w:eastAsia="Times New Roman" w:cs="Times New Roman"/>
          <w:b/>
        </w:rPr>
      </w:pPr>
      <w:r>
        <w:rPr>
          <w:rFonts w:hint="default" w:ascii="Times New Roman" w:hAnsi="Times New Roman" w:eastAsia="Times New Roman" w:cs="Times New Roman"/>
          <w:b/>
          <w:rtl w:val="0"/>
        </w:rPr>
        <w:t>Ancient India:-</w:t>
      </w: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In the earliest Hindu writings, the concept of seclusion can also be pragmatic. We can see from  the Hitopadesha that certain topics, including religion, sex, and family concerns, should be kept private. The idea itself is not entirely foreign to Indian culture, but some legal experts, such as Sheetal Asrani-Dann, have some concerns about the country's right to privacy. In light of this, she also explains Upendra Baxi's position; however, Upendra Baxi is obviously concerned about kindness, sympathy, humanity, or gentleness; this is an unquenchable curiosity; it is not about malice. Even the concept of privacy was connected to "Positive Morality" in ancient times. As a result, the ancient Indian text's definition of the right to privacy was ambiguous</w:t>
      </w:r>
      <w:r>
        <w:rPr>
          <w:rFonts w:hint="default" w:ascii="Times New Roman" w:hAnsi="Times New Roman" w:eastAsia="Times New Roman" w:cs="Times New Roman"/>
          <w:b w:val="0"/>
          <w:vertAlign w:val="superscript"/>
        </w:rPr>
        <w:footnoteReference w:id="1"/>
      </w:r>
      <w:r>
        <w:rPr>
          <w:rFonts w:hint="default" w:ascii="Times New Roman" w:hAnsi="Times New Roman" w:eastAsia="Times New Roman" w:cs="Times New Roman"/>
          <w:b w:val="0"/>
          <w:rtl w:val="0"/>
        </w:rPr>
        <w:t xml:space="preserve">. </w:t>
      </w:r>
    </w:p>
    <w:p>
      <w:pPr>
        <w:spacing w:line="360" w:lineRule="auto"/>
        <w:jc w:val="both"/>
        <w:rPr>
          <w:rFonts w:hint="default" w:ascii="Times New Roman" w:hAnsi="Times New Roman" w:eastAsia="Times New Roman" w:cs="Times New Roman"/>
          <w:i w:val="0"/>
          <w:smallCaps w:val="0"/>
          <w:color w:val="0D0D0D"/>
          <w:highlight w:val="white"/>
        </w:rPr>
      </w:pPr>
    </w:p>
    <w:p>
      <w:pPr>
        <w:spacing w:line="360" w:lineRule="auto"/>
        <w:jc w:val="both"/>
        <w:rPr>
          <w:rFonts w:hint="default" w:ascii="Times New Roman" w:hAnsi="Times New Roman" w:eastAsia="Times New Roman" w:cs="Times New Roman"/>
          <w:b/>
          <w:i w:val="0"/>
          <w:smallCaps w:val="0"/>
          <w:color w:val="0D0D0D"/>
          <w:highlight w:val="white"/>
        </w:rPr>
      </w:pPr>
      <w:r>
        <w:rPr>
          <w:rFonts w:hint="default" w:ascii="Times New Roman" w:hAnsi="Times New Roman" w:eastAsia="Times New Roman" w:cs="Times New Roman"/>
          <w:b/>
          <w:i w:val="0"/>
          <w:color w:val="0D0D0D"/>
          <w:highlight w:val="white"/>
          <w:rtl w:val="0"/>
        </w:rPr>
        <w:t>M</w:t>
      </w:r>
      <w:r>
        <w:rPr>
          <w:rFonts w:hint="default" w:ascii="Times New Roman" w:hAnsi="Times New Roman" w:eastAsia="Times New Roman" w:cs="Times New Roman"/>
          <w:b/>
          <w:i w:val="0"/>
          <w:smallCaps w:val="0"/>
          <w:color w:val="0D0D0D"/>
          <w:highlight w:val="white"/>
          <w:rtl w:val="0"/>
        </w:rPr>
        <w:t>odern India:-</w:t>
      </w: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 xml:space="preserve">The right to privacy was first discussed during the Constituent Assembly debates. K.S. Karimuddin proposed the amendment, and B.R. Ambedkar only offered snobbish support. As a result, the right to privacy was not included in the Indian Constitution. </w:t>
      </w: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 xml:space="preserve">The journey of recognizing privacy as a fundamental right began in the 1960s. </w:t>
      </w:r>
      <w:r>
        <w:rPr>
          <w:rFonts w:hint="default" w:ascii="Times New Roman" w:hAnsi="Times New Roman" w:eastAsia="Times New Roman" w:cs="Times New Roman"/>
          <w:b/>
          <w:rtl w:val="0"/>
        </w:rPr>
        <w:t>MP Sharma v. Satish Chandra</w:t>
      </w:r>
      <w:r>
        <w:rPr>
          <w:rFonts w:hint="default" w:ascii="Times New Roman" w:hAnsi="Times New Roman" w:eastAsia="Times New Roman" w:cs="Times New Roman"/>
          <w:b/>
          <w:vertAlign w:val="superscript"/>
        </w:rPr>
        <w:footnoteReference w:id="2"/>
      </w:r>
      <w:r>
        <w:rPr>
          <w:rFonts w:hint="default" w:ascii="Times New Roman" w:hAnsi="Times New Roman" w:eastAsia="Times New Roman" w:cs="Times New Roman"/>
          <w:b/>
          <w:rtl w:val="0"/>
        </w:rPr>
        <w:t>,</w:t>
      </w:r>
      <w:r>
        <w:rPr>
          <w:rFonts w:hint="default" w:ascii="Times New Roman" w:hAnsi="Times New Roman" w:eastAsia="Times New Roman" w:cs="Times New Roman"/>
          <w:b w:val="0"/>
          <w:rtl w:val="0"/>
        </w:rPr>
        <w:t>an eight-judge bench of the Supreme Court</w:t>
      </w:r>
      <w:r>
        <w:rPr>
          <w:rFonts w:hint="default" w:ascii="Times New Roman" w:hAnsi="Times New Roman" w:eastAsia="Times New Roman" w:cs="Times New Roman"/>
          <w:b/>
          <w:rtl w:val="0"/>
        </w:rPr>
        <w:t xml:space="preserve"> </w:t>
      </w:r>
      <w:r>
        <w:rPr>
          <w:rFonts w:hint="default" w:ascii="Times New Roman" w:hAnsi="Times New Roman" w:eastAsia="Times New Roman" w:cs="Times New Roman"/>
          <w:b w:val="0"/>
          <w:rtl w:val="0"/>
        </w:rPr>
        <w:t xml:space="preserve">which dealt with the authority to search and seize records from the Dalmia Group, rejected the right to privacy, deeming it not a fundamental right. This stance was upheld in </w:t>
      </w:r>
      <w:r>
        <w:rPr>
          <w:rFonts w:hint="default" w:ascii="Times New Roman" w:hAnsi="Times New Roman" w:eastAsia="Times New Roman" w:cs="Times New Roman"/>
          <w:b/>
          <w:rtl w:val="0"/>
        </w:rPr>
        <w:t>Kharak Singh v. State of Uttar Pradesh</w:t>
      </w:r>
      <w:r>
        <w:rPr>
          <w:rFonts w:hint="default" w:ascii="Times New Roman" w:hAnsi="Times New Roman" w:eastAsia="Times New Roman" w:cs="Times New Roman"/>
          <w:b/>
          <w:vertAlign w:val="superscript"/>
        </w:rPr>
        <w:footnoteReference w:id="3"/>
      </w:r>
      <w:r>
        <w:rPr>
          <w:rFonts w:hint="default" w:ascii="Times New Roman" w:hAnsi="Times New Roman" w:eastAsia="Times New Roman" w:cs="Times New Roman"/>
          <w:b w:val="0"/>
          <w:rtl w:val="0"/>
        </w:rPr>
        <w:t>, where a six-judge bench. Although the Supreme Court determined that there is no basic right to privacy, it nevertheless overturned the rule permitting nighttime visits because it violated "personal liberty." Justice Subba Rao dissented, stating that although while the right to privacy was not included in the Indian Constitution or recognized as a fundamental right, it is nevertheless a crucial aspect of personal freedom.</w:t>
      </w:r>
      <w:r>
        <w:rPr>
          <w:rFonts w:hint="default" w:ascii="Times New Roman" w:hAnsi="Times New Roman" w:eastAsia="Times New Roman" w:cs="Times New Roman"/>
          <w:b w:val="0"/>
          <w:vertAlign w:val="superscript"/>
        </w:rPr>
        <w:footnoteReference w:id="4"/>
      </w:r>
    </w:p>
    <w:p>
      <w:pPr>
        <w:spacing w:line="360" w:lineRule="auto"/>
        <w:jc w:val="both"/>
        <w:rPr>
          <w:rFonts w:hint="default" w:ascii="Times New Roman" w:hAnsi="Times New Roman" w:eastAsia="Times New Roman" w:cs="Times New Roman"/>
          <w:b w:val="0"/>
        </w:rPr>
      </w:pP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After roughly eleven long years, the Supreme Court held in</w:t>
      </w:r>
      <w:r>
        <w:rPr>
          <w:rFonts w:hint="default" w:ascii="Times New Roman" w:hAnsi="Times New Roman" w:eastAsia="Times New Roman" w:cs="Times New Roman"/>
          <w:b/>
          <w:rtl w:val="0"/>
        </w:rPr>
        <w:t xml:space="preserve"> Gobind v. State of Madhya Pradesh</w:t>
      </w:r>
      <w:r>
        <w:rPr>
          <w:rFonts w:hint="default" w:ascii="Times New Roman" w:hAnsi="Times New Roman" w:eastAsia="Times New Roman" w:cs="Times New Roman"/>
          <w:b/>
          <w:vertAlign w:val="superscript"/>
        </w:rPr>
        <w:footnoteReference w:id="5"/>
      </w:r>
      <w:r>
        <w:rPr>
          <w:rFonts w:hint="default" w:ascii="Times New Roman" w:hAnsi="Times New Roman" w:eastAsia="Times New Roman" w:cs="Times New Roman"/>
          <w:b w:val="0"/>
          <w:rtl w:val="0"/>
        </w:rPr>
        <w:t xml:space="preserve"> that there is a fundamental right to privacy under Article 21. This decision was made by a smaller three-judge bench. Despite Gobind's defeat, privacy won for the first time and received some respect under the Indian Constitution's provisions for personal liberty</w:t>
      </w:r>
      <w:r>
        <w:rPr>
          <w:rFonts w:hint="default" w:ascii="Times New Roman" w:hAnsi="Times New Roman" w:eastAsia="Times New Roman" w:cs="Times New Roman"/>
          <w:b w:val="0"/>
          <w:vertAlign w:val="superscript"/>
        </w:rPr>
        <w:footnoteReference w:id="6"/>
      </w: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 xml:space="preserve">     </w:t>
      </w: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 xml:space="preserve">By this point, our fundamental rights included the right to privacy. It never encountered a challenge to its legitimacy as serious as the one it encountered before the nine-judge panel in the 2017 case of </w:t>
      </w:r>
      <w:r>
        <w:rPr>
          <w:rFonts w:hint="default" w:ascii="Times New Roman" w:hAnsi="Times New Roman" w:eastAsia="Times New Roman" w:cs="Times New Roman"/>
          <w:b/>
          <w:rtl w:val="0"/>
        </w:rPr>
        <w:t>K.S</w:t>
      </w:r>
      <w:r>
        <w:rPr>
          <w:rFonts w:hint="default" w:ascii="Times New Roman" w:hAnsi="Times New Roman" w:eastAsia="Times New Roman" w:cs="Times New Roman"/>
          <w:b w:val="0"/>
          <w:rtl w:val="0"/>
        </w:rPr>
        <w:t xml:space="preserve">. </w:t>
      </w:r>
      <w:r>
        <w:rPr>
          <w:rFonts w:hint="default" w:ascii="Times New Roman" w:hAnsi="Times New Roman" w:eastAsia="Times New Roman" w:cs="Times New Roman"/>
          <w:b/>
          <w:rtl w:val="0"/>
        </w:rPr>
        <w:t>Puttaswamy v. Union of India</w:t>
      </w:r>
      <w:r>
        <w:rPr>
          <w:rFonts w:hint="default" w:ascii="Times New Roman" w:hAnsi="Times New Roman" w:eastAsia="Times New Roman" w:cs="Times New Roman"/>
          <w:b/>
          <w:vertAlign w:val="superscript"/>
        </w:rPr>
        <w:footnoteReference w:id="7"/>
      </w:r>
      <w:r>
        <w:rPr>
          <w:rFonts w:hint="default" w:ascii="Times New Roman" w:hAnsi="Times New Roman" w:eastAsia="Times New Roman" w:cs="Times New Roman"/>
          <w:b w:val="0"/>
          <w:rtl w:val="0"/>
        </w:rPr>
        <w:t>, which overturned the judgments of M.P. Sharma and Kharak Singh. Following the latest ruling in 2017, it is evident that the right to privacy is a fundamental freedom and will continue to be included in the Golden Trinity of Articles 14 (right to equality),  19 (right to freedom), and 21 (right to life) (Right to Life and Personal Liberty</w:t>
      </w:r>
      <w:r>
        <w:rPr>
          <w:rFonts w:hint="default" w:ascii="Times New Roman" w:hAnsi="Times New Roman" w:eastAsia="Times New Roman" w:cs="Times New Roman"/>
          <w:b w:val="0"/>
          <w:vertAlign w:val="superscript"/>
        </w:rPr>
        <w:footnoteReference w:id="8"/>
      </w:r>
      <w:r>
        <w:rPr>
          <w:rFonts w:hint="default" w:ascii="Times New Roman" w:hAnsi="Times New Roman" w:eastAsia="Times New Roman" w:cs="Times New Roman"/>
          <w:b w:val="0"/>
          <w:rtl w:val="0"/>
        </w:rPr>
        <w:t>.</w:t>
      </w:r>
    </w:p>
    <w:p>
      <w:pPr>
        <w:spacing w:line="360" w:lineRule="auto"/>
        <w:jc w:val="both"/>
        <w:rPr>
          <w:rFonts w:hint="default" w:ascii="Times New Roman" w:hAnsi="Times New Roman" w:eastAsia="Times New Roman" w:cs="Times New Roman"/>
          <w:b w:val="0"/>
        </w:rPr>
      </w:pPr>
    </w:p>
    <w:p>
      <w:pPr>
        <w:numPr>
          <w:ilvl w:val="0"/>
          <w:numId w:val="4"/>
        </w:numPr>
        <w:spacing w:line="360" w:lineRule="auto"/>
        <w:ind w:left="420" w:hanging="420"/>
        <w:jc w:val="both"/>
        <w:rPr>
          <w:rFonts w:hint="default" w:ascii="Times New Roman" w:hAnsi="Times New Roman" w:cs="Times New Roman"/>
          <w:b w:val="0"/>
        </w:rPr>
      </w:pPr>
      <w:r>
        <w:rPr>
          <w:rFonts w:hint="default" w:ascii="Times New Roman" w:hAnsi="Times New Roman" w:eastAsia="Times New Roman" w:cs="Times New Roman"/>
          <w:b w:val="0"/>
          <w:rtl w:val="0"/>
        </w:rPr>
        <w:t>WHY IS IT IMPORTANT TO RECOGNIZE PRIVACY AS A FUNDAMENTAL RIGHT?</w:t>
      </w:r>
    </w:p>
    <w:p>
      <w:pPr>
        <w:spacing w:line="360" w:lineRule="auto"/>
        <w:jc w:val="both"/>
        <w:rPr>
          <w:rFonts w:hint="default" w:ascii="Times New Roman" w:hAnsi="Times New Roman" w:eastAsia="Times New Roman" w:cs="Times New Roman"/>
          <w:b w:val="0"/>
        </w:rPr>
      </w:pP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Article 12 of the Universal Declaration of Human Rights (UDHR), article 17 of the enforceable International Covenant on Civil and Political Rights (ICCPR), and article 16 of the Convention on the Rights of the Child all contain stipulations about the right to privacy (CRC). The right to privacy is mentioned in numerous country constitutions and human rights declarations. Although it isn't written officially in the US Constitution, scholars deduce it from a number of amendments, notably the Fourth Amendment. People are entitled to "the security of their persons, houses, papers, and belongings against unwarranted searches and seizures," according to the document. The US Supreme Court has frequently affirmed the right to privacy.</w:t>
      </w: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The protection of personal information from the government and corporations is the goal of numerous privacy laws. Many people think that the law has not kept up with the internet's development since it has complicated privacy laws. There is no centralised federal privacy law in the United States. Many other human rights, including the freedom of expression, the right to seek, receive, and disseminate information, and the right to freedom of organization and assembly, intersect with the right to privacy.</w:t>
      </w: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Some of the reasons that justify that it is important to  recognize privacy as a fundamental right:-</w:t>
      </w:r>
    </w:p>
    <w:p>
      <w:pPr>
        <w:spacing w:line="360" w:lineRule="auto"/>
        <w:jc w:val="both"/>
        <w:rPr>
          <w:rFonts w:hint="default" w:ascii="Times New Roman" w:hAnsi="Times New Roman" w:eastAsia="Times New Roman" w:cs="Times New Roman"/>
          <w:b/>
        </w:rPr>
      </w:pPr>
      <w:r>
        <w:rPr>
          <w:rFonts w:hint="default" w:ascii="Times New Roman" w:hAnsi="Times New Roman" w:eastAsia="Times New Roman" w:cs="Times New Roman"/>
          <w:b/>
          <w:rtl w:val="0"/>
        </w:rPr>
        <w:t>1.Privacy Rights Prevent The Government From Spying On People (Without Cause) :</w:t>
      </w: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Although the government has a duty to defend its citizens, it frequently oversteps the mark when it comes to monitoring. The NSA's espionage operation was exposed by Edward Snowden in 2013, which raised awareness of the privacy issue. It might be challenging to strike a balance between private rights, monitoring, and national security. Most people concur that the government shouldn't spy on someone if there is no legitimate basis for it to do so. Big Brother states are not something that anyone wants to live in.</w:t>
      </w:r>
    </w:p>
    <w:p>
      <w:pPr>
        <w:spacing w:line="360" w:lineRule="auto"/>
        <w:jc w:val="both"/>
        <w:rPr>
          <w:rFonts w:hint="default" w:ascii="Times New Roman" w:hAnsi="Times New Roman" w:eastAsia="Times New Roman" w:cs="Times New Roman"/>
          <w:b w:val="0"/>
        </w:rPr>
      </w:pPr>
    </w:p>
    <w:p>
      <w:pPr>
        <w:numPr>
          <w:ilvl w:val="0"/>
          <w:numId w:val="6"/>
        </w:numPr>
        <w:spacing w:line="360" w:lineRule="auto"/>
        <w:ind w:left="0" w:firstLine="0"/>
        <w:jc w:val="both"/>
        <w:rPr>
          <w:rFonts w:hint="default" w:ascii="Times New Roman" w:hAnsi="Times New Roman" w:eastAsia="Times New Roman" w:cs="Times New Roman"/>
          <w:b/>
        </w:rPr>
      </w:pPr>
      <w:r>
        <w:rPr>
          <w:rFonts w:hint="default" w:ascii="Times New Roman" w:hAnsi="Times New Roman" w:eastAsia="Times New Roman" w:cs="Times New Roman"/>
          <w:b/>
          <w:rtl w:val="0"/>
        </w:rPr>
        <w:t xml:space="preserve">Privacy Rights Keep Groups From Using Personal Data For Their Own Goals:- </w:t>
      </w: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Personal information can be used as a potent weapon in the wrong hands. The Cambridge Analytical controversy is a prime illustration of this. Without user authorization, this organization exploited Facebook data to target voters with political ads. Groups are not allowed to use your data for their own purposes without your knowledge or consent thanks to privacy rights. Privacy rights that forbid technology corporations from utilizing the data anyway they like are crucial in a time when companies like Facebook, Amazon, Google, and others acquire and keep personal information.</w:t>
      </w:r>
    </w:p>
    <w:p>
      <w:pPr>
        <w:spacing w:line="360" w:lineRule="auto"/>
        <w:jc w:val="both"/>
        <w:rPr>
          <w:rFonts w:hint="default" w:ascii="Times New Roman" w:hAnsi="Times New Roman" w:eastAsia="Times New Roman" w:cs="Times New Roman"/>
          <w:b w:val="0"/>
        </w:rPr>
      </w:pPr>
    </w:p>
    <w:p>
      <w:pPr>
        <w:numPr>
          <w:ilvl w:val="0"/>
          <w:numId w:val="6"/>
        </w:numPr>
        <w:spacing w:line="360" w:lineRule="auto"/>
        <w:ind w:left="0" w:firstLine="0"/>
        <w:jc w:val="both"/>
        <w:rPr>
          <w:rFonts w:hint="default" w:ascii="Times New Roman" w:hAnsi="Times New Roman" w:eastAsia="Times New Roman" w:cs="Times New Roman"/>
          <w:b/>
        </w:rPr>
      </w:pPr>
      <w:r>
        <w:rPr>
          <w:rFonts w:hint="default" w:ascii="Times New Roman" w:hAnsi="Times New Roman" w:eastAsia="Times New Roman" w:cs="Times New Roman"/>
          <w:b/>
          <w:rtl w:val="0"/>
        </w:rPr>
        <w:t xml:space="preserve">Privacy Rights Help Maintain Social Boundaries:- </w:t>
      </w: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Everybody has information they don't want some people to know. Healthy relationships and successful careers depend on having the freedom to set boundaries. Setting limits in the past was as simple as deciding not to discuss certain subjects. The volume of private data stored online today makes the procedure more challenging. Many things on social media can be made public that we don't want particular individuals (or complete strangers) to know. Media outlets must provide security features. Our minds are at ease when we have control over who knows what.</w:t>
      </w:r>
    </w:p>
    <w:p>
      <w:pPr>
        <w:spacing w:line="360" w:lineRule="auto"/>
        <w:jc w:val="both"/>
        <w:rPr>
          <w:rFonts w:hint="default" w:ascii="Times New Roman" w:hAnsi="Times New Roman" w:eastAsia="Times New Roman" w:cs="Times New Roman"/>
          <w:b w:val="0"/>
        </w:rPr>
      </w:pPr>
    </w:p>
    <w:p>
      <w:pPr>
        <w:numPr>
          <w:ilvl w:val="0"/>
          <w:numId w:val="6"/>
        </w:numPr>
        <w:spacing w:line="360" w:lineRule="auto"/>
        <w:ind w:left="0" w:firstLine="0"/>
        <w:jc w:val="both"/>
        <w:rPr>
          <w:rFonts w:hint="default" w:ascii="Times New Roman" w:hAnsi="Times New Roman" w:eastAsia="Times New Roman" w:cs="Times New Roman"/>
          <w:b/>
        </w:rPr>
      </w:pPr>
      <w:r>
        <w:rPr>
          <w:rFonts w:hint="default" w:ascii="Times New Roman" w:hAnsi="Times New Roman" w:eastAsia="Times New Roman" w:cs="Times New Roman"/>
          <w:b/>
          <w:rtl w:val="0"/>
        </w:rPr>
        <w:t>Privacy Rights Protect Freedom Of Speech And Thought:-</w:t>
      </w: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All of your actions may be tracked if privacy rights weren't established. That implies that certain ideas and behaviours might be stigmatised. Based on your own viewpoints on anything, you might be tracked. If your right to privacy didn't allow you to maintain a separation between job and home life, your words outside of work could be considered "thought crimes" and put you in legal hot water. Your freedom to think and speak without worrying about an all-seeing eye is protected by privacy rights.</w:t>
      </w:r>
    </w:p>
    <w:p>
      <w:pPr>
        <w:spacing w:line="360" w:lineRule="auto"/>
        <w:jc w:val="both"/>
        <w:rPr>
          <w:rFonts w:hint="default" w:ascii="Times New Roman" w:hAnsi="Times New Roman" w:eastAsia="Times New Roman" w:cs="Times New Roman"/>
          <w:b w:val="0"/>
        </w:rPr>
      </w:pPr>
    </w:p>
    <w:p>
      <w:pPr>
        <w:numPr>
          <w:ilvl w:val="0"/>
          <w:numId w:val="6"/>
        </w:numPr>
        <w:spacing w:line="360" w:lineRule="auto"/>
        <w:ind w:left="0" w:firstLine="0"/>
        <w:jc w:val="both"/>
        <w:rPr>
          <w:rFonts w:hint="default" w:ascii="Times New Roman" w:hAnsi="Times New Roman" w:eastAsia="Times New Roman" w:cs="Times New Roman"/>
          <w:b/>
        </w:rPr>
      </w:pPr>
      <w:r>
        <w:rPr>
          <w:rFonts w:hint="default" w:ascii="Times New Roman" w:hAnsi="Times New Roman" w:eastAsia="Times New Roman" w:cs="Times New Roman"/>
          <w:b/>
          <w:rtl w:val="0"/>
        </w:rPr>
        <w:t>Privacy Rights Protect Reputations:-</w:t>
      </w: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Each of us has made a mistake or posted something regrettable online. We risk having it come back to bite us and damage our reputations. In addition to giving us the authority to have certain information removed, privacy rights also help to safeguard us. This is addressed particularly by the EU's "right to be forgotten" statute. A request can be made in some cases to have private information removed from internet searches. Personal information that might ruin someone's reputation includes revenge porn, which is a privacy infringement.</w:t>
      </w:r>
    </w:p>
    <w:p>
      <w:pPr>
        <w:spacing w:line="360" w:lineRule="auto"/>
        <w:jc w:val="both"/>
        <w:rPr>
          <w:rFonts w:hint="default" w:ascii="Times New Roman" w:hAnsi="Times New Roman" w:eastAsia="Times New Roman" w:cs="Times New Roman"/>
          <w:b w:val="0"/>
        </w:rPr>
      </w:pPr>
    </w:p>
    <w:p>
      <w:pPr>
        <w:spacing w:line="360" w:lineRule="auto"/>
        <w:ind w:left="0" w:firstLine="120" w:firstLineChars="50"/>
        <w:jc w:val="both"/>
        <w:rPr>
          <w:rFonts w:hint="default" w:ascii="Times New Roman" w:hAnsi="Times New Roman" w:eastAsia="Times New Roman" w:cs="Times New Roman"/>
          <w:b/>
        </w:rPr>
      </w:pPr>
      <w:r>
        <w:rPr>
          <w:rFonts w:hint="default" w:ascii="Times New Roman" w:hAnsi="Times New Roman" w:eastAsia="Times New Roman" w:cs="Times New Roman"/>
          <w:b/>
          <w:rtl w:val="0"/>
        </w:rPr>
        <w:t xml:space="preserve"> </w:t>
      </w:r>
      <w:r>
        <w:rPr>
          <w:rFonts w:hint="default" w:ascii="Times New Roman" w:hAnsi="Times New Roman" w:eastAsia="Times New Roman" w:cs="Times New Roman"/>
          <w:b/>
          <w:rtl w:val="0"/>
          <w:lang w:val="en-IN"/>
        </w:rPr>
        <w:t xml:space="preserve"> </w:t>
      </w:r>
      <w:r>
        <w:rPr>
          <w:rFonts w:hint="default" w:ascii="Times New Roman" w:hAnsi="Times New Roman" w:eastAsia="Times New Roman" w:cs="Times New Roman"/>
          <w:b/>
          <w:rtl w:val="0"/>
        </w:rPr>
        <w:t xml:space="preserve"> RECENT LANDMARK CASE IN RELATION TO RIGHT TO PRIVACY</w:t>
      </w:r>
    </w:p>
    <w:p>
      <w:pPr>
        <w:spacing w:line="360" w:lineRule="auto"/>
        <w:jc w:val="both"/>
        <w:rPr>
          <w:rFonts w:hint="default" w:ascii="Times New Roman" w:hAnsi="Times New Roman" w:eastAsia="Times New Roman" w:cs="Times New Roman"/>
          <w:b w:val="0"/>
        </w:rPr>
      </w:pP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 xml:space="preserve">The Supreme Court of India give Verdict on Right to Privacy also known as </w:t>
      </w:r>
      <w:r>
        <w:rPr>
          <w:rFonts w:hint="default" w:ascii="Times New Roman" w:hAnsi="Times New Roman" w:eastAsia="Times New Roman" w:cs="Times New Roman"/>
          <w:b/>
          <w:rtl w:val="0"/>
        </w:rPr>
        <w:t>Justice K. S. Puttaswamy(Retd.) and Anr. Vs Union of India</w:t>
      </w:r>
      <w:r>
        <w:rPr>
          <w:rFonts w:hint="default" w:ascii="Times New Roman" w:hAnsi="Times New Roman" w:eastAsia="Times New Roman" w:cs="Times New Roman"/>
          <w:b w:val="0"/>
          <w:rtl w:val="0"/>
        </w:rPr>
        <w:t xml:space="preserve"> </w:t>
      </w:r>
      <w:r>
        <w:rPr>
          <w:rFonts w:hint="default" w:ascii="Times New Roman" w:hAnsi="Times New Roman" w:eastAsia="Times New Roman" w:cs="Times New Roman"/>
          <w:b/>
          <w:rtl w:val="0"/>
        </w:rPr>
        <w:t>and Ors</w:t>
      </w:r>
      <w:r>
        <w:rPr>
          <w:rFonts w:hint="default" w:ascii="Times New Roman" w:hAnsi="Times New Roman" w:eastAsia="Times New Roman" w:cs="Times New Roman"/>
          <w:b/>
          <w:vertAlign w:val="superscript"/>
        </w:rPr>
        <w:footnoteReference w:id="9"/>
      </w:r>
      <w:r>
        <w:rPr>
          <w:rFonts w:hint="default" w:ascii="Times New Roman" w:hAnsi="Times New Roman" w:eastAsia="Times New Roman" w:cs="Times New Roman"/>
          <w:b w:val="0"/>
          <w:rtl w:val="0"/>
        </w:rPr>
        <w:t xml:space="preserve"> is  significant ruling that establishes the right to privacy as a Fundamental Right protected by Articles 14, 19, and 21of the Indian Constitution.</w:t>
      </w: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 xml:space="preserve"> The case was initiated by 91-year-old retired Karnataka High Court Judge K.S. Puttaswamy, who sued the Union of India. The case was heard by a nine-judge Supreme Court bench to determine whether the Right to Privacy was recognized as a fundamental right by the Indian Constitution</w:t>
      </w:r>
      <w:r>
        <w:rPr>
          <w:rFonts w:hint="default" w:ascii="Times New Roman" w:hAnsi="Times New Roman" w:eastAsia="Times New Roman" w:cs="Times New Roman"/>
          <w:b w:val="0"/>
          <w:vertAlign w:val="superscript"/>
        </w:rPr>
        <w:footnoteReference w:id="10"/>
      </w:r>
      <w:r>
        <w:rPr>
          <w:rFonts w:hint="default" w:ascii="Times New Roman" w:hAnsi="Times New Roman" w:eastAsia="Times New Roman" w:cs="Times New Roman"/>
          <w:b w:val="0"/>
          <w:rtl w:val="0"/>
        </w:rPr>
        <w:t xml:space="preserve">. </w:t>
      </w: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 xml:space="preserve">   </w:t>
      </w:r>
    </w:p>
    <w:p>
      <w:pPr>
        <w:spacing w:line="360" w:lineRule="auto"/>
        <w:jc w:val="both"/>
        <w:rPr>
          <w:rFonts w:hint="default" w:ascii="Times New Roman" w:hAnsi="Times New Roman" w:eastAsia="Times New Roman" w:cs="Times New Roman"/>
          <w:b/>
        </w:rPr>
      </w:pPr>
      <w:r>
        <w:rPr>
          <w:rFonts w:hint="default" w:ascii="Times New Roman" w:hAnsi="Times New Roman" w:eastAsia="Times New Roman" w:cs="Times New Roman"/>
          <w:b/>
          <w:rtl w:val="0"/>
        </w:rPr>
        <w:t xml:space="preserve">Decision of the Supreme Court:- </w:t>
      </w:r>
      <w:r>
        <w:rPr>
          <w:rFonts w:hint="default" w:ascii="Times New Roman" w:hAnsi="Times New Roman" w:eastAsia="Times New Roman" w:cs="Times New Roman"/>
          <w:b/>
          <w:vertAlign w:val="superscript"/>
        </w:rPr>
        <w:footnoteReference w:id="11"/>
      </w:r>
      <w:r>
        <w:rPr>
          <w:rFonts w:hint="default" w:ascii="Times New Roman" w:hAnsi="Times New Roman" w:eastAsia="Times New Roman" w:cs="Times New Roman"/>
          <w:b/>
          <w:rtl w:val="0"/>
        </w:rPr>
        <w:t xml:space="preserve"> </w:t>
      </w:r>
    </w:p>
    <w:p>
      <w:pPr>
        <w:spacing w:line="360" w:lineRule="auto"/>
        <w:jc w:val="both"/>
        <w:rPr>
          <w:rFonts w:hint="default" w:ascii="Times New Roman" w:hAnsi="Times New Roman" w:eastAsia="Times New Roman" w:cs="Times New Roman"/>
          <w:b/>
        </w:rPr>
      </w:pP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 xml:space="preserve"> In a unanimous ruling, a nine- judge panel consisting of </w:t>
      </w:r>
      <w:r>
        <w:rPr>
          <w:rFonts w:hint="default" w:ascii="Times New Roman" w:hAnsi="Times New Roman" w:eastAsia="Times New Roman" w:cs="Times New Roman"/>
          <w:b/>
          <w:rtl w:val="0"/>
        </w:rPr>
        <w:t xml:space="preserve"> </w:t>
      </w:r>
      <w:r>
        <w:rPr>
          <w:rFonts w:hint="default" w:ascii="Times New Roman" w:hAnsi="Times New Roman" w:eastAsia="Times New Roman" w:cs="Times New Roman"/>
          <w:b w:val="0"/>
          <w:rtl w:val="0"/>
        </w:rPr>
        <w:t>J.S. Khehar, J. Chelameswar, S.A. Bobde, R.K. Agrawal, R.F. Nariman, A.M. Sapre, Dr. D.Y. Chandrachud, S.K. Kaul, and S.A. Nazeer concluded that</w:t>
      </w:r>
      <w:r>
        <w:rPr>
          <w:rFonts w:hint="default" w:ascii="Times New Roman" w:hAnsi="Times New Roman" w:eastAsia="Times New Roman" w:cs="Times New Roman"/>
          <w:b/>
          <w:rtl w:val="0"/>
        </w:rPr>
        <w:t xml:space="preserve"> "</w:t>
      </w:r>
      <w:r>
        <w:rPr>
          <w:rFonts w:hint="default" w:ascii="Times New Roman" w:hAnsi="Times New Roman" w:eastAsia="Times New Roman" w:cs="Times New Roman"/>
          <w:b w:val="0"/>
          <w:rtl w:val="0"/>
        </w:rPr>
        <w:t>the right to privacy is protected as an intrinsic part of the right to life and personal liberty under Article 21 guaranteed by Part-iii of the Constitution</w:t>
      </w:r>
      <w:r>
        <w:rPr>
          <w:rFonts w:hint="default" w:ascii="Times New Roman" w:hAnsi="Times New Roman" w:eastAsia="Times New Roman" w:cs="Times New Roman"/>
          <w:b/>
          <w:rtl w:val="0"/>
        </w:rPr>
        <w:t>”</w:t>
      </w:r>
      <w:r>
        <w:rPr>
          <w:rFonts w:hint="default" w:ascii="Times New Roman" w:hAnsi="Times New Roman" w:eastAsia="Times New Roman" w:cs="Times New Roman"/>
          <w:b/>
          <w:vertAlign w:val="superscript"/>
        </w:rPr>
        <w:footnoteReference w:id="12"/>
      </w:r>
      <w:r>
        <w:rPr>
          <w:rFonts w:hint="default" w:ascii="Times New Roman" w:hAnsi="Times New Roman" w:eastAsia="Times New Roman" w:cs="Times New Roman"/>
          <w:b w:val="0"/>
          <w:rtl w:val="0"/>
        </w:rPr>
        <w:t xml:space="preserve"> and  it expressly overturns earlier rulings by the Supreme Court in the cases of</w:t>
      </w:r>
      <w:r>
        <w:rPr>
          <w:rFonts w:hint="default" w:ascii="Times New Roman" w:hAnsi="Times New Roman" w:eastAsia="Times New Roman" w:cs="Times New Roman"/>
          <w:b/>
          <w:rtl w:val="0"/>
        </w:rPr>
        <w:t xml:space="preserve"> Kharak Singh v. State of UP </w:t>
      </w:r>
      <w:r>
        <w:rPr>
          <w:rFonts w:hint="default" w:ascii="Times New Roman" w:hAnsi="Times New Roman" w:eastAsia="Times New Roman" w:cs="Times New Roman"/>
          <w:b/>
          <w:vertAlign w:val="superscript"/>
        </w:rPr>
        <w:footnoteReference w:id="13"/>
      </w:r>
      <w:r>
        <w:rPr>
          <w:rFonts w:hint="default" w:ascii="Times New Roman" w:hAnsi="Times New Roman" w:eastAsia="Times New Roman" w:cs="Times New Roman"/>
          <w:b/>
          <w:rtl w:val="0"/>
        </w:rPr>
        <w:t>and M.P. Sharma v. Union of India</w:t>
      </w:r>
      <w:r>
        <w:rPr>
          <w:rFonts w:hint="default" w:ascii="Times New Roman" w:hAnsi="Times New Roman" w:eastAsia="Times New Roman" w:cs="Times New Roman"/>
          <w:b/>
          <w:vertAlign w:val="superscript"/>
        </w:rPr>
        <w:footnoteReference w:id="14"/>
      </w:r>
      <w:r>
        <w:rPr>
          <w:rFonts w:hint="default" w:ascii="Times New Roman" w:hAnsi="Times New Roman" w:eastAsia="Times New Roman" w:cs="Times New Roman"/>
          <w:b w:val="0"/>
          <w:rtl w:val="0"/>
        </w:rPr>
        <w:t>, which held that there is no fundamental right to privacy protected by the Indian Constitution.</w:t>
      </w:r>
    </w:p>
    <w:p>
      <w:pPr>
        <w:spacing w:line="360" w:lineRule="auto"/>
        <w:jc w:val="both"/>
        <w:rPr>
          <w:rFonts w:hint="default" w:ascii="Times New Roman" w:hAnsi="Times New Roman" w:eastAsia="Times New Roman" w:cs="Times New Roman"/>
          <w:b w:val="0"/>
        </w:rPr>
      </w:pPr>
    </w:p>
    <w:p>
      <w:pPr>
        <w:spacing w:line="360" w:lineRule="auto"/>
        <w:jc w:val="both"/>
        <w:rPr>
          <w:rFonts w:hint="default" w:ascii="Times New Roman" w:hAnsi="Times New Roman" w:eastAsia="Times New Roman" w:cs="Times New Roman"/>
        </w:rPr>
        <w:sectPr>
          <w:headerReference r:id="rId4" w:type="default"/>
          <w:footerReference r:id="rId5" w:type="default"/>
          <w:pgSz w:w="11906" w:h="16838"/>
          <w:pgMar w:top="1440" w:right="1800" w:bottom="1440" w:left="1800" w:header="720" w:footer="720" w:gutter="0"/>
          <w:pgNumType w:start="1"/>
          <w:cols w:space="720" w:num="1"/>
        </w:sectPr>
      </w:pPr>
      <w:r>
        <w:rPr>
          <w:rFonts w:hint="default" w:ascii="Times New Roman" w:hAnsi="Times New Roman" w:eastAsia="Times New Roman" w:cs="Times New Roman"/>
          <w:b w:val="0"/>
          <w:rtl w:val="0"/>
        </w:rPr>
        <w:t xml:space="preserve"> This verdict unambiguously resolved that legal issue and made it apparent that the Right to Privacy may only be violated in cases when doing so served a compelling governmental purpose. The stance was the same with regard to the other fundamental </w:t>
      </w:r>
      <w:r>
        <w:rPr>
          <w:rFonts w:hint="default" w:ascii="Times New Roman" w:hAnsi="Times New Roman" w:eastAsia="Times New Roman" w:cs="Times New Roman"/>
          <w:rtl w:val="0"/>
        </w:rPr>
        <w:t>right.</w:t>
      </w:r>
    </w:p>
    <w:p>
      <w:pPr>
        <w:spacing w:line="360" w:lineRule="auto"/>
        <w:ind w:firstLine="120" w:firstLineChars="50"/>
        <w:jc w:val="both"/>
        <w:rPr>
          <w:rFonts w:hint="default" w:ascii="Times New Roman" w:hAnsi="Times New Roman" w:cs="Times New Roman"/>
        </w:rPr>
      </w:pPr>
      <w:r>
        <w:rPr>
          <w:rFonts w:hint="default" w:ascii="Times New Roman" w:hAnsi="Times New Roman" w:eastAsia="Times New Roman" w:cs="Times New Roman"/>
          <w:b/>
          <w:rtl w:val="0"/>
        </w:rPr>
        <w:t>INTERNATIONAL CONCEPTS IN RELATION TO RIGHTS TO PRIVACY</w:t>
      </w:r>
    </w:p>
    <w:p>
      <w:pPr>
        <w:spacing w:line="360" w:lineRule="auto"/>
        <w:jc w:val="both"/>
        <w:rPr>
          <w:rFonts w:hint="default" w:ascii="Times New Roman" w:hAnsi="Times New Roman" w:eastAsia="Times New Roman" w:cs="Times New Roman"/>
        </w:rPr>
      </w:pPr>
      <w:r>
        <w:rPr>
          <w:rFonts w:hint="default" w:ascii="Times New Roman" w:hAnsi="Times New Roman" w:eastAsia="Times New Roman" w:cs="Times New Roman"/>
          <w:rtl w:val="0"/>
        </w:rPr>
        <w:t>The concept of privacy has also gained its impetus internationally under various Conventions. Some of the various convention are follows:-</w:t>
      </w:r>
    </w:p>
    <w:p>
      <w:pPr>
        <w:spacing w:line="360" w:lineRule="auto"/>
        <w:jc w:val="both"/>
        <w:rPr>
          <w:rFonts w:hint="default" w:ascii="Times New Roman" w:hAnsi="Times New Roman" w:eastAsia="Times New Roman" w:cs="Times New Roman"/>
        </w:rPr>
      </w:pPr>
    </w:p>
    <w:p>
      <w:pPr>
        <w:numPr>
          <w:ilvl w:val="0"/>
          <w:numId w:val="7"/>
        </w:numPr>
        <w:spacing w:line="360" w:lineRule="auto"/>
        <w:ind w:left="420" w:hanging="420"/>
        <w:jc w:val="both"/>
        <w:rPr>
          <w:rFonts w:hint="default" w:ascii="Times New Roman" w:hAnsi="Times New Roman" w:cs="Times New Roman"/>
          <w:b w:val="0"/>
        </w:rPr>
      </w:pPr>
      <w:r>
        <w:rPr>
          <w:rFonts w:hint="default" w:ascii="Times New Roman" w:hAnsi="Times New Roman" w:eastAsia="Times New Roman" w:cs="Times New Roman"/>
          <w:rtl w:val="0"/>
        </w:rPr>
        <w:t>“</w:t>
      </w:r>
      <w:r>
        <w:rPr>
          <w:rFonts w:hint="default" w:ascii="Times New Roman" w:hAnsi="Times New Roman" w:eastAsia="Times New Roman" w:cs="Times New Roman"/>
          <w:b w:val="0"/>
          <w:rtl w:val="0"/>
        </w:rPr>
        <w:t>THE UNIVERSAL DECLARATION OF HUMAN RIGHTS,1948</w:t>
      </w:r>
      <w:r>
        <w:rPr>
          <w:rFonts w:hint="default" w:ascii="Times New Roman" w:hAnsi="Times New Roman" w:eastAsia="Times New Roman" w:cs="Times New Roman"/>
          <w:rtl w:val="0"/>
        </w:rPr>
        <w:t>”</w:t>
      </w: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Article 12 of the Convention</w:t>
      </w:r>
      <w:r>
        <w:rPr>
          <w:rFonts w:hint="default" w:ascii="Times New Roman" w:hAnsi="Times New Roman" w:eastAsia="Times New Roman" w:cs="Times New Roman"/>
          <w:b w:val="0"/>
          <w:vertAlign w:val="superscript"/>
        </w:rPr>
        <w:footnoteReference w:id="15"/>
      </w:r>
      <w:r>
        <w:rPr>
          <w:rFonts w:hint="default" w:ascii="Times New Roman" w:hAnsi="Times New Roman" w:eastAsia="Times New Roman" w:cs="Times New Roman"/>
          <w:b w:val="0"/>
          <w:rtl w:val="0"/>
        </w:rPr>
        <w:t xml:space="preserve"> states that no one's privacy, home, family, or communication should be invaded arbitrarily, and no one's honour or reputation should be assaulted. According to the law, everyone has the right to protection against such intrusions or assaults</w:t>
      </w:r>
      <w:r>
        <w:rPr>
          <w:rFonts w:hint="default" w:ascii="Times New Roman" w:hAnsi="Times New Roman" w:eastAsia="Times New Roman" w:cs="Times New Roman"/>
          <w:b w:val="0"/>
          <w:vertAlign w:val="superscript"/>
        </w:rPr>
        <w:footnoteReference w:id="16"/>
      </w:r>
      <w:r>
        <w:rPr>
          <w:rFonts w:hint="default" w:ascii="Times New Roman" w:hAnsi="Times New Roman" w:eastAsia="Times New Roman" w:cs="Times New Roman"/>
          <w:b w:val="0"/>
          <w:rtl w:val="0"/>
        </w:rPr>
        <w:t>.</w:t>
      </w:r>
    </w:p>
    <w:p>
      <w:pPr>
        <w:spacing w:line="360" w:lineRule="auto"/>
        <w:jc w:val="both"/>
        <w:rPr>
          <w:rFonts w:hint="default" w:ascii="Times New Roman" w:hAnsi="Times New Roman" w:eastAsia="Times New Roman" w:cs="Times New Roman"/>
          <w:b w:val="0"/>
        </w:rPr>
      </w:pPr>
    </w:p>
    <w:p>
      <w:pPr>
        <w:numPr>
          <w:ilvl w:val="0"/>
          <w:numId w:val="7"/>
        </w:numPr>
        <w:spacing w:line="360" w:lineRule="auto"/>
        <w:ind w:left="420" w:hanging="420"/>
        <w:jc w:val="both"/>
        <w:rPr>
          <w:rFonts w:hint="default" w:ascii="Times New Roman" w:hAnsi="Times New Roman" w:cs="Times New Roman"/>
          <w:b w:val="0"/>
        </w:rPr>
      </w:pPr>
      <w:r>
        <w:rPr>
          <w:rFonts w:hint="default" w:ascii="Times New Roman" w:hAnsi="Times New Roman" w:eastAsia="Times New Roman" w:cs="Times New Roman"/>
          <w:rtl w:val="0"/>
        </w:rPr>
        <w:t>“</w:t>
      </w:r>
      <w:r>
        <w:rPr>
          <w:rFonts w:hint="default" w:ascii="Times New Roman" w:hAnsi="Times New Roman" w:eastAsia="Times New Roman" w:cs="Times New Roman"/>
          <w:b w:val="0"/>
          <w:rtl w:val="0"/>
        </w:rPr>
        <w:t>THE EUROPEAN CONVENTION ON HUMAN RIGHTS,1953</w:t>
      </w:r>
      <w:r>
        <w:rPr>
          <w:rFonts w:hint="default" w:ascii="Times New Roman" w:hAnsi="Times New Roman" w:eastAsia="Times New Roman" w:cs="Times New Roman"/>
          <w:rtl w:val="0"/>
        </w:rPr>
        <w:t>”</w:t>
      </w: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In line with Article 8 of the Convention</w:t>
      </w:r>
      <w:r>
        <w:rPr>
          <w:rFonts w:hint="default" w:ascii="Times New Roman" w:hAnsi="Times New Roman" w:eastAsia="Times New Roman" w:cs="Times New Roman"/>
          <w:b w:val="0"/>
          <w:vertAlign w:val="superscript"/>
        </w:rPr>
        <w:footnoteReference w:id="17"/>
      </w:r>
      <w:r>
        <w:rPr>
          <w:rFonts w:hint="default" w:ascii="Times New Roman" w:hAnsi="Times New Roman" w:eastAsia="Times New Roman" w:cs="Times New Roman"/>
          <w:b w:val="0"/>
          <w:rtl w:val="0"/>
        </w:rPr>
        <w:t>, no public authority may interfere with a person's privacy, home, family, or correspondence unless doing so is required by law, or if doing so would jeopardise the person's honour or reputation.</w:t>
      </w:r>
      <w:r>
        <w:rPr>
          <w:rFonts w:hint="default" w:ascii="Times New Roman" w:hAnsi="Times New Roman" w:eastAsia="Times New Roman" w:cs="Times New Roman"/>
          <w:b w:val="0"/>
          <w:vertAlign w:val="superscript"/>
        </w:rPr>
        <w:footnoteReference w:id="18"/>
      </w:r>
    </w:p>
    <w:p>
      <w:pPr>
        <w:spacing w:line="360" w:lineRule="auto"/>
        <w:jc w:val="both"/>
        <w:rPr>
          <w:rFonts w:hint="default" w:ascii="Times New Roman" w:hAnsi="Times New Roman" w:eastAsia="Times New Roman" w:cs="Times New Roman"/>
          <w:b w:val="0"/>
        </w:rPr>
      </w:pPr>
    </w:p>
    <w:p>
      <w:pPr>
        <w:numPr>
          <w:ilvl w:val="0"/>
          <w:numId w:val="7"/>
        </w:numPr>
        <w:spacing w:line="360" w:lineRule="auto"/>
        <w:ind w:left="420" w:hanging="420"/>
        <w:jc w:val="both"/>
        <w:rPr>
          <w:rFonts w:hint="default" w:ascii="Times New Roman" w:hAnsi="Times New Roman" w:cs="Times New Roman"/>
          <w:b w:val="0"/>
        </w:rPr>
      </w:pPr>
      <w:r>
        <w:rPr>
          <w:rFonts w:hint="default" w:ascii="Times New Roman" w:hAnsi="Times New Roman" w:eastAsia="Times New Roman" w:cs="Times New Roman"/>
          <w:rtl w:val="0"/>
        </w:rPr>
        <w:t>“</w:t>
      </w:r>
      <w:r>
        <w:rPr>
          <w:rFonts w:hint="default" w:ascii="Times New Roman" w:hAnsi="Times New Roman" w:eastAsia="Times New Roman" w:cs="Times New Roman"/>
          <w:b w:val="0"/>
          <w:rtl w:val="0"/>
        </w:rPr>
        <w:t>THE INTERNATIONAL CONVENANT OF CIVIL AND POLITICAL RIGHTS,1966</w:t>
      </w:r>
      <w:r>
        <w:rPr>
          <w:rFonts w:hint="default" w:ascii="Times New Roman" w:hAnsi="Times New Roman" w:eastAsia="Times New Roman" w:cs="Times New Roman"/>
          <w:rtl w:val="0"/>
        </w:rPr>
        <w:t>”</w:t>
      </w: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According to Article 17 of the Convention</w:t>
      </w:r>
      <w:r>
        <w:rPr>
          <w:rFonts w:hint="default" w:ascii="Times New Roman" w:hAnsi="Times New Roman" w:eastAsia="Times New Roman" w:cs="Times New Roman"/>
          <w:b w:val="0"/>
          <w:vertAlign w:val="superscript"/>
        </w:rPr>
        <w:footnoteReference w:id="19"/>
      </w:r>
      <w:r>
        <w:rPr>
          <w:rFonts w:hint="default" w:ascii="Times New Roman" w:hAnsi="Times New Roman" w:eastAsia="Times New Roman" w:cs="Times New Roman"/>
          <w:b w:val="0"/>
          <w:rtl w:val="0"/>
        </w:rPr>
        <w:t>, (to which India is a party) a person’s privacy, home, family or correspondence should not be subjected to any arbitrary intrusion nor his honor and reputation should be.</w:t>
      </w:r>
      <w:r>
        <w:rPr>
          <w:rFonts w:hint="default" w:ascii="Times New Roman" w:hAnsi="Times New Roman" w:eastAsia="Times New Roman" w:cs="Times New Roman"/>
          <w:b w:val="0"/>
          <w:vertAlign w:val="superscript"/>
        </w:rPr>
        <w:footnoteReference w:id="20"/>
      </w:r>
    </w:p>
    <w:p>
      <w:pPr>
        <w:spacing w:line="360" w:lineRule="auto"/>
        <w:jc w:val="both"/>
        <w:rPr>
          <w:rFonts w:hint="default" w:ascii="Times New Roman" w:hAnsi="Times New Roman" w:eastAsia="Times New Roman" w:cs="Times New Roman"/>
          <w:b/>
        </w:rPr>
      </w:pPr>
    </w:p>
    <w:p>
      <w:pPr>
        <w:spacing w:line="360" w:lineRule="auto"/>
        <w:jc w:val="both"/>
        <w:rPr>
          <w:rFonts w:hint="default" w:ascii="Times New Roman" w:hAnsi="Times New Roman" w:eastAsia="Times New Roman" w:cs="Times New Roman"/>
          <w:b/>
        </w:rPr>
      </w:pPr>
    </w:p>
    <w:p>
      <w:pPr>
        <w:spacing w:line="360" w:lineRule="auto"/>
        <w:jc w:val="both"/>
        <w:rPr>
          <w:rFonts w:hint="default" w:ascii="Times New Roman" w:hAnsi="Times New Roman" w:eastAsia="Times New Roman" w:cs="Times New Roman"/>
          <w:b/>
        </w:rPr>
      </w:pPr>
    </w:p>
    <w:p>
      <w:pPr>
        <w:spacing w:line="360" w:lineRule="auto"/>
        <w:jc w:val="both"/>
        <w:rPr>
          <w:rFonts w:hint="default" w:ascii="Times New Roman" w:hAnsi="Times New Roman" w:eastAsia="Times New Roman" w:cs="Times New Roman"/>
          <w:b/>
        </w:rPr>
      </w:pPr>
    </w:p>
    <w:p>
      <w:pPr>
        <w:spacing w:line="360" w:lineRule="auto"/>
        <w:jc w:val="both"/>
        <w:rPr>
          <w:rFonts w:hint="default" w:ascii="Times New Roman" w:hAnsi="Times New Roman" w:eastAsia="Times New Roman" w:cs="Times New Roman"/>
          <w:b/>
        </w:rPr>
      </w:pPr>
    </w:p>
    <w:p>
      <w:pPr>
        <w:spacing w:line="360" w:lineRule="auto"/>
        <w:jc w:val="both"/>
        <w:rPr>
          <w:rFonts w:hint="default" w:ascii="Times New Roman" w:hAnsi="Times New Roman" w:eastAsia="Times New Roman" w:cs="Times New Roman"/>
          <w:b/>
        </w:rPr>
      </w:pPr>
    </w:p>
    <w:p>
      <w:pPr>
        <w:spacing w:line="360" w:lineRule="auto"/>
        <w:jc w:val="both"/>
        <w:rPr>
          <w:rFonts w:hint="default" w:ascii="Times New Roman" w:hAnsi="Times New Roman" w:eastAsia="Times New Roman" w:cs="Times New Roman"/>
          <w:b/>
        </w:rPr>
      </w:pPr>
    </w:p>
    <w:p>
      <w:pPr>
        <w:spacing w:line="360" w:lineRule="auto"/>
        <w:ind w:firstLine="1321" w:firstLineChars="550"/>
        <w:jc w:val="both"/>
        <w:rPr>
          <w:rFonts w:hint="default" w:ascii="Times New Roman" w:hAnsi="Times New Roman" w:eastAsia="Times New Roman" w:cs="Times New Roman"/>
          <w:b w:val="0"/>
        </w:rPr>
      </w:pPr>
      <w:r>
        <w:rPr>
          <w:rFonts w:hint="default" w:ascii="Times New Roman" w:hAnsi="Times New Roman" w:eastAsia="Times New Roman" w:cs="Times New Roman"/>
          <w:b/>
          <w:rtl w:val="0"/>
        </w:rPr>
        <w:t>RECENT DEVELOPMENTS IN RIGHT TO PRIVACY</w:t>
      </w: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 xml:space="preserve">It will be sufficient to intrude into any area of activity once Article 21's right to privacy is acknowledged as a basic right. It is now very difficult to violate such a right because </w:t>
      </w:r>
      <w:r>
        <w:rPr>
          <w:rFonts w:hint="default" w:ascii="Times New Roman" w:hAnsi="Times New Roman" w:eastAsia="Times New Roman" w:cs="Times New Roman"/>
          <w:rtl w:val="0"/>
        </w:rPr>
        <w:t>of technological</w:t>
      </w:r>
      <w:r>
        <w:rPr>
          <w:rFonts w:hint="default" w:ascii="Times New Roman" w:hAnsi="Times New Roman" w:eastAsia="Times New Roman" w:cs="Times New Roman"/>
          <w:b w:val="0"/>
          <w:rtl w:val="0"/>
        </w:rPr>
        <w:t xml:space="preserve"> advancements and social networking sites. Individuals' levels of concern for their privacy vary from person to person and are subjective. A computer resource's illegal access is a crime under Section 43 of the Information Technology Act of 2000, which also includes a section on the right to privacy.</w:t>
      </w:r>
      <w:r>
        <w:rPr>
          <w:rFonts w:hint="default" w:ascii="Times New Roman" w:hAnsi="Times New Roman" w:eastAsia="Times New Roman" w:cs="Times New Roman"/>
          <w:b w:val="0"/>
          <w:vertAlign w:val="superscript"/>
        </w:rPr>
        <w:footnoteReference w:id="21"/>
      </w:r>
    </w:p>
    <w:p>
      <w:pPr>
        <w:spacing w:line="360" w:lineRule="auto"/>
        <w:jc w:val="both"/>
        <w:rPr>
          <w:rFonts w:hint="default" w:ascii="Times New Roman" w:hAnsi="Times New Roman" w:eastAsia="Times New Roman" w:cs="Times New Roman"/>
          <w:b w:val="0"/>
        </w:rPr>
      </w:pP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Right to press, which occasionally conflicts with right to privacy, is included in Article 19(1)(a) of the Indian Constitution. Then, the question of where the right to privacy of one person conflicts with the right of another to press arises.</w:t>
      </w:r>
    </w:p>
    <w:p>
      <w:pPr>
        <w:spacing w:line="360" w:lineRule="auto"/>
        <w:jc w:val="both"/>
        <w:rPr>
          <w:rFonts w:hint="default" w:ascii="Times New Roman" w:hAnsi="Times New Roman" w:eastAsia="Times New Roman" w:cs="Times New Roman"/>
          <w:b w:val="0"/>
        </w:rPr>
      </w:pPr>
      <w:r>
        <w:rPr>
          <w:rFonts w:hint="default" w:ascii="Times New Roman" w:hAnsi="Times New Roman" w:eastAsia="Times New Roman" w:cs="Times New Roman"/>
          <w:b w:val="0"/>
          <w:rtl w:val="0"/>
        </w:rPr>
        <w:t>By referencing the terms "public interest," "public morality," and other clauses listed in Article 19(2) of the Indian Constitution, one might effectively respond to such a query. If a person's personal information is included in public documents, such as court records, then its publishing without his consent is justified.</w:t>
      </w:r>
      <w:r>
        <w:rPr>
          <w:rFonts w:hint="default" w:ascii="Times New Roman" w:hAnsi="Times New Roman" w:eastAsia="Times New Roman" w:cs="Times New Roman"/>
          <w:b w:val="0"/>
          <w:vertAlign w:val="superscript"/>
        </w:rPr>
        <w:footnoteReference w:id="22"/>
      </w:r>
    </w:p>
    <w:p>
      <w:pPr>
        <w:spacing w:line="360" w:lineRule="auto"/>
        <w:jc w:val="both"/>
        <w:rPr>
          <w:rFonts w:hint="default" w:ascii="Times New Roman" w:hAnsi="Times New Roman" w:eastAsia="Times New Roman" w:cs="Times New Roman"/>
          <w:b w:val="0"/>
          <w:sz w:val="24"/>
          <w:szCs w:val="24"/>
        </w:rPr>
      </w:pPr>
      <w:r>
        <w:rPr>
          <w:rFonts w:hint="default" w:ascii="Times New Roman" w:hAnsi="Times New Roman" w:eastAsia="Times New Roman" w:cs="Times New Roman"/>
          <w:b w:val="0"/>
          <w:sz w:val="24"/>
          <w:szCs w:val="24"/>
          <w:rtl w:val="0"/>
        </w:rPr>
        <w:t xml:space="preserve">   </w:t>
      </w:r>
    </w:p>
    <w:p>
      <w:pPr>
        <w:spacing w:line="360" w:lineRule="auto"/>
        <w:jc w:val="both"/>
        <w:rPr>
          <w:rFonts w:hint="default" w:ascii="Times New Roman" w:hAnsi="Times New Roman" w:eastAsia="Times New Roman" w:cs="Times New Roman"/>
          <w:b w:val="0"/>
          <w:sz w:val="24"/>
          <w:szCs w:val="24"/>
        </w:rPr>
      </w:pPr>
    </w:p>
    <w:p>
      <w:pPr>
        <w:spacing w:line="360" w:lineRule="auto"/>
        <w:jc w:val="both"/>
        <w:rPr>
          <w:rFonts w:hint="default" w:ascii="Times New Roman" w:hAnsi="Times New Roman" w:eastAsia="Times New Roman" w:cs="Times New Roman"/>
          <w:b w:val="0"/>
          <w:sz w:val="24"/>
          <w:szCs w:val="24"/>
        </w:rPr>
      </w:pPr>
    </w:p>
    <w:p>
      <w:pPr>
        <w:spacing w:line="360" w:lineRule="auto"/>
        <w:jc w:val="both"/>
        <w:rPr>
          <w:rFonts w:hint="default" w:ascii="Times New Roman" w:hAnsi="Times New Roman" w:eastAsia="Times New Roman" w:cs="Times New Roman"/>
          <w:b w:val="0"/>
          <w:sz w:val="24"/>
          <w:szCs w:val="24"/>
        </w:rPr>
      </w:pPr>
    </w:p>
    <w:p>
      <w:pPr>
        <w:spacing w:line="360" w:lineRule="auto"/>
        <w:jc w:val="both"/>
        <w:rPr>
          <w:rFonts w:hint="default" w:ascii="Times New Roman" w:hAnsi="Times New Roman" w:eastAsia="Times New Roman" w:cs="Times New Roman"/>
          <w:b w:val="0"/>
          <w:sz w:val="24"/>
          <w:szCs w:val="24"/>
        </w:rPr>
      </w:pPr>
    </w:p>
    <w:p>
      <w:pPr>
        <w:spacing w:line="360" w:lineRule="auto"/>
        <w:jc w:val="both"/>
        <w:rPr>
          <w:rFonts w:hint="default" w:ascii="Times New Roman" w:hAnsi="Times New Roman" w:eastAsia="Times New Roman" w:cs="Times New Roman"/>
          <w:b w:val="0"/>
          <w:sz w:val="24"/>
          <w:szCs w:val="24"/>
        </w:rPr>
      </w:pPr>
    </w:p>
    <w:p>
      <w:pPr>
        <w:spacing w:line="360" w:lineRule="auto"/>
        <w:jc w:val="both"/>
        <w:rPr>
          <w:rFonts w:hint="default" w:ascii="Times New Roman" w:hAnsi="Times New Roman" w:eastAsia="Times New Roman" w:cs="Times New Roman"/>
          <w:b w:val="0"/>
          <w:sz w:val="24"/>
          <w:szCs w:val="24"/>
        </w:rPr>
      </w:pPr>
    </w:p>
    <w:p>
      <w:pPr>
        <w:spacing w:line="360" w:lineRule="auto"/>
        <w:jc w:val="both"/>
        <w:rPr>
          <w:rFonts w:hint="default" w:ascii="Times New Roman" w:hAnsi="Times New Roman" w:eastAsia="Times New Roman" w:cs="Times New Roman"/>
          <w:b w:val="0"/>
          <w:sz w:val="24"/>
          <w:szCs w:val="24"/>
        </w:rPr>
      </w:pPr>
    </w:p>
    <w:p>
      <w:pPr>
        <w:spacing w:line="360" w:lineRule="auto"/>
        <w:jc w:val="both"/>
        <w:rPr>
          <w:rFonts w:hint="default" w:ascii="Times New Roman" w:hAnsi="Times New Roman" w:eastAsia="Times New Roman" w:cs="Times New Roman"/>
          <w:b w:val="0"/>
          <w:sz w:val="24"/>
          <w:szCs w:val="24"/>
        </w:rPr>
      </w:pPr>
    </w:p>
    <w:p>
      <w:pPr>
        <w:spacing w:line="360" w:lineRule="auto"/>
        <w:jc w:val="both"/>
        <w:rPr>
          <w:rFonts w:hint="default" w:ascii="Times New Roman" w:hAnsi="Times New Roman" w:eastAsia="Times New Roman" w:cs="Times New Roman"/>
          <w:b w:val="0"/>
          <w:sz w:val="24"/>
          <w:szCs w:val="24"/>
        </w:rPr>
      </w:pPr>
    </w:p>
    <w:p>
      <w:pPr>
        <w:spacing w:line="360" w:lineRule="auto"/>
        <w:jc w:val="both"/>
        <w:rPr>
          <w:rFonts w:hint="default" w:ascii="Times New Roman" w:hAnsi="Times New Roman" w:eastAsia="Times New Roman" w:cs="Times New Roman"/>
          <w:b w:val="0"/>
          <w:sz w:val="24"/>
          <w:szCs w:val="24"/>
        </w:rPr>
      </w:pPr>
    </w:p>
    <w:p>
      <w:pPr>
        <w:spacing w:line="360" w:lineRule="auto"/>
        <w:jc w:val="both"/>
        <w:rPr>
          <w:rFonts w:hint="default" w:ascii="Times New Roman" w:hAnsi="Times New Roman" w:eastAsia="Times New Roman" w:cs="Times New Roman"/>
          <w:b w:val="0"/>
          <w:sz w:val="24"/>
          <w:szCs w:val="24"/>
        </w:rPr>
      </w:pPr>
    </w:p>
    <w:p>
      <w:pPr>
        <w:spacing w:line="360" w:lineRule="auto"/>
        <w:jc w:val="both"/>
        <w:rPr>
          <w:rFonts w:hint="default" w:ascii="Times New Roman" w:hAnsi="Times New Roman" w:eastAsia="Times New Roman" w:cs="Times New Roman"/>
          <w:b w:val="0"/>
          <w:sz w:val="24"/>
          <w:szCs w:val="24"/>
        </w:rPr>
      </w:pPr>
    </w:p>
    <w:p>
      <w:pPr>
        <w:spacing w:line="360" w:lineRule="auto"/>
        <w:jc w:val="both"/>
        <w:rPr>
          <w:rFonts w:hint="default" w:ascii="Times New Roman" w:hAnsi="Times New Roman" w:eastAsia="Times New Roman" w:cs="Times New Roman"/>
          <w:b w:val="0"/>
          <w:sz w:val="24"/>
          <w:szCs w:val="24"/>
        </w:rPr>
      </w:pPr>
    </w:p>
    <w:p>
      <w:pPr>
        <w:spacing w:line="360" w:lineRule="auto"/>
        <w:jc w:val="both"/>
        <w:rPr>
          <w:rFonts w:hint="default" w:ascii="Times New Roman" w:hAnsi="Times New Roman" w:eastAsia="Times New Roman" w:cs="Times New Roman"/>
          <w:b w:val="0"/>
          <w:sz w:val="24"/>
          <w:szCs w:val="24"/>
        </w:rPr>
      </w:pPr>
    </w:p>
    <w:p>
      <w:pPr>
        <w:spacing w:line="360" w:lineRule="auto"/>
        <w:ind w:firstLine="3242" w:firstLineChars="1350"/>
        <w:jc w:val="both"/>
        <w:rPr>
          <w:rFonts w:hint="default" w:ascii="Times New Roman" w:hAnsi="Times New Roman" w:eastAsia="Times New Roman" w:cs="Times New Roman"/>
          <w:b/>
          <w:sz w:val="24"/>
          <w:szCs w:val="24"/>
        </w:rPr>
      </w:pPr>
      <w:r>
        <w:rPr>
          <w:rFonts w:hint="default" w:ascii="Times New Roman" w:hAnsi="Times New Roman" w:eastAsia="Times New Roman" w:cs="Times New Roman"/>
          <w:b/>
          <w:sz w:val="24"/>
          <w:szCs w:val="24"/>
          <w:rtl w:val="0"/>
        </w:rPr>
        <w:t xml:space="preserve">CONCLUSION </w:t>
      </w:r>
    </w:p>
    <w:p>
      <w:pPr>
        <w:spacing w:line="360" w:lineRule="auto"/>
        <w:jc w:val="both"/>
        <w:rPr>
          <w:rFonts w:hint="default" w:ascii="Times New Roman" w:hAnsi="Times New Roman" w:eastAsia="Times New Roman" w:cs="Times New Roman"/>
          <w:b/>
          <w:sz w:val="24"/>
          <w:szCs w:val="24"/>
        </w:rPr>
      </w:pPr>
    </w:p>
    <w:p>
      <w:pPr>
        <w:spacing w:line="360" w:lineRule="auto"/>
        <w:jc w:val="both"/>
        <w:rPr>
          <w:rFonts w:hint="default" w:ascii="Times New Roman" w:hAnsi="Times New Roman" w:eastAsia="Times New Roman" w:cs="Times New Roman"/>
          <w:b w:val="0"/>
          <w:sz w:val="24"/>
          <w:szCs w:val="24"/>
        </w:rPr>
      </w:pPr>
      <w:r>
        <w:rPr>
          <w:rFonts w:hint="default" w:ascii="Times New Roman" w:hAnsi="Times New Roman" w:eastAsia="Times New Roman" w:cs="Times New Roman"/>
          <w:b w:val="0"/>
          <w:sz w:val="24"/>
          <w:szCs w:val="24"/>
          <w:rtl w:val="0"/>
        </w:rPr>
        <w:t>As a result of these rulings, the idea of the right to privacy has developed and become recognised as a basic freedom. In these many rulings, our judicial system has attempted to define the terms and parameters of the right to privacy. According to Article 21, the rights to life and personal liberty both depend on the right to privacy. In addition to a contract, a right to privacy may also result from a specific connection, such as one that is business-related, marital, or even political. For many years to come, the Puttaswamy ruling will undoubtedly have a significant influence on our legal and constitutional environment. It will affect how privacy and transparency interact as well as how privacy and free expression interact; it will undoubtedly affect state surveillance, data gathering, and data protection.</w:t>
      </w:r>
    </w:p>
    <w:p>
      <w:pPr>
        <w:spacing w:line="360" w:lineRule="auto"/>
        <w:jc w:val="both"/>
        <w:rPr>
          <w:rFonts w:hint="default" w:ascii="Times New Roman" w:hAnsi="Times New Roman" w:eastAsia="Times New Roman" w:cs="Times New Roman"/>
          <w:b w:val="0"/>
          <w:sz w:val="24"/>
          <w:szCs w:val="24"/>
        </w:rPr>
      </w:pPr>
    </w:p>
    <w:p>
      <w:pPr>
        <w:spacing w:line="360" w:lineRule="auto"/>
        <w:ind w:firstLine="3122" w:firstLineChars="1300"/>
        <w:jc w:val="both"/>
        <w:rPr>
          <w:rFonts w:hint="default" w:ascii="Times New Roman" w:hAnsi="Times New Roman" w:eastAsia="Times New Roman" w:cs="Times New Roman"/>
          <w:b w:val="0"/>
          <w:sz w:val="24"/>
          <w:szCs w:val="24"/>
        </w:rPr>
      </w:pPr>
      <w:r>
        <w:rPr>
          <w:rFonts w:hint="default" w:ascii="Times New Roman" w:hAnsi="Times New Roman" w:eastAsia="Times New Roman" w:cs="Times New Roman"/>
          <w:b/>
          <w:sz w:val="24"/>
          <w:szCs w:val="24"/>
          <w:rtl w:val="0"/>
        </w:rPr>
        <w:t xml:space="preserve"> </w:t>
      </w:r>
      <w:r>
        <w:rPr>
          <w:rFonts w:hint="default" w:ascii="Times New Roman" w:hAnsi="Times New Roman" w:eastAsia="Times New Roman" w:cs="Times New Roman"/>
          <w:b/>
          <w:rtl w:val="0"/>
        </w:rPr>
        <w:t>SUGGESTIONS</w:t>
      </w:r>
      <w:r>
        <w:rPr>
          <w:rFonts w:hint="default" w:ascii="Times New Roman" w:hAnsi="Times New Roman" w:eastAsia="Times New Roman" w:cs="Times New Roman"/>
          <w:b w:val="0"/>
          <w:sz w:val="24"/>
          <w:szCs w:val="24"/>
          <w:rtl w:val="0"/>
        </w:rPr>
        <w:t xml:space="preserve"> </w:t>
      </w:r>
    </w:p>
    <w:p>
      <w:pPr>
        <w:keepNext w:val="0"/>
        <w:keepLines w:val="0"/>
        <w:pageBreakBefore w:val="0"/>
        <w:widowControl/>
        <w:numPr>
          <w:ilvl w:val="0"/>
          <w:numId w:val="7"/>
        </w:numPr>
        <w:pBdr>
          <w:top w:val="none" w:color="auto" w:sz="0" w:space="0"/>
          <w:left w:val="none" w:color="auto" w:sz="0" w:space="0"/>
          <w:bottom w:val="none" w:color="auto" w:sz="0" w:space="0"/>
          <w:right w:val="none" w:color="auto" w:sz="0" w:space="0"/>
          <w:between w:val="none" w:color="auto" w:sz="0" w:space="0"/>
        </w:pBdr>
        <w:shd w:val="clear" w:fill="auto"/>
        <w:spacing w:before="280" w:after="0" w:line="360" w:lineRule="auto"/>
        <w:ind w:left="420" w:right="0" w:hanging="420"/>
        <w:jc w:val="both"/>
        <w:rPr>
          <w:rFonts w:hint="default" w:ascii="Times New Roman" w:hAnsi="Times New Roman" w:cs="Times New Roman"/>
        </w:rPr>
      </w:pPr>
      <w:r>
        <w:rPr>
          <w:rFonts w:hint="default" w:ascii="Times New Roman" w:hAnsi="Times New Roman" w:eastAsia="Times New Roman" w:cs="Times New Roman"/>
          <w:b/>
          <w:i w:val="0"/>
          <w:smallCaps w:val="0"/>
          <w:strike w:val="0"/>
          <w:color w:val="000000"/>
          <w:sz w:val="24"/>
          <w:szCs w:val="24"/>
          <w:u w:val="none"/>
          <w:shd w:val="clear" w:fill="auto"/>
          <w:vertAlign w:val="baseline"/>
          <w:rtl w:val="0"/>
        </w:rPr>
        <w:t>Legislative Framework:</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 To Bolster The Protection Of Privacy Rights, It Is Imperative To Establish a Robust Legislative Framework That Addresses Contemporary Challenges. This Includes Enacting Comprehensive Data Protection Laws That Align With International Standards.</w:t>
      </w:r>
    </w:p>
    <w:p>
      <w:pPr>
        <w:keepNext w:val="0"/>
        <w:keepLines w:val="0"/>
        <w:pageBreakBefore w:val="0"/>
        <w:widowControl/>
        <w:numPr>
          <w:ilvl w:val="0"/>
          <w:numId w:val="7"/>
        </w:numPr>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420" w:right="0" w:hanging="420"/>
        <w:jc w:val="both"/>
        <w:rPr>
          <w:rFonts w:hint="default" w:ascii="Times New Roman" w:hAnsi="Times New Roman" w:cs="Times New Roman"/>
        </w:rPr>
      </w:pPr>
      <w:r>
        <w:rPr>
          <w:rFonts w:hint="default" w:ascii="Times New Roman" w:hAnsi="Times New Roman" w:eastAsia="Times New Roman" w:cs="Times New Roman"/>
          <w:b/>
          <w:i w:val="0"/>
          <w:smallCaps w:val="0"/>
          <w:strike w:val="0"/>
          <w:color w:val="000000"/>
          <w:sz w:val="24"/>
          <w:szCs w:val="24"/>
          <w:u w:val="none"/>
          <w:shd w:val="clear" w:fill="auto"/>
          <w:vertAlign w:val="baseline"/>
          <w:rtl w:val="0"/>
        </w:rPr>
        <w:t>Judicial Oversight:</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 Enhanced Judicial Oversight Mechanisms Should Be Instituted To Ensure That Any Infringement On Privacy Rights By The State Or Private Entities Is Subject To Stringent Scrutiny And Justified By a Compelling State Interest.</w:t>
      </w:r>
    </w:p>
    <w:p>
      <w:pPr>
        <w:keepNext w:val="0"/>
        <w:keepLines w:val="0"/>
        <w:pageBreakBefore w:val="0"/>
        <w:widowControl/>
        <w:numPr>
          <w:ilvl w:val="0"/>
          <w:numId w:val="7"/>
        </w:numPr>
        <w:pBdr>
          <w:top w:val="none" w:color="auto" w:sz="0" w:space="0"/>
          <w:left w:val="none" w:color="auto" w:sz="0" w:space="0"/>
          <w:bottom w:val="none" w:color="auto" w:sz="0" w:space="0"/>
          <w:right w:val="none" w:color="auto" w:sz="0" w:space="0"/>
          <w:between w:val="none" w:color="auto" w:sz="0" w:space="0"/>
        </w:pBdr>
        <w:shd w:val="clear" w:fill="auto"/>
        <w:spacing w:before="0" w:after="280" w:line="360" w:lineRule="auto"/>
        <w:ind w:left="420" w:right="0" w:hanging="420"/>
        <w:jc w:val="both"/>
        <w:rPr>
          <w:rFonts w:hint="default" w:ascii="Times New Roman" w:hAnsi="Times New Roman" w:cs="Times New Roman"/>
        </w:rPr>
      </w:pPr>
      <w:bookmarkStart w:id="0" w:name="_gjdgxs" w:colFirst="0" w:colLast="0"/>
      <w:bookmarkEnd w:id="0"/>
      <w:r>
        <w:rPr>
          <w:rFonts w:hint="default" w:ascii="Times New Roman" w:hAnsi="Times New Roman" w:eastAsia="Times New Roman" w:cs="Times New Roman"/>
          <w:b/>
          <w:i w:val="0"/>
          <w:smallCaps w:val="0"/>
          <w:strike w:val="0"/>
          <w:color w:val="000000"/>
          <w:sz w:val="24"/>
          <w:szCs w:val="24"/>
          <w:u w:val="none"/>
          <w:shd w:val="clear" w:fill="auto"/>
          <w:vertAlign w:val="baseline"/>
          <w:rtl w:val="0"/>
        </w:rPr>
        <w:t>Public Awareness:</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 Efforts Must Be Made To Raise Public Awareness About The Importance Of Privacy Rights And The Legal Remedies Available In Case Of Violations. This Can Be Achieved Through Educational Programs And Public Campaigns.</w:t>
      </w:r>
    </w:p>
    <w:p>
      <w:pPr>
        <w:spacing w:line="360" w:lineRule="auto"/>
        <w:jc w:val="both"/>
        <w:rPr>
          <w:rFonts w:hint="default" w:ascii="Times New Roman" w:hAnsi="Times New Roman" w:eastAsia="Times New Roman" w:cs="Times New Roman"/>
          <w:b w:val="0"/>
          <w:sz w:val="24"/>
          <w:szCs w:val="24"/>
        </w:rPr>
      </w:pPr>
      <w:r>
        <w:rPr>
          <w:rFonts w:hint="default" w:ascii="Times New Roman" w:hAnsi="Times New Roman" w:eastAsia="SimSun" w:cs="Times New Roman"/>
          <w:sz w:val="24"/>
          <w:szCs w:val="24"/>
          <w:rtl w:val="0"/>
        </w:rPr>
        <w:t xml:space="preserve">  </w:t>
      </w:r>
    </w:p>
    <w:p>
      <w:pPr>
        <w:spacing w:line="360" w:lineRule="auto"/>
        <w:jc w:val="both"/>
        <w:rPr>
          <w:rFonts w:ascii="Times New Roman" w:hAnsi="Times New Roman" w:eastAsia="Times New Roman" w:cs="Times New Roman"/>
          <w:b w:val="0"/>
          <w:sz w:val="24"/>
          <w:szCs w:val="24"/>
        </w:rPr>
      </w:pPr>
    </w:p>
    <w:p>
      <w:pPr>
        <w:spacing w:line="360" w:lineRule="auto"/>
        <w:jc w:val="both"/>
        <w:rPr>
          <w:rFonts w:ascii="Times New Roman" w:hAnsi="Times New Roman" w:eastAsia="Times New Roman" w:cs="Times New Roman"/>
          <w:b w:val="0"/>
          <w:sz w:val="24"/>
          <w:szCs w:val="24"/>
        </w:rPr>
      </w:pPr>
    </w:p>
    <w:p>
      <w:pPr>
        <w:spacing w:line="360" w:lineRule="auto"/>
        <w:jc w:val="both"/>
        <w:rPr>
          <w:rFonts w:ascii="Times New Roman" w:hAnsi="Times New Roman" w:eastAsia="Times New Roman" w:cs="Times New Roman"/>
          <w:b w:val="0"/>
          <w:sz w:val="24"/>
          <w:szCs w:val="24"/>
        </w:rPr>
      </w:pPr>
    </w:p>
    <w:p>
      <w:pPr>
        <w:spacing w:line="360" w:lineRule="auto"/>
        <w:jc w:val="both"/>
        <w:rPr>
          <w:rFonts w:ascii="Times New Roman" w:hAnsi="Times New Roman" w:eastAsia="Times New Roman" w:cs="Times New Roman"/>
          <w:b w:val="0"/>
          <w:sz w:val="24"/>
          <w:szCs w:val="24"/>
        </w:rPr>
      </w:pPr>
    </w:p>
    <w:p>
      <w:pPr>
        <w:spacing w:line="360" w:lineRule="auto"/>
        <w:rPr>
          <w:rFonts w:ascii="Times New Roman" w:hAnsi="Times New Roman" w:eastAsia="Times New Roman" w:cs="Times New Roman"/>
          <w:i w:val="0"/>
          <w:smallCaps w:val="0"/>
          <w:color w:val="0D0D0D"/>
          <w:sz w:val="24"/>
          <w:szCs w:val="24"/>
          <w:highlight w:val="white"/>
        </w:rPr>
      </w:pPr>
    </w:p>
    <w:p>
      <w:pPr>
        <w:spacing w:line="360" w:lineRule="auto"/>
        <w:rPr>
          <w:rFonts w:ascii="Times New Roman" w:hAnsi="Times New Roman" w:eastAsia="Times New Roman" w:cs="Times New Roman"/>
          <w:i w:val="0"/>
          <w:smallCaps w:val="0"/>
          <w:color w:val="0D0D0D"/>
          <w:sz w:val="24"/>
          <w:szCs w:val="24"/>
          <w:highlight w:val="white"/>
        </w:rPr>
      </w:pPr>
    </w:p>
    <w:p>
      <w:pPr>
        <w:spacing w:line="360" w:lineRule="auto"/>
        <w:rPr>
          <w:rFonts w:ascii="Times New Roman" w:hAnsi="Times New Roman" w:eastAsia="Times New Roman" w:cs="Times New Roman"/>
          <w:i w:val="0"/>
          <w:smallCaps w:val="0"/>
          <w:color w:val="0D0D0D"/>
          <w:sz w:val="24"/>
          <w:szCs w:val="24"/>
          <w:highlight w:val="white"/>
        </w:rPr>
      </w:pPr>
    </w:p>
    <w:p>
      <w:pPr>
        <w:spacing w:line="360" w:lineRule="auto"/>
        <w:rPr>
          <w:rFonts w:ascii="Times New Roman" w:hAnsi="Times New Roman" w:eastAsia="Times New Roman" w:cs="Times New Roman"/>
          <w:i w:val="0"/>
          <w:smallCaps w:val="0"/>
          <w:color w:val="0D0D0D"/>
          <w:sz w:val="24"/>
          <w:szCs w:val="24"/>
          <w:highlight w:val="white"/>
        </w:rPr>
      </w:pPr>
    </w:p>
    <w:p>
      <w:pPr>
        <w:spacing w:line="360" w:lineRule="auto"/>
        <w:rPr>
          <w:rFonts w:ascii="Times New Roman" w:hAnsi="Times New Roman" w:eastAsia="Times New Roman" w:cs="Times New Roman"/>
          <w:i w:val="0"/>
          <w:smallCaps w:val="0"/>
          <w:color w:val="0D0D0D"/>
          <w:sz w:val="24"/>
          <w:szCs w:val="24"/>
          <w:highlight w:val="white"/>
        </w:rPr>
      </w:pPr>
    </w:p>
    <w:p>
      <w:pPr>
        <w:rPr>
          <w:rFonts w:ascii="Quattrocento Sans" w:hAnsi="Quattrocento Sans" w:eastAsia="Quattrocento Sans" w:cs="Quattrocento Sans"/>
          <w:i w:val="0"/>
          <w:smallCaps w:val="0"/>
          <w:color w:val="0D0D0D"/>
          <w:sz w:val="19"/>
          <w:szCs w:val="19"/>
          <w:highlight w:val="white"/>
        </w:rPr>
      </w:pPr>
    </w:p>
    <w:p>
      <w:pPr>
        <w:rPr>
          <w:rFonts w:ascii="Quattrocento Sans" w:hAnsi="Quattrocento Sans" w:eastAsia="Quattrocento Sans" w:cs="Quattrocento Sans"/>
          <w:i w:val="0"/>
          <w:smallCaps w:val="0"/>
          <w:color w:val="0D0D0D"/>
          <w:sz w:val="19"/>
          <w:szCs w:val="19"/>
          <w:highlight w:val="white"/>
        </w:rPr>
      </w:pPr>
    </w:p>
    <w:p>
      <w:pPr>
        <w:rPr>
          <w:rFonts w:ascii="Quattrocento Sans" w:hAnsi="Quattrocento Sans" w:eastAsia="Quattrocento Sans" w:cs="Quattrocento Sans"/>
          <w:i w:val="0"/>
          <w:smallCaps w:val="0"/>
          <w:color w:val="0D0D0D"/>
          <w:sz w:val="19"/>
          <w:szCs w:val="19"/>
          <w:highlight w:val="white"/>
        </w:rPr>
      </w:pPr>
    </w:p>
    <w:p>
      <w:pPr>
        <w:rPr>
          <w:rFonts w:ascii="Quattrocento Sans" w:hAnsi="Quattrocento Sans" w:eastAsia="Quattrocento Sans" w:cs="Quattrocento Sans"/>
          <w:i w:val="0"/>
          <w:smallCaps w:val="0"/>
          <w:color w:val="0D0D0D"/>
          <w:sz w:val="19"/>
          <w:szCs w:val="19"/>
          <w:highlight w:val="white"/>
        </w:rPr>
      </w:pPr>
    </w:p>
    <w:p>
      <w:pPr>
        <w:rPr>
          <w:rFonts w:ascii="Quattrocento Sans" w:hAnsi="Quattrocento Sans" w:eastAsia="Quattrocento Sans" w:cs="Quattrocento Sans"/>
          <w:i w:val="0"/>
          <w:smallCaps w:val="0"/>
          <w:color w:val="0D0D0D"/>
          <w:sz w:val="19"/>
          <w:szCs w:val="19"/>
          <w:highlight w:val="white"/>
        </w:rPr>
      </w:pPr>
    </w:p>
    <w:p>
      <w:pPr>
        <w:rPr>
          <w:rFonts w:ascii="Quattrocento Sans" w:hAnsi="Quattrocento Sans" w:eastAsia="Quattrocento Sans" w:cs="Quattrocento Sans"/>
          <w:i w:val="0"/>
          <w:smallCaps w:val="0"/>
          <w:color w:val="0D0D0D"/>
          <w:sz w:val="19"/>
          <w:szCs w:val="19"/>
          <w:highlight w:val="white"/>
        </w:rPr>
      </w:pPr>
    </w:p>
    <w:p>
      <w:pPr>
        <w:rPr>
          <w:rFonts w:ascii="Quattrocento Sans" w:hAnsi="Quattrocento Sans" w:eastAsia="Quattrocento Sans" w:cs="Quattrocento Sans"/>
          <w:i w:val="0"/>
          <w:smallCaps w:val="0"/>
          <w:color w:val="0D0D0D"/>
          <w:sz w:val="19"/>
          <w:szCs w:val="19"/>
          <w:highlight w:val="white"/>
        </w:rPr>
      </w:pPr>
    </w:p>
    <w:p>
      <w:pPr>
        <w:rPr>
          <w:rFonts w:ascii="Quattrocento Sans" w:hAnsi="Quattrocento Sans" w:eastAsia="Quattrocento Sans" w:cs="Quattrocento Sans"/>
          <w:i w:val="0"/>
          <w:smallCaps w:val="0"/>
          <w:color w:val="0D0D0D"/>
          <w:sz w:val="19"/>
          <w:szCs w:val="19"/>
          <w:highlight w:val="white"/>
        </w:rPr>
      </w:pPr>
    </w:p>
    <w:p>
      <w:pPr>
        <w:rPr>
          <w:rFonts w:ascii="Quattrocento Sans" w:hAnsi="Quattrocento Sans" w:eastAsia="Quattrocento Sans" w:cs="Quattrocento Sans"/>
          <w:i w:val="0"/>
          <w:smallCaps w:val="0"/>
          <w:color w:val="0D0D0D"/>
          <w:sz w:val="19"/>
          <w:szCs w:val="19"/>
          <w:highlight w:val="white"/>
        </w:rPr>
      </w:pPr>
    </w:p>
    <w:p>
      <w:pPr>
        <w:rPr>
          <w:rFonts w:ascii="Quattrocento Sans" w:hAnsi="Quattrocento Sans" w:eastAsia="Quattrocento Sans" w:cs="Quattrocento Sans"/>
          <w:i w:val="0"/>
          <w:smallCaps w:val="0"/>
          <w:color w:val="0D0D0D"/>
          <w:sz w:val="19"/>
          <w:szCs w:val="19"/>
          <w:highlight w:val="white"/>
        </w:rPr>
      </w:pPr>
    </w:p>
    <w:p>
      <w:pPr>
        <w:rPr>
          <w:rFonts w:ascii="Quattrocento Sans" w:hAnsi="Quattrocento Sans" w:eastAsia="Quattrocento Sans" w:cs="Quattrocento Sans"/>
          <w:i w:val="0"/>
          <w:smallCaps w:val="0"/>
          <w:color w:val="0D0D0D"/>
          <w:sz w:val="19"/>
          <w:szCs w:val="19"/>
          <w:highlight w:val="white"/>
        </w:rPr>
      </w:pPr>
    </w:p>
    <w:p>
      <w:pPr>
        <w:rPr>
          <w:rFonts w:ascii="Quattrocento Sans" w:hAnsi="Quattrocento Sans" w:eastAsia="Quattrocento Sans" w:cs="Quattrocento Sans"/>
          <w:i w:val="0"/>
          <w:smallCaps w:val="0"/>
          <w:color w:val="0D0D0D"/>
          <w:sz w:val="19"/>
          <w:szCs w:val="19"/>
          <w:highlight w:val="white"/>
        </w:rPr>
      </w:pPr>
    </w:p>
    <w:p>
      <w:pPr>
        <w:rPr>
          <w:rFonts w:ascii="Quattrocento Sans" w:hAnsi="Quattrocento Sans" w:eastAsia="Quattrocento Sans" w:cs="Quattrocento Sans"/>
          <w:i w:val="0"/>
          <w:smallCaps w:val="0"/>
          <w:color w:val="0D0D0D"/>
          <w:sz w:val="19"/>
          <w:szCs w:val="19"/>
          <w:highlight w:val="white"/>
        </w:rPr>
      </w:pPr>
    </w:p>
    <w:p>
      <w:pPr>
        <w:rPr>
          <w:rFonts w:ascii="Quattrocento Sans" w:hAnsi="Quattrocento Sans" w:eastAsia="Quattrocento Sans" w:cs="Quattrocento Sans"/>
          <w:i w:val="0"/>
          <w:smallCaps w:val="0"/>
          <w:color w:val="0D0D0D"/>
          <w:sz w:val="19"/>
          <w:szCs w:val="19"/>
          <w:highlight w:val="white"/>
        </w:rPr>
      </w:pPr>
    </w:p>
    <w:p>
      <w:pPr>
        <w:rPr>
          <w:rFonts w:ascii="Quattrocento Sans" w:hAnsi="Quattrocento Sans" w:eastAsia="Quattrocento Sans" w:cs="Quattrocento Sans"/>
          <w:i w:val="0"/>
          <w:smallCaps w:val="0"/>
          <w:color w:val="0D0D0D"/>
          <w:sz w:val="19"/>
          <w:szCs w:val="19"/>
          <w:highlight w:val="white"/>
        </w:rPr>
      </w:pPr>
    </w:p>
    <w:p>
      <w:pPr>
        <w:rPr>
          <w:rFonts w:ascii="Quattrocento Sans" w:hAnsi="Quattrocento Sans" w:eastAsia="Quattrocento Sans" w:cs="Quattrocento Sans"/>
          <w:i w:val="0"/>
          <w:smallCaps w:val="0"/>
          <w:color w:val="0D0D0D"/>
          <w:sz w:val="19"/>
          <w:szCs w:val="19"/>
          <w:highlight w:val="white"/>
        </w:rPr>
      </w:pPr>
    </w:p>
    <w:p>
      <w:pPr>
        <w:rPr>
          <w:rFonts w:ascii="Quattrocento Sans" w:hAnsi="Quattrocento Sans" w:eastAsia="Quattrocento Sans" w:cs="Quattrocento Sans"/>
          <w:i w:val="0"/>
          <w:smallCaps w:val="0"/>
          <w:color w:val="0D0D0D"/>
          <w:sz w:val="19"/>
          <w:szCs w:val="19"/>
          <w:highlight w:val="white"/>
        </w:rPr>
      </w:pPr>
    </w:p>
    <w:p>
      <w:pPr>
        <w:rPr>
          <w:rFonts w:ascii="Quattrocento Sans" w:hAnsi="Quattrocento Sans" w:eastAsia="Quattrocento Sans" w:cs="Quattrocento Sans"/>
          <w:i w:val="0"/>
          <w:smallCaps w:val="0"/>
          <w:color w:val="0D0D0D"/>
          <w:sz w:val="19"/>
          <w:szCs w:val="19"/>
          <w:highlight w:val="white"/>
        </w:rPr>
      </w:pPr>
    </w:p>
    <w:p>
      <w:pPr>
        <w:rPr>
          <w:rFonts w:ascii="Quattrocento Sans" w:hAnsi="Quattrocento Sans" w:eastAsia="Quattrocento Sans" w:cs="Quattrocento Sans"/>
          <w:i w:val="0"/>
          <w:smallCaps w:val="0"/>
          <w:color w:val="0D0D0D"/>
          <w:sz w:val="19"/>
          <w:szCs w:val="19"/>
          <w:highlight w:val="white"/>
        </w:rPr>
      </w:pPr>
    </w:p>
    <w:p>
      <w:pPr>
        <w:rPr>
          <w:rFonts w:ascii="Quattrocento Sans" w:hAnsi="Quattrocento Sans" w:eastAsia="Quattrocento Sans" w:cs="Quattrocento Sans"/>
          <w:i w:val="0"/>
          <w:smallCaps w:val="0"/>
          <w:color w:val="0D0D0D"/>
          <w:sz w:val="19"/>
          <w:szCs w:val="19"/>
          <w:highlight w:val="white"/>
        </w:rPr>
      </w:pPr>
    </w:p>
    <w:p>
      <w:pPr>
        <w:rPr>
          <w:rFonts w:ascii="Quattrocento Sans" w:hAnsi="Quattrocento Sans" w:eastAsia="Quattrocento Sans" w:cs="Quattrocento Sans"/>
          <w:i w:val="0"/>
          <w:smallCaps w:val="0"/>
          <w:color w:val="0D0D0D"/>
          <w:highlight w:val="white"/>
        </w:rPr>
      </w:pPr>
    </w:p>
    <w:sectPr>
      <w:pgSz w:w="11906" w:h="16838"/>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Noto Sans Symbols">
    <w:altName w:val="Segoe Print"/>
    <w:panose1 w:val="00000000000000000000"/>
    <w:charset w:val="00"/>
    <w:family w:val="auto"/>
    <w:pitch w:val="default"/>
    <w:sig w:usb0="00000000" w:usb1="00000000" w:usb2="00000000" w:usb3="00000000" w:csb0="00000000" w:csb1="00000000"/>
  </w:font>
  <w:font w:name="Quattrocento San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6">
    <w:p>
      <w:r>
        <w:separator/>
      </w:r>
    </w:p>
  </w:footnote>
  <w:footnote w:type="continuationSeparator" w:id="47">
    <w:p>
      <w:r>
        <w:continuationSeparator/>
      </w:r>
    </w:p>
  </w:footnote>
  <w:footnote w:id="0">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AIR 2018 SC (SUPP) 1841</w:t>
      </w:r>
    </w:p>
  </w:footnote>
  <w:footnote w:id="1">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both"/>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Evolution of Right to Privacy, India, available at: https://www.lawteacher.net/free-law-essays/constitutional-law/evolution-of-the-right-to-privacy-constitutional-law-essay.php(last visited on June 25, 2024)</w:t>
      </w:r>
    </w:p>
  </w:footnote>
  <w:footnote w:id="2">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both"/>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AIR 1954 SCR 1077</w:t>
      </w:r>
      <w:bookmarkStart w:id="1" w:name="_GoBack"/>
      <w:bookmarkEnd w:id="1"/>
    </w:p>
  </w:footnote>
  <w:footnote w:id="3">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AIR 1964(1) SCR 332</w:t>
      </w:r>
    </w:p>
  </w:footnote>
  <w:footnote w:id="4">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both"/>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ibid</w:t>
      </w:r>
    </w:p>
  </w:footnote>
  <w:footnote w:id="5">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both"/>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1975 (2) SCC 14</w:t>
      </w:r>
    </w:p>
  </w:footnote>
  <w:footnote w:id="6">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both"/>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ibid</w:t>
      </w:r>
    </w:p>
  </w:footnote>
  <w:footnote w:id="7">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2019 (1) SCC 1</w:t>
      </w:r>
    </w:p>
  </w:footnote>
  <w:footnote w:id="8">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both"/>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Supranote6</w:t>
      </w:r>
    </w:p>
  </w:footnote>
  <w:footnote w:id="9">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Decided on 24.09.2017available at: http://www.legalserviceindia.com/issues/topic1609-justice-ksputtaswamyretd-vs-union-of-india.html(last visited on June 25,2024)</w:t>
      </w:r>
    </w:p>
  </w:footnote>
  <w:footnote w:id="10">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Bhandari, Vrinda; Kak, Amba; Parsheera, Smriti; Rahman, Faiza. "An Analysis of Puttaswamy: SC Verdict". IndraStra Global. 003: 004. ISSN 2381-3652</w:t>
      </w:r>
    </w:p>
  </w:footnote>
  <w:footnote w:id="11">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Ibid</w:t>
      </w:r>
    </w:p>
  </w:footnote>
  <w:footnote w:id="12">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9-judge bench Archives”SCC Blog. Retrieved 16 May 2019.</w:t>
      </w:r>
    </w:p>
  </w:footnote>
  <w:footnote w:id="13">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1963 AIR 1295, 1964 SCR (1) 332</w:t>
      </w:r>
    </w:p>
  </w:footnote>
  <w:footnote w:id="14">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1954 AIR 300, 1954 SCR 1077</w:t>
      </w:r>
    </w:p>
  </w:footnote>
  <w:footnote w:id="15">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The Universal Declaration of Human Rights, 1948, “available at: Right To Privacy Under Article 21 and the Related Conflicts (last visited on Feb. 25, 2019).</w:t>
      </w:r>
    </w:p>
  </w:footnote>
  <w:footnote w:id="16">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ibid</w:t>
      </w:r>
    </w:p>
  </w:footnote>
  <w:footnote w:id="17">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European Convention on Human Rights, 1953, “available at:http://www.legalservicesindia.com/article/1630/Right-To-Privacy-Under-Article-21-and-the-Related-Conflicts.html(last visited on Feb. 25, 2019).</w:t>
      </w:r>
    </w:p>
  </w:footnote>
  <w:footnote w:id="18">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ibid</w:t>
      </w:r>
    </w:p>
  </w:footnote>
  <w:footnote w:id="19">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The International Covenant on Civil and Political Rights, 1961, “available at: Right To Privacy Under Article 21 and the Related Conflicts (last visited on Feb 25., 2019).</w:t>
      </w:r>
    </w:p>
  </w:footnote>
  <w:footnote w:id="20">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ibid</w:t>
      </w:r>
    </w:p>
  </w:footnote>
  <w:footnote w:id="21">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European Convention on Human Rights, 1953, “available at:http://www.legalservicesindia.com/article/1630/Right-To-Privacy-Under-Article-21-and-the-Related-Conflicts.html(last visited on Feb. 25, 2019).</w:t>
      </w:r>
    </w:p>
  </w:footnote>
  <w:footnote w:id="22">
    <w:p>
      <w:pPr>
        <w:keepNext w:val="0"/>
        <w:keepLines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0" w:right="0" w:firstLine="0"/>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Pr>
      </w:pPr>
      <w:r>
        <w:rPr>
          <w:rFonts w:hint="default" w:ascii="Times New Roman" w:hAnsi="Times New Roman" w:cs="Times New Roman"/>
          <w:sz w:val="20"/>
          <w:szCs w:val="20"/>
          <w:vertAlign w:val="superscript"/>
        </w:rPr>
        <w:footnoteRef/>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rPr>
        <w:t xml:space="preserve"> European Convention on Human Rights, 1953, “available at:http://www.legalservicesindia.com/article/1630/Right-To-Privacy-Under-Article-21-and-the-Related-Conflicts.html(last visited on Feb. 25, 2019).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2"/>
      <w:numFmt w:val="decimal"/>
      <w:lvlText w:val="%1."/>
      <w:lvlJc w:val="left"/>
      <w:pPr>
        <w:ind w:left="0" w:firstLine="0"/>
      </w:pPr>
    </w:lvl>
    <w:lvl w:ilvl="1" w:tentative="0">
      <w:start w:val="1"/>
      <w:numFmt w:val="bullet"/>
      <w:lvlText w:val=""/>
      <w:lvlJc w:val="left"/>
      <w:pPr>
        <w:ind w:left="0" w:firstLine="0"/>
      </w:pPr>
    </w:lvl>
    <w:lvl w:ilvl="2" w:tentative="0">
      <w:start w:val="1"/>
      <w:numFmt w:val="bullet"/>
      <w:lvlText w:val=""/>
      <w:lvlJc w:val="left"/>
      <w:pPr>
        <w:ind w:left="0" w:firstLine="0"/>
      </w:pPr>
    </w:lvl>
    <w:lvl w:ilvl="3" w:tentative="0">
      <w:start w:val="1"/>
      <w:numFmt w:val="bullet"/>
      <w:lvlText w:val=""/>
      <w:lvlJc w:val="left"/>
      <w:pPr>
        <w:ind w:left="0" w:firstLine="0"/>
      </w:pPr>
    </w:lvl>
    <w:lvl w:ilvl="4" w:tentative="0">
      <w:start w:val="1"/>
      <w:numFmt w:val="bullet"/>
      <w:lvlText w:val=""/>
      <w:lvlJc w:val="left"/>
      <w:pPr>
        <w:ind w:left="0" w:firstLine="0"/>
      </w:pPr>
    </w:lvl>
    <w:lvl w:ilvl="5" w:tentative="0">
      <w:start w:val="1"/>
      <w:numFmt w:val="bullet"/>
      <w:lvlText w:val=""/>
      <w:lvlJc w:val="left"/>
      <w:pPr>
        <w:ind w:left="0" w:firstLine="0"/>
      </w:pPr>
    </w:lvl>
    <w:lvl w:ilvl="6" w:tentative="0">
      <w:start w:val="1"/>
      <w:numFmt w:val="bullet"/>
      <w:lvlText w:val=""/>
      <w:lvlJc w:val="left"/>
      <w:pPr>
        <w:ind w:left="0" w:firstLine="0"/>
      </w:pPr>
    </w:lvl>
    <w:lvl w:ilvl="7" w:tentative="0">
      <w:start w:val="1"/>
      <w:numFmt w:val="bullet"/>
      <w:lvlText w:val=""/>
      <w:lvlJc w:val="left"/>
      <w:pPr>
        <w:ind w:left="0" w:firstLine="0"/>
      </w:pPr>
    </w:lvl>
    <w:lvl w:ilvl="8" w:tentative="0">
      <w:start w:val="1"/>
      <w:numFmt w:val="bullet"/>
      <w:lvlText w:val=""/>
      <w:lvlJc w:val="left"/>
      <w:pPr>
        <w:ind w:left="0" w:firstLine="0"/>
      </w:pPr>
    </w:lvl>
  </w:abstractNum>
  <w:abstractNum w:abstractNumId="1">
    <w:nsid w:val="BF205925"/>
    <w:multiLevelType w:val="multilevel"/>
    <w:tmpl w:val="BF205925"/>
    <w:lvl w:ilvl="0" w:tentative="0">
      <w:start w:val="1"/>
      <w:numFmt w:val="bullet"/>
      <w:lvlText w:val="●"/>
      <w:lvlJc w:val="left"/>
      <w:pPr>
        <w:ind w:left="420" w:hanging="420"/>
      </w:pPr>
      <w:rPr>
        <w:rFonts w:ascii="Noto Sans Symbols" w:hAnsi="Noto Sans Symbols" w:eastAsia="Noto Sans Symbols" w:cs="Noto Sans Symbols"/>
      </w:rPr>
    </w:lvl>
    <w:lvl w:ilvl="1" w:tentative="0">
      <w:start w:val="1"/>
      <w:numFmt w:val="bullet"/>
      <w:lvlText w:val=""/>
      <w:lvlJc w:val="left"/>
      <w:pPr>
        <w:ind w:left="0" w:firstLine="0"/>
      </w:pPr>
    </w:lvl>
    <w:lvl w:ilvl="2" w:tentative="0">
      <w:start w:val="1"/>
      <w:numFmt w:val="bullet"/>
      <w:lvlText w:val=""/>
      <w:lvlJc w:val="left"/>
      <w:pPr>
        <w:ind w:left="0" w:firstLine="0"/>
      </w:pPr>
    </w:lvl>
    <w:lvl w:ilvl="3" w:tentative="0">
      <w:start w:val="1"/>
      <w:numFmt w:val="bullet"/>
      <w:lvlText w:val=""/>
      <w:lvlJc w:val="left"/>
      <w:pPr>
        <w:ind w:left="0" w:firstLine="0"/>
      </w:pPr>
    </w:lvl>
    <w:lvl w:ilvl="4" w:tentative="0">
      <w:start w:val="1"/>
      <w:numFmt w:val="bullet"/>
      <w:lvlText w:val=""/>
      <w:lvlJc w:val="left"/>
      <w:pPr>
        <w:ind w:left="0" w:firstLine="0"/>
      </w:pPr>
    </w:lvl>
    <w:lvl w:ilvl="5" w:tentative="0">
      <w:start w:val="1"/>
      <w:numFmt w:val="bullet"/>
      <w:lvlText w:val=""/>
      <w:lvlJc w:val="left"/>
      <w:pPr>
        <w:ind w:left="0" w:firstLine="0"/>
      </w:pPr>
    </w:lvl>
    <w:lvl w:ilvl="6" w:tentative="0">
      <w:start w:val="1"/>
      <w:numFmt w:val="bullet"/>
      <w:lvlText w:val=""/>
      <w:lvlJc w:val="left"/>
      <w:pPr>
        <w:ind w:left="0" w:firstLine="0"/>
      </w:pPr>
    </w:lvl>
    <w:lvl w:ilvl="7" w:tentative="0">
      <w:start w:val="1"/>
      <w:numFmt w:val="bullet"/>
      <w:lvlText w:val=""/>
      <w:lvlJc w:val="left"/>
      <w:pPr>
        <w:ind w:left="0" w:firstLine="0"/>
      </w:pPr>
    </w:lvl>
    <w:lvl w:ilvl="8" w:tentative="0">
      <w:start w:val="1"/>
      <w:numFmt w:val="bullet"/>
      <w:lvlText w:val=""/>
      <w:lvlJc w:val="left"/>
      <w:pPr>
        <w:ind w:left="0" w:firstLine="0"/>
      </w:pPr>
    </w:lvl>
  </w:abstractNum>
  <w:abstractNum w:abstractNumId="2">
    <w:nsid w:val="C60F6040"/>
    <w:multiLevelType w:val="singleLevel"/>
    <w:tmpl w:val="C60F6040"/>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3">
    <w:nsid w:val="CF092B84"/>
    <w:multiLevelType w:val="multilevel"/>
    <w:tmpl w:val="CF092B84"/>
    <w:lvl w:ilvl="0" w:tentative="0">
      <w:start w:val="1"/>
      <w:numFmt w:val="decimal"/>
      <w:lvlText w:val="%1."/>
      <w:lvlJc w:val="left"/>
      <w:pPr>
        <w:ind w:left="0" w:firstLine="0"/>
      </w:pPr>
    </w:lvl>
    <w:lvl w:ilvl="1" w:tentative="0">
      <w:start w:val="1"/>
      <w:numFmt w:val="bullet"/>
      <w:lvlText w:val=""/>
      <w:lvlJc w:val="left"/>
      <w:pPr>
        <w:ind w:left="0" w:firstLine="0"/>
      </w:pPr>
    </w:lvl>
    <w:lvl w:ilvl="2" w:tentative="0">
      <w:start w:val="1"/>
      <w:numFmt w:val="bullet"/>
      <w:lvlText w:val=""/>
      <w:lvlJc w:val="left"/>
      <w:pPr>
        <w:ind w:left="0" w:firstLine="0"/>
      </w:pPr>
    </w:lvl>
    <w:lvl w:ilvl="3" w:tentative="0">
      <w:start w:val="1"/>
      <w:numFmt w:val="bullet"/>
      <w:lvlText w:val=""/>
      <w:lvlJc w:val="left"/>
      <w:pPr>
        <w:ind w:left="0" w:firstLine="0"/>
      </w:pPr>
    </w:lvl>
    <w:lvl w:ilvl="4" w:tentative="0">
      <w:start w:val="1"/>
      <w:numFmt w:val="bullet"/>
      <w:lvlText w:val=""/>
      <w:lvlJc w:val="left"/>
      <w:pPr>
        <w:ind w:left="0" w:firstLine="0"/>
      </w:pPr>
    </w:lvl>
    <w:lvl w:ilvl="5" w:tentative="0">
      <w:start w:val="1"/>
      <w:numFmt w:val="bullet"/>
      <w:lvlText w:val=""/>
      <w:lvlJc w:val="left"/>
      <w:pPr>
        <w:ind w:left="0" w:firstLine="0"/>
      </w:pPr>
    </w:lvl>
    <w:lvl w:ilvl="6" w:tentative="0">
      <w:start w:val="1"/>
      <w:numFmt w:val="bullet"/>
      <w:lvlText w:val=""/>
      <w:lvlJc w:val="left"/>
      <w:pPr>
        <w:ind w:left="0" w:firstLine="0"/>
      </w:pPr>
    </w:lvl>
    <w:lvl w:ilvl="7" w:tentative="0">
      <w:start w:val="1"/>
      <w:numFmt w:val="bullet"/>
      <w:lvlText w:val=""/>
      <w:lvlJc w:val="left"/>
      <w:pPr>
        <w:ind w:left="0" w:firstLine="0"/>
      </w:pPr>
    </w:lvl>
    <w:lvl w:ilvl="8" w:tentative="0">
      <w:start w:val="1"/>
      <w:numFmt w:val="bullet"/>
      <w:lvlText w:val=""/>
      <w:lvlJc w:val="left"/>
      <w:pPr>
        <w:ind w:left="0" w:firstLine="0"/>
      </w:pPr>
    </w:lvl>
  </w:abstractNum>
  <w:abstractNum w:abstractNumId="4">
    <w:nsid w:val="0053208E"/>
    <w:multiLevelType w:val="multilevel"/>
    <w:tmpl w:val="0053208E"/>
    <w:lvl w:ilvl="0" w:tentative="0">
      <w:start w:val="1"/>
      <w:numFmt w:val="bullet"/>
      <w:lvlText w:val="●"/>
      <w:lvlJc w:val="left"/>
      <w:pPr>
        <w:ind w:left="420" w:hanging="420"/>
      </w:pPr>
      <w:rPr>
        <w:rFonts w:ascii="Noto Sans Symbols" w:hAnsi="Noto Sans Symbols" w:eastAsia="Noto Sans Symbols" w:cs="Noto Sans Symbols"/>
      </w:rPr>
    </w:lvl>
    <w:lvl w:ilvl="1" w:tentative="0">
      <w:start w:val="1"/>
      <w:numFmt w:val="bullet"/>
      <w:lvlText w:val=""/>
      <w:lvlJc w:val="left"/>
      <w:pPr>
        <w:ind w:left="0" w:firstLine="0"/>
      </w:pPr>
    </w:lvl>
    <w:lvl w:ilvl="2" w:tentative="0">
      <w:start w:val="1"/>
      <w:numFmt w:val="bullet"/>
      <w:lvlText w:val=""/>
      <w:lvlJc w:val="left"/>
      <w:pPr>
        <w:ind w:left="0" w:firstLine="0"/>
      </w:pPr>
    </w:lvl>
    <w:lvl w:ilvl="3" w:tentative="0">
      <w:start w:val="1"/>
      <w:numFmt w:val="bullet"/>
      <w:lvlText w:val=""/>
      <w:lvlJc w:val="left"/>
      <w:pPr>
        <w:ind w:left="0" w:firstLine="0"/>
      </w:pPr>
    </w:lvl>
    <w:lvl w:ilvl="4" w:tentative="0">
      <w:start w:val="1"/>
      <w:numFmt w:val="bullet"/>
      <w:lvlText w:val=""/>
      <w:lvlJc w:val="left"/>
      <w:pPr>
        <w:ind w:left="0" w:firstLine="0"/>
      </w:pPr>
    </w:lvl>
    <w:lvl w:ilvl="5" w:tentative="0">
      <w:start w:val="1"/>
      <w:numFmt w:val="bullet"/>
      <w:lvlText w:val=""/>
      <w:lvlJc w:val="left"/>
      <w:pPr>
        <w:ind w:left="0" w:firstLine="0"/>
      </w:pPr>
    </w:lvl>
    <w:lvl w:ilvl="6" w:tentative="0">
      <w:start w:val="1"/>
      <w:numFmt w:val="bullet"/>
      <w:lvlText w:val=""/>
      <w:lvlJc w:val="left"/>
      <w:pPr>
        <w:ind w:left="0" w:firstLine="0"/>
      </w:pPr>
    </w:lvl>
    <w:lvl w:ilvl="7" w:tentative="0">
      <w:start w:val="1"/>
      <w:numFmt w:val="bullet"/>
      <w:lvlText w:val=""/>
      <w:lvlJc w:val="left"/>
      <w:pPr>
        <w:ind w:left="0" w:firstLine="0"/>
      </w:pPr>
    </w:lvl>
    <w:lvl w:ilvl="8" w:tentative="0">
      <w:start w:val="1"/>
      <w:numFmt w:val="bullet"/>
      <w:lvlText w:val=""/>
      <w:lvlJc w:val="left"/>
      <w:pPr>
        <w:ind w:left="0" w:firstLine="0"/>
      </w:pPr>
    </w:lvl>
  </w:abstractNum>
  <w:abstractNum w:abstractNumId="5">
    <w:nsid w:val="03D62ECE"/>
    <w:multiLevelType w:val="multilevel"/>
    <w:tmpl w:val="03D62ECE"/>
    <w:lvl w:ilvl="0" w:tentative="0">
      <w:start w:val="1"/>
      <w:numFmt w:val="bullet"/>
      <w:lvlText w:val="●"/>
      <w:lvlJc w:val="left"/>
      <w:pPr>
        <w:ind w:left="420" w:hanging="420"/>
      </w:pPr>
      <w:rPr>
        <w:rFonts w:ascii="Noto Sans Symbols" w:hAnsi="Noto Sans Symbols" w:eastAsia="Noto Sans Symbols" w:cs="Noto Sans Symbols"/>
      </w:rPr>
    </w:lvl>
    <w:lvl w:ilvl="1" w:tentative="0">
      <w:start w:val="1"/>
      <w:numFmt w:val="bullet"/>
      <w:lvlText w:val=""/>
      <w:lvlJc w:val="left"/>
      <w:pPr>
        <w:ind w:left="0" w:firstLine="0"/>
      </w:pPr>
    </w:lvl>
    <w:lvl w:ilvl="2" w:tentative="0">
      <w:start w:val="1"/>
      <w:numFmt w:val="bullet"/>
      <w:lvlText w:val=""/>
      <w:lvlJc w:val="left"/>
      <w:pPr>
        <w:ind w:left="0" w:firstLine="0"/>
      </w:pPr>
    </w:lvl>
    <w:lvl w:ilvl="3" w:tentative="0">
      <w:start w:val="1"/>
      <w:numFmt w:val="bullet"/>
      <w:lvlText w:val=""/>
      <w:lvlJc w:val="left"/>
      <w:pPr>
        <w:ind w:left="0" w:firstLine="0"/>
      </w:pPr>
    </w:lvl>
    <w:lvl w:ilvl="4" w:tentative="0">
      <w:start w:val="1"/>
      <w:numFmt w:val="bullet"/>
      <w:lvlText w:val=""/>
      <w:lvlJc w:val="left"/>
      <w:pPr>
        <w:ind w:left="0" w:firstLine="0"/>
      </w:pPr>
    </w:lvl>
    <w:lvl w:ilvl="5" w:tentative="0">
      <w:start w:val="1"/>
      <w:numFmt w:val="bullet"/>
      <w:lvlText w:val=""/>
      <w:lvlJc w:val="left"/>
      <w:pPr>
        <w:ind w:left="0" w:firstLine="0"/>
      </w:pPr>
    </w:lvl>
    <w:lvl w:ilvl="6" w:tentative="0">
      <w:start w:val="1"/>
      <w:numFmt w:val="bullet"/>
      <w:lvlText w:val=""/>
      <w:lvlJc w:val="left"/>
      <w:pPr>
        <w:ind w:left="0" w:firstLine="0"/>
      </w:pPr>
    </w:lvl>
    <w:lvl w:ilvl="7" w:tentative="0">
      <w:start w:val="1"/>
      <w:numFmt w:val="bullet"/>
      <w:lvlText w:val=""/>
      <w:lvlJc w:val="left"/>
      <w:pPr>
        <w:ind w:left="0" w:firstLine="0"/>
      </w:pPr>
    </w:lvl>
    <w:lvl w:ilvl="8" w:tentative="0">
      <w:start w:val="1"/>
      <w:numFmt w:val="bullet"/>
      <w:lvlText w:val=""/>
      <w:lvlJc w:val="left"/>
      <w:pPr>
        <w:ind w:left="0" w:firstLine="0"/>
      </w:pPr>
    </w:lvl>
  </w:abstractNum>
  <w:abstractNum w:abstractNumId="6">
    <w:nsid w:val="59ADCABA"/>
    <w:multiLevelType w:val="multilevel"/>
    <w:tmpl w:val="59ADCABA"/>
    <w:lvl w:ilvl="0" w:tentative="0">
      <w:start w:val="1"/>
      <w:numFmt w:val="bullet"/>
      <w:lvlText w:val="⮚"/>
      <w:lvlJc w:val="left"/>
      <w:pPr>
        <w:ind w:left="420" w:hanging="420"/>
      </w:pPr>
      <w:rPr>
        <w:rFonts w:ascii="Noto Sans Symbols" w:hAnsi="Noto Sans Symbols" w:eastAsia="Noto Sans Symbols" w:cs="Noto Sans Symbols"/>
      </w:rPr>
    </w:lvl>
    <w:lvl w:ilvl="1" w:tentative="0">
      <w:start w:val="1"/>
      <w:numFmt w:val="bullet"/>
      <w:lvlText w:val=""/>
      <w:lvlJc w:val="left"/>
      <w:pPr>
        <w:ind w:left="0" w:firstLine="0"/>
      </w:pPr>
    </w:lvl>
    <w:lvl w:ilvl="2" w:tentative="0">
      <w:start w:val="1"/>
      <w:numFmt w:val="bullet"/>
      <w:lvlText w:val=""/>
      <w:lvlJc w:val="left"/>
      <w:pPr>
        <w:ind w:left="0" w:firstLine="0"/>
      </w:pPr>
    </w:lvl>
    <w:lvl w:ilvl="3" w:tentative="0">
      <w:start w:val="1"/>
      <w:numFmt w:val="bullet"/>
      <w:lvlText w:val=""/>
      <w:lvlJc w:val="left"/>
      <w:pPr>
        <w:ind w:left="0" w:firstLine="0"/>
      </w:pPr>
    </w:lvl>
    <w:lvl w:ilvl="4" w:tentative="0">
      <w:start w:val="1"/>
      <w:numFmt w:val="bullet"/>
      <w:lvlText w:val=""/>
      <w:lvlJc w:val="left"/>
      <w:pPr>
        <w:ind w:left="0" w:firstLine="0"/>
      </w:pPr>
    </w:lvl>
    <w:lvl w:ilvl="5" w:tentative="0">
      <w:start w:val="1"/>
      <w:numFmt w:val="bullet"/>
      <w:lvlText w:val=""/>
      <w:lvlJc w:val="left"/>
      <w:pPr>
        <w:ind w:left="0" w:firstLine="0"/>
      </w:pPr>
    </w:lvl>
    <w:lvl w:ilvl="6" w:tentative="0">
      <w:start w:val="1"/>
      <w:numFmt w:val="bullet"/>
      <w:lvlText w:val=""/>
      <w:lvlJc w:val="left"/>
      <w:pPr>
        <w:ind w:left="0" w:firstLine="0"/>
      </w:pPr>
    </w:lvl>
    <w:lvl w:ilvl="7" w:tentative="0">
      <w:start w:val="1"/>
      <w:numFmt w:val="bullet"/>
      <w:lvlText w:val=""/>
      <w:lvlJc w:val="left"/>
      <w:pPr>
        <w:ind w:left="0" w:firstLine="0"/>
      </w:pPr>
    </w:lvl>
    <w:lvl w:ilvl="8" w:tentative="0">
      <w:start w:val="1"/>
      <w:numFmt w:val="bullet"/>
      <w:lvlText w:val=""/>
      <w:lvlJc w:val="left"/>
      <w:pPr>
        <w:ind w:left="0" w:firstLine="0"/>
      </w:pPr>
    </w:lvl>
  </w:abstractNum>
  <w:num w:numId="1">
    <w:abstractNumId w:val="4"/>
  </w:num>
  <w:num w:numId="2">
    <w:abstractNumId w:val="3"/>
  </w:num>
  <w:num w:numId="3">
    <w:abstractNumId w:val="6"/>
  </w:num>
  <w:num w:numId="4">
    <w:abstractNumId w:val="1"/>
  </w:num>
  <w:num w:numId="5">
    <w:abstractNumId w:val="2"/>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documentProtection w:enforcement="0"/>
  <w:defaultTabStop w:val="720"/>
  <w:footnotePr>
    <w:footnote w:id="46"/>
    <w:footnote w:id="47"/>
  </w:footnotePr>
  <w:compat>
    <w:compatSetting w:name="compatibilityMode" w:uri="http://schemas.microsoft.com/office/word" w:val="15"/>
  </w:compat>
  <w:rsids>
    <w:rsidRoot w:val="00000000"/>
    <w:rsid w:val="14725519"/>
    <w:rsid w:val="26D5027E"/>
    <w:rsid w:val="3B6C657C"/>
    <w:rsid w:val="613F71A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Calibri"/>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rPr>
      <w:rFonts w:ascii="Calibri" w:hAnsi="Calibri" w:eastAsia="Calibri" w:cs="Calibri"/>
      <w:sz w:val="24"/>
      <w:szCs w:val="24"/>
      <w:lang w:val="en-IN"/>
    </w:rPr>
  </w:style>
  <w:style w:type="paragraph" w:styleId="2">
    <w:name w:val="heading 1"/>
    <w:basedOn w:val="1"/>
    <w:next w:val="1"/>
    <w:uiPriority w:val="0"/>
    <w:pPr>
      <w:keepNext/>
      <w:keepLines/>
      <w:pageBreakBefore w:val="0"/>
      <w:spacing w:before="480" w:after="120"/>
    </w:pPr>
    <w:rPr>
      <w:b/>
      <w:sz w:val="48"/>
      <w:szCs w:val="48"/>
    </w:rPr>
  </w:style>
  <w:style w:type="paragraph" w:styleId="3">
    <w:name w:val="heading 2"/>
    <w:basedOn w:val="1"/>
    <w:next w:val="1"/>
    <w:uiPriority w:val="0"/>
    <w:pPr>
      <w:keepNext/>
      <w:keepLines/>
      <w:pageBreakBefore w:val="0"/>
      <w:spacing w:before="360" w:after="80"/>
    </w:pPr>
    <w:rPr>
      <w:b/>
      <w:sz w:val="36"/>
      <w:szCs w:val="36"/>
    </w:rPr>
  </w:style>
  <w:style w:type="paragraph" w:styleId="4">
    <w:name w:val="heading 3"/>
    <w:basedOn w:val="1"/>
    <w:next w:val="1"/>
    <w:uiPriority w:val="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pPr>
    <w:rPr>
      <w:rFonts w:ascii="SimSun" w:hAnsi="SimSun" w:eastAsia="SimSun" w:cs="SimSun"/>
      <w:b/>
      <w:color w:val="000000"/>
      <w:sz w:val="27"/>
      <w:szCs w:val="27"/>
      <w:u w:val="none"/>
      <w:shd w:val="clear" w:fill="auto"/>
      <w:vertAlign w:val="baseline"/>
    </w:rPr>
  </w:style>
  <w:style w:type="paragraph" w:styleId="5">
    <w:name w:val="heading 4"/>
    <w:basedOn w:val="1"/>
    <w:next w:val="1"/>
    <w:uiPriority w:val="0"/>
    <w:pPr>
      <w:keepNext/>
      <w:keepLines/>
      <w:pageBreakBefore w:val="0"/>
      <w:spacing w:before="240" w:after="40"/>
    </w:pPr>
    <w:rPr>
      <w:b/>
      <w:sz w:val="24"/>
      <w:szCs w:val="24"/>
    </w:rPr>
  </w:style>
  <w:style w:type="paragraph" w:styleId="6">
    <w:name w:val="heading 5"/>
    <w:basedOn w:val="1"/>
    <w:next w:val="1"/>
    <w:uiPriority w:val="0"/>
    <w:pPr>
      <w:keepNext/>
      <w:keepLines/>
      <w:pageBreakBefore w:val="0"/>
      <w:spacing w:before="220" w:after="40"/>
    </w:pPr>
    <w:rPr>
      <w:b/>
      <w:sz w:val="22"/>
      <w:szCs w:val="22"/>
    </w:rPr>
  </w:style>
  <w:style w:type="paragraph" w:styleId="7">
    <w:name w:val="heading 6"/>
    <w:basedOn w:val="1"/>
    <w:next w:val="1"/>
    <w:uiPriority w:val="0"/>
    <w:pPr>
      <w:keepNext/>
      <w:keepLines/>
      <w:pageBreakBefore w:val="0"/>
      <w:spacing w:before="200" w:after="40"/>
    </w:pPr>
    <w:rPr>
      <w:b/>
      <w:sz w:val="20"/>
      <w:szCs w:val="20"/>
    </w:rPr>
  </w:style>
  <w:style w:type="character" w:default="1" w:styleId="8">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10">
    <w:name w:val="Subtitle"/>
    <w:basedOn w:val="1"/>
    <w:next w:val="1"/>
    <w:uiPriority w:val="0"/>
    <w:pPr>
      <w:keepNext/>
      <w:keepLines/>
      <w:pageBreakBefore w:val="0"/>
      <w:spacing w:before="360" w:after="80"/>
    </w:pPr>
    <w:rPr>
      <w:rFonts w:ascii="Georgia" w:hAnsi="Georgia" w:eastAsia="Georgia" w:cs="Georgia"/>
      <w:i/>
      <w:color w:val="666666"/>
      <w:sz w:val="48"/>
      <w:szCs w:val="48"/>
    </w:rPr>
  </w:style>
  <w:style w:type="paragraph" w:styleId="11">
    <w:name w:val="Title"/>
    <w:basedOn w:val="1"/>
    <w:next w:val="1"/>
    <w:uiPriority w:val="0"/>
    <w:pPr>
      <w:keepNext/>
      <w:keepLines/>
      <w:pageBreakBefore w:val="0"/>
      <w:spacing w:before="480" w:after="120"/>
    </w:pPr>
    <w:rPr>
      <w:b/>
      <w:sz w:val="72"/>
      <w:szCs w:val="72"/>
    </w:rPr>
  </w:style>
  <w:style w:type="table" w:customStyle="1" w:styleId="12">
    <w:name w:val="Table Normal1"/>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otalTime>17</TotalTime>
  <ScaleCrop>false</ScaleCrop>
  <LinksUpToDate>false</LinksUpToDate>
  <Application>WPS Office_12.2.0.13472_F1E327BC-269C-435d-A152-05C5408002CA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2024-06-25T15:04:14Z</dcterms:created>
  <dc:creator>shiva</dc:creator>
  <cp:lastModifiedBy>shiva</cp:lastModifiedBy>
  <dcterms:modified xsi:type="dcterms:W3CDTF">2024-06-25T15:22:38Z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1033-12.2.0.13472</vt:lpwstr>
  </property>
  <property fmtid="{D5CDD505-2E9C-101B-9397-08002B2CF9AE}" pid="3" name="ICV">
    <vt:lpwstr>079BC5A95B924A8B96BB95785D80AB17_13</vt:lpwstr>
  </property>
</Properties>
</file>