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46F" w:rsidRDefault="008D2D18" w:rsidP="00C06BFE">
      <w:pPr>
        <w:spacing w:line="360" w:lineRule="auto"/>
        <w:jc w:val="center"/>
        <w:rPr>
          <w:rFonts w:ascii="Times New Roman" w:hAnsi="Times New Roman" w:cs="Times New Roman"/>
          <w:b/>
          <w:sz w:val="24"/>
          <w:szCs w:val="24"/>
          <w:u w:val="single"/>
        </w:rPr>
      </w:pPr>
      <w:r w:rsidRPr="008D2D18">
        <w:rPr>
          <w:rFonts w:ascii="Times New Roman" w:hAnsi="Times New Roman" w:cs="Times New Roman"/>
          <w:b/>
          <w:sz w:val="24"/>
          <w:szCs w:val="24"/>
          <w:u w:val="single"/>
        </w:rPr>
        <w:t>WORK PLACE SAFETY AND INDUSTRIAL ACCIDENTS</w:t>
      </w:r>
    </w:p>
    <w:p w:rsidR="008D2D18" w:rsidRDefault="008D2D18" w:rsidP="00C06BFE">
      <w:pPr>
        <w:spacing w:line="360" w:lineRule="auto"/>
        <w:jc w:val="center"/>
        <w:rPr>
          <w:rFonts w:ascii="Times New Roman" w:hAnsi="Times New Roman" w:cs="Times New Roman"/>
          <w:b/>
          <w:sz w:val="24"/>
          <w:szCs w:val="24"/>
          <w:u w:val="single"/>
        </w:rPr>
      </w:pPr>
    </w:p>
    <w:p w:rsidR="008D2D18" w:rsidRPr="006A508B" w:rsidRDefault="002B252A" w:rsidP="00C06BFE">
      <w:pPr>
        <w:spacing w:line="360" w:lineRule="auto"/>
        <w:jc w:val="both"/>
        <w:rPr>
          <w:rFonts w:ascii="Times New Roman" w:hAnsi="Times New Roman" w:cs="Times New Roman"/>
          <w:b/>
          <w:sz w:val="24"/>
          <w:szCs w:val="24"/>
          <w:u w:val="single"/>
        </w:rPr>
      </w:pPr>
      <w:r w:rsidRPr="006A508B">
        <w:rPr>
          <w:rFonts w:ascii="Times New Roman" w:hAnsi="Times New Roman" w:cs="Times New Roman"/>
          <w:b/>
          <w:sz w:val="24"/>
          <w:szCs w:val="24"/>
          <w:u w:val="single"/>
        </w:rPr>
        <w:t>INTRODUCTION</w:t>
      </w:r>
    </w:p>
    <w:p w:rsidR="002B252A" w:rsidRDefault="002B252A" w:rsidP="00C06BFE">
      <w:pPr>
        <w:spacing w:line="360" w:lineRule="auto"/>
        <w:jc w:val="both"/>
        <w:rPr>
          <w:rFonts w:ascii="Times New Roman" w:hAnsi="Times New Roman" w:cs="Times New Roman"/>
          <w:sz w:val="24"/>
          <w:szCs w:val="24"/>
        </w:rPr>
      </w:pPr>
      <w:r>
        <w:rPr>
          <w:rFonts w:ascii="Times New Roman" w:hAnsi="Times New Roman" w:cs="Times New Roman"/>
          <w:sz w:val="24"/>
          <w:szCs w:val="24"/>
        </w:rPr>
        <w:t>A safe and healthy working environment is a fundamental principle and right at work which can never be compr</w:t>
      </w:r>
      <w:r w:rsidR="00EB7328">
        <w:rPr>
          <w:rFonts w:ascii="Times New Roman" w:hAnsi="Times New Roman" w:cs="Times New Roman"/>
          <w:sz w:val="24"/>
          <w:szCs w:val="24"/>
        </w:rPr>
        <w:t>om</w:t>
      </w:r>
      <w:r>
        <w:rPr>
          <w:rFonts w:ascii="Times New Roman" w:hAnsi="Times New Roman" w:cs="Times New Roman"/>
          <w:sz w:val="24"/>
          <w:szCs w:val="24"/>
        </w:rPr>
        <w:t xml:space="preserve">ised no matter whether the worker belong to grade 1 or grade 4 rank. One of the </w:t>
      </w:r>
      <w:r w:rsidR="008E56D7">
        <w:rPr>
          <w:rFonts w:ascii="Times New Roman" w:hAnsi="Times New Roman" w:cs="Times New Roman"/>
          <w:sz w:val="24"/>
          <w:szCs w:val="24"/>
        </w:rPr>
        <w:t>foremost</w:t>
      </w:r>
      <w:r>
        <w:rPr>
          <w:rFonts w:ascii="Times New Roman" w:hAnsi="Times New Roman" w:cs="Times New Roman"/>
          <w:sz w:val="24"/>
          <w:szCs w:val="24"/>
        </w:rPr>
        <w:t xml:space="preserve"> important organisations of United Nations, i.e., International Labour Organization on June </w:t>
      </w:r>
      <w:r w:rsidR="00EB7328">
        <w:rPr>
          <w:rFonts w:ascii="Times New Roman" w:hAnsi="Times New Roman" w:cs="Times New Roman"/>
          <w:sz w:val="24"/>
          <w:szCs w:val="24"/>
        </w:rPr>
        <w:t>2022, in a conference decided that</w:t>
      </w:r>
      <w:r>
        <w:rPr>
          <w:rFonts w:ascii="Times New Roman" w:hAnsi="Times New Roman" w:cs="Times New Roman"/>
          <w:sz w:val="24"/>
          <w:szCs w:val="24"/>
        </w:rPr>
        <w:t xml:space="preserve"> safe environment as one of </w:t>
      </w:r>
      <w:r w:rsidR="008E56D7">
        <w:rPr>
          <w:rFonts w:ascii="Times New Roman" w:hAnsi="Times New Roman" w:cs="Times New Roman"/>
          <w:sz w:val="24"/>
          <w:szCs w:val="24"/>
        </w:rPr>
        <w:t>its</w:t>
      </w:r>
      <w:r>
        <w:rPr>
          <w:rFonts w:ascii="Times New Roman" w:hAnsi="Times New Roman" w:cs="Times New Roman"/>
          <w:sz w:val="24"/>
          <w:szCs w:val="24"/>
        </w:rPr>
        <w:t xml:space="preserve"> essential principles.</w:t>
      </w:r>
      <w:r w:rsidR="008E56D7">
        <w:rPr>
          <w:rFonts w:ascii="Times New Roman" w:hAnsi="Times New Roman" w:cs="Times New Roman"/>
          <w:sz w:val="24"/>
          <w:szCs w:val="24"/>
        </w:rPr>
        <w:t xml:space="preserve"> Also the organization decided to celebrate 28</w:t>
      </w:r>
      <w:r w:rsidR="008E56D7" w:rsidRPr="008E56D7">
        <w:rPr>
          <w:rFonts w:ascii="Times New Roman" w:hAnsi="Times New Roman" w:cs="Times New Roman"/>
          <w:sz w:val="24"/>
          <w:szCs w:val="24"/>
          <w:vertAlign w:val="superscript"/>
        </w:rPr>
        <w:t>th</w:t>
      </w:r>
      <w:r w:rsidR="008E56D7">
        <w:rPr>
          <w:rFonts w:ascii="Times New Roman" w:hAnsi="Times New Roman" w:cs="Times New Roman"/>
          <w:sz w:val="24"/>
          <w:szCs w:val="24"/>
        </w:rPr>
        <w:t xml:space="preserve"> April as World Day for Safet</w:t>
      </w:r>
      <w:r w:rsidR="0016776A">
        <w:rPr>
          <w:rFonts w:ascii="Times New Roman" w:hAnsi="Times New Roman" w:cs="Times New Roman"/>
          <w:sz w:val="24"/>
          <w:szCs w:val="24"/>
        </w:rPr>
        <w:t>y and H</w:t>
      </w:r>
      <w:r w:rsidR="008E56D7">
        <w:rPr>
          <w:rFonts w:ascii="Times New Roman" w:hAnsi="Times New Roman" w:cs="Times New Roman"/>
          <w:sz w:val="24"/>
          <w:szCs w:val="24"/>
        </w:rPr>
        <w:t>ealth at Work</w:t>
      </w:r>
      <w:r w:rsidR="0016776A">
        <w:rPr>
          <w:rStyle w:val="FootnoteReference"/>
          <w:rFonts w:ascii="Times New Roman" w:hAnsi="Times New Roman" w:cs="Times New Roman"/>
          <w:sz w:val="24"/>
          <w:szCs w:val="24"/>
        </w:rPr>
        <w:footnoteReference w:id="1"/>
      </w:r>
      <w:r w:rsidR="008E56D7">
        <w:rPr>
          <w:rFonts w:ascii="Times New Roman" w:hAnsi="Times New Roman" w:cs="Times New Roman"/>
          <w:sz w:val="24"/>
          <w:szCs w:val="24"/>
        </w:rPr>
        <w:t xml:space="preserve"> which aims to prevent occupational accidents and diseases globally. 28</w:t>
      </w:r>
      <w:r w:rsidR="008E56D7" w:rsidRPr="008E56D7">
        <w:rPr>
          <w:rFonts w:ascii="Times New Roman" w:hAnsi="Times New Roman" w:cs="Times New Roman"/>
          <w:sz w:val="24"/>
          <w:szCs w:val="24"/>
          <w:vertAlign w:val="superscript"/>
        </w:rPr>
        <w:t>TH</w:t>
      </w:r>
      <w:r w:rsidR="008E56D7">
        <w:rPr>
          <w:rFonts w:ascii="Times New Roman" w:hAnsi="Times New Roman" w:cs="Times New Roman"/>
          <w:sz w:val="24"/>
          <w:szCs w:val="24"/>
        </w:rPr>
        <w:t xml:space="preserve"> April is also known as the International Commemoration Day for dead and injured workers organized worldwide by the trade union movement since 1996</w:t>
      </w:r>
      <w:r w:rsidR="008328E2">
        <w:rPr>
          <w:rFonts w:ascii="Times New Roman" w:hAnsi="Times New Roman" w:cs="Times New Roman"/>
          <w:sz w:val="24"/>
          <w:szCs w:val="24"/>
        </w:rPr>
        <w:t>.</w:t>
      </w:r>
    </w:p>
    <w:p w:rsidR="00DB496D" w:rsidRDefault="00DB496D" w:rsidP="00C06BF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According to the report of International Labour Organization, each year, two million women and men face death as a result of occupational accidents and work-related diseases. Around the world, there are some 270 million occupational accidents and 160 million occupational syndromes. The losses that the industries face due to distribution of compensation to the workers, inefficient workforce, interrupted production due to poor health and other economic losses is around 3.94% of the annual gross domestic product of the world.</w:t>
      </w:r>
      <w:r w:rsidR="002256B4">
        <w:rPr>
          <w:rFonts w:ascii="Times New Roman" w:hAnsi="Times New Roman" w:cs="Times New Roman"/>
          <w:sz w:val="24"/>
          <w:szCs w:val="24"/>
        </w:rPr>
        <w:t xml:space="preserve"> The organization is taking vital steps to look after the safety of workers considering the drastic changes such as technology, demographics, sustainable development including climate change and changes in work organization.</w:t>
      </w:r>
    </w:p>
    <w:p w:rsidR="00ED1CF0" w:rsidRDefault="00ED1CF0" w:rsidP="00C06BFE">
      <w:pPr>
        <w:spacing w:line="360" w:lineRule="auto"/>
        <w:jc w:val="both"/>
        <w:rPr>
          <w:rFonts w:ascii="Times New Roman" w:hAnsi="Times New Roman" w:cs="Times New Roman"/>
          <w:sz w:val="24"/>
          <w:szCs w:val="24"/>
        </w:rPr>
      </w:pPr>
    </w:p>
    <w:p w:rsidR="00ED1CF0" w:rsidRPr="006A508B" w:rsidRDefault="00ED1CF0" w:rsidP="00C06BFE">
      <w:pPr>
        <w:spacing w:line="360" w:lineRule="auto"/>
        <w:jc w:val="both"/>
        <w:rPr>
          <w:rFonts w:ascii="Times New Roman" w:hAnsi="Times New Roman" w:cs="Times New Roman"/>
          <w:b/>
          <w:sz w:val="24"/>
          <w:szCs w:val="24"/>
          <w:u w:val="single"/>
        </w:rPr>
      </w:pPr>
      <w:r w:rsidRPr="006A508B">
        <w:rPr>
          <w:rFonts w:ascii="Times New Roman" w:hAnsi="Times New Roman" w:cs="Times New Roman"/>
          <w:b/>
          <w:sz w:val="24"/>
          <w:szCs w:val="24"/>
          <w:u w:val="single"/>
        </w:rPr>
        <w:t>WHY SAFETY AT WORK PLACE IS IMPORTANT</w:t>
      </w:r>
    </w:p>
    <w:p w:rsidR="00ED1CF0" w:rsidRPr="009A4F6B" w:rsidRDefault="008A0DF0" w:rsidP="00C06BF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most basic reason to provide workplace safety is to preserve human life. </w:t>
      </w:r>
      <w:r w:rsidR="009A4F6B">
        <w:rPr>
          <w:rFonts w:ascii="Times New Roman" w:hAnsi="Times New Roman" w:cs="Times New Roman"/>
          <w:sz w:val="24"/>
          <w:szCs w:val="24"/>
        </w:rPr>
        <w:t xml:space="preserve">Stringent provisions are required to ensure safe work environment to mark reduction in industrial accidents, fatalities, disasters and loss of national assets. </w:t>
      </w:r>
      <w:r w:rsidR="00786E2D">
        <w:rPr>
          <w:rFonts w:ascii="Times New Roman" w:hAnsi="Times New Roman" w:cs="Times New Roman"/>
          <w:sz w:val="24"/>
          <w:szCs w:val="24"/>
        </w:rPr>
        <w:t>It helps to do the coverage of work related injuries, provides a comprehensive data base for facilitating better performance and monitoring. Without safe, clean and healthy working environment, the society cannot achieve economic growth, social justice which is the goal of all the major democracies.</w:t>
      </w:r>
      <w:r>
        <w:rPr>
          <w:rFonts w:ascii="Times New Roman" w:hAnsi="Times New Roman" w:cs="Times New Roman"/>
          <w:sz w:val="24"/>
          <w:szCs w:val="24"/>
        </w:rPr>
        <w:t xml:space="preserve"> A safe and healthy environment of the place of work boost productivity and efficiency of the firm. </w:t>
      </w:r>
      <w:r w:rsidR="00A43C1B">
        <w:rPr>
          <w:rFonts w:ascii="Times New Roman" w:hAnsi="Times New Roman" w:cs="Times New Roman"/>
          <w:sz w:val="24"/>
          <w:szCs w:val="24"/>
        </w:rPr>
        <w:t xml:space="preserve">It keeps </w:t>
      </w:r>
      <w:r w:rsidR="00A43C1B">
        <w:rPr>
          <w:rFonts w:ascii="Times New Roman" w:hAnsi="Times New Roman" w:cs="Times New Roman"/>
          <w:sz w:val="24"/>
          <w:szCs w:val="24"/>
        </w:rPr>
        <w:lastRenderedPageBreak/>
        <w:t>the workers motivated and provides integrity towards their jobs. Healthy and clean working environment fosters sustainability, enhances long term viability and resilience of the organization. It also safeguards the reputation of the workplace by not getting indulged in any sort of legal or industrial accidents.</w:t>
      </w:r>
    </w:p>
    <w:p w:rsidR="00A43C1B" w:rsidRDefault="00A43C1B" w:rsidP="00C06BFE">
      <w:pPr>
        <w:spacing w:line="360" w:lineRule="auto"/>
        <w:jc w:val="both"/>
        <w:rPr>
          <w:rFonts w:ascii="Times New Roman" w:hAnsi="Times New Roman" w:cs="Times New Roman"/>
          <w:sz w:val="24"/>
          <w:szCs w:val="24"/>
          <w:u w:val="single"/>
        </w:rPr>
      </w:pPr>
    </w:p>
    <w:p w:rsidR="0041603A" w:rsidRPr="006A508B" w:rsidRDefault="0041603A" w:rsidP="00C06BFE">
      <w:pPr>
        <w:spacing w:line="360" w:lineRule="auto"/>
        <w:jc w:val="both"/>
        <w:rPr>
          <w:rFonts w:ascii="Times New Roman" w:hAnsi="Times New Roman" w:cs="Times New Roman"/>
          <w:b/>
          <w:sz w:val="24"/>
          <w:szCs w:val="24"/>
          <w:u w:val="single"/>
        </w:rPr>
      </w:pPr>
      <w:r w:rsidRPr="006A508B">
        <w:rPr>
          <w:rFonts w:ascii="Times New Roman" w:hAnsi="Times New Roman" w:cs="Times New Roman"/>
          <w:b/>
          <w:sz w:val="24"/>
          <w:szCs w:val="24"/>
          <w:u w:val="single"/>
        </w:rPr>
        <w:t>MEASURES TAKEN BY ILO TO PROVIDE SAFETY TO WORKERS</w:t>
      </w:r>
    </w:p>
    <w:p w:rsidR="00A43C1B" w:rsidRPr="005F2802" w:rsidRDefault="00C06BFE" w:rsidP="00C06BFE">
      <w:pPr>
        <w:spacing w:line="360" w:lineRule="auto"/>
        <w:jc w:val="both"/>
        <w:rPr>
          <w:rFonts w:ascii="Times New Roman" w:hAnsi="Times New Roman" w:cs="Times New Roman"/>
          <w:b/>
          <w:sz w:val="24"/>
          <w:szCs w:val="24"/>
        </w:rPr>
      </w:pPr>
      <w:r>
        <w:rPr>
          <w:rFonts w:ascii="Times New Roman" w:hAnsi="Times New Roman" w:cs="Times New Roman"/>
          <w:sz w:val="24"/>
          <w:szCs w:val="24"/>
        </w:rPr>
        <w:t>On the global level</w:t>
      </w:r>
      <w:r w:rsidR="00AA7A06">
        <w:rPr>
          <w:rStyle w:val="FootnoteReference"/>
          <w:rFonts w:ascii="Times New Roman" w:hAnsi="Times New Roman" w:cs="Times New Roman"/>
          <w:sz w:val="24"/>
          <w:szCs w:val="24"/>
        </w:rPr>
        <w:footnoteReference w:id="2"/>
      </w:r>
      <w:r>
        <w:rPr>
          <w:rFonts w:ascii="Times New Roman" w:hAnsi="Times New Roman" w:cs="Times New Roman"/>
          <w:sz w:val="24"/>
          <w:szCs w:val="24"/>
        </w:rPr>
        <w:t>, International Labour Organization has took several measures to provide workers a safe and clean environment of their workplace that consists of forty codes of practice. Some of the major key instruments are as follows-</w:t>
      </w:r>
    </w:p>
    <w:p w:rsidR="00C06BFE" w:rsidRDefault="00C06BFE" w:rsidP="00C06BFE">
      <w:pPr>
        <w:pStyle w:val="ListParagraph"/>
        <w:numPr>
          <w:ilvl w:val="0"/>
          <w:numId w:val="1"/>
        </w:numPr>
        <w:spacing w:line="360" w:lineRule="auto"/>
        <w:jc w:val="both"/>
        <w:rPr>
          <w:rFonts w:ascii="Times New Roman" w:hAnsi="Times New Roman" w:cs="Times New Roman"/>
          <w:sz w:val="24"/>
          <w:szCs w:val="24"/>
        </w:rPr>
      </w:pPr>
      <w:r w:rsidRPr="005F2802">
        <w:rPr>
          <w:rFonts w:ascii="Times New Roman" w:hAnsi="Times New Roman" w:cs="Times New Roman"/>
          <w:b/>
          <w:sz w:val="24"/>
          <w:szCs w:val="24"/>
          <w:u w:val="single"/>
        </w:rPr>
        <w:t xml:space="preserve">Promotional Framework for Occupational Safety and Health Convention, 2006 </w:t>
      </w:r>
      <w:r>
        <w:rPr>
          <w:rFonts w:ascii="Times New Roman" w:hAnsi="Times New Roman" w:cs="Times New Roman"/>
          <w:sz w:val="24"/>
          <w:szCs w:val="24"/>
        </w:rPr>
        <w:t xml:space="preserve">: </w:t>
      </w:r>
    </w:p>
    <w:p w:rsidR="00C06BFE" w:rsidRDefault="00C06BFE" w:rsidP="00C06BFE">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convention was designed to ensure intelligible and systematic </w:t>
      </w:r>
      <w:r w:rsidR="005F2802">
        <w:rPr>
          <w:rFonts w:ascii="Times New Roman" w:hAnsi="Times New Roman" w:cs="Times New Roman"/>
          <w:sz w:val="24"/>
          <w:szCs w:val="24"/>
        </w:rPr>
        <w:t>treatment of occupational safety and health issues and to encourage recognition of existing conventions on occupational safety and health. The objective of this convention was establishing and implementing coherent national policies on workplace safety and health of the workers.</w:t>
      </w:r>
    </w:p>
    <w:p w:rsidR="005F2802" w:rsidRDefault="005F2802" w:rsidP="005F2802">
      <w:pPr>
        <w:pStyle w:val="ListParagraph"/>
        <w:numPr>
          <w:ilvl w:val="0"/>
          <w:numId w:val="1"/>
        </w:numPr>
        <w:spacing w:line="360" w:lineRule="auto"/>
        <w:jc w:val="both"/>
        <w:rPr>
          <w:rFonts w:ascii="Times New Roman" w:hAnsi="Times New Roman" w:cs="Times New Roman"/>
          <w:b/>
          <w:sz w:val="24"/>
          <w:szCs w:val="24"/>
          <w:u w:val="single"/>
        </w:rPr>
      </w:pPr>
      <w:r w:rsidRPr="005F2802">
        <w:rPr>
          <w:rFonts w:ascii="Times New Roman" w:hAnsi="Times New Roman" w:cs="Times New Roman"/>
          <w:b/>
          <w:sz w:val="24"/>
          <w:szCs w:val="24"/>
          <w:u w:val="single"/>
        </w:rPr>
        <w:t>Occupational Safety</w:t>
      </w:r>
      <w:r w:rsidR="002B2AFC">
        <w:rPr>
          <w:rFonts w:ascii="Times New Roman" w:hAnsi="Times New Roman" w:cs="Times New Roman"/>
          <w:b/>
          <w:sz w:val="24"/>
          <w:szCs w:val="24"/>
          <w:u w:val="single"/>
        </w:rPr>
        <w:t xml:space="preserve"> and Health Convention, 1985</w:t>
      </w:r>
      <w:r w:rsidRPr="005F2802">
        <w:rPr>
          <w:rFonts w:ascii="Times New Roman" w:hAnsi="Times New Roman" w:cs="Times New Roman"/>
          <w:b/>
          <w:sz w:val="24"/>
          <w:szCs w:val="24"/>
          <w:u w:val="single"/>
        </w:rPr>
        <w:t xml:space="preserve"> </w:t>
      </w:r>
      <w:r>
        <w:rPr>
          <w:rFonts w:ascii="Times New Roman" w:hAnsi="Times New Roman" w:cs="Times New Roman"/>
          <w:b/>
          <w:sz w:val="24"/>
          <w:szCs w:val="24"/>
          <w:u w:val="single"/>
        </w:rPr>
        <w:t xml:space="preserve">: </w:t>
      </w:r>
    </w:p>
    <w:p w:rsidR="005F2802" w:rsidRDefault="002B2AFC" w:rsidP="002B2AFC">
      <w:pPr>
        <w:pStyle w:val="ListParagraph"/>
        <w:spacing w:line="360" w:lineRule="auto"/>
        <w:jc w:val="both"/>
        <w:rPr>
          <w:rFonts w:ascii="Times New Roman" w:hAnsi="Times New Roman" w:cs="Times New Roman"/>
          <w:sz w:val="24"/>
          <w:szCs w:val="24"/>
        </w:rPr>
      </w:pPr>
      <w:r w:rsidRPr="002B2AFC">
        <w:rPr>
          <w:rFonts w:ascii="Times New Roman" w:hAnsi="Times New Roman" w:cs="Times New Roman"/>
          <w:sz w:val="24"/>
          <w:szCs w:val="24"/>
        </w:rPr>
        <w:t>T</w:t>
      </w:r>
      <w:r>
        <w:rPr>
          <w:rFonts w:ascii="Times New Roman" w:hAnsi="Times New Roman" w:cs="Times New Roman"/>
          <w:sz w:val="24"/>
          <w:szCs w:val="24"/>
        </w:rPr>
        <w:t>his convention ensures the establishment of enterprise-level occupational hea</w:t>
      </w:r>
      <w:r w:rsidR="00A309A7">
        <w:rPr>
          <w:rFonts w:ascii="Times New Roman" w:hAnsi="Times New Roman" w:cs="Times New Roman"/>
          <w:sz w:val="24"/>
          <w:szCs w:val="24"/>
        </w:rPr>
        <w:t>lth services which comprises important preventive functions and which are accountable for advising the workers, their representatives in the enterprise on maintaining a safe and healthy working environment.</w:t>
      </w:r>
    </w:p>
    <w:p w:rsidR="006160BD" w:rsidRPr="006A508B" w:rsidRDefault="006160BD" w:rsidP="00A309A7">
      <w:pPr>
        <w:pStyle w:val="ListParagraph"/>
        <w:numPr>
          <w:ilvl w:val="0"/>
          <w:numId w:val="1"/>
        </w:numPr>
        <w:spacing w:line="360" w:lineRule="auto"/>
        <w:jc w:val="both"/>
        <w:rPr>
          <w:rFonts w:ascii="Times New Roman" w:hAnsi="Times New Roman" w:cs="Times New Roman"/>
          <w:b/>
          <w:sz w:val="24"/>
          <w:szCs w:val="24"/>
          <w:u w:val="single"/>
        </w:rPr>
      </w:pPr>
      <w:r w:rsidRPr="006A508B">
        <w:rPr>
          <w:rFonts w:ascii="Times New Roman" w:hAnsi="Times New Roman" w:cs="Times New Roman"/>
          <w:b/>
          <w:sz w:val="24"/>
          <w:szCs w:val="24"/>
          <w:u w:val="single"/>
        </w:rPr>
        <w:t>Occupational Safety and Health Convention, 1981 :</w:t>
      </w:r>
    </w:p>
    <w:p w:rsidR="00A309A7" w:rsidRDefault="006160BD" w:rsidP="006160BD">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convention provides for adoption of certain national occupational safety and health related policies, as well as action to be taken by the governments to ensure safe working environment. The provisions calls for regular review of requirements, recording of industrial accidents and diseases, etc. </w:t>
      </w:r>
    </w:p>
    <w:p w:rsidR="00004D1C" w:rsidRDefault="00004D1C" w:rsidP="006160BD">
      <w:pPr>
        <w:pStyle w:val="ListParagraph"/>
        <w:spacing w:line="360" w:lineRule="auto"/>
        <w:jc w:val="both"/>
        <w:rPr>
          <w:rFonts w:ascii="Times New Roman" w:hAnsi="Times New Roman" w:cs="Times New Roman"/>
          <w:sz w:val="24"/>
          <w:szCs w:val="24"/>
        </w:rPr>
      </w:pPr>
    </w:p>
    <w:p w:rsidR="00004D1C" w:rsidRDefault="00004D1C" w:rsidP="00004D1C">
      <w:pPr>
        <w:spacing w:line="360" w:lineRule="auto"/>
        <w:jc w:val="both"/>
        <w:rPr>
          <w:rFonts w:ascii="Times New Roman" w:hAnsi="Times New Roman" w:cs="Times New Roman"/>
          <w:b/>
          <w:sz w:val="24"/>
          <w:szCs w:val="24"/>
          <w:u w:val="single"/>
        </w:rPr>
      </w:pPr>
      <w:r w:rsidRPr="00004D1C">
        <w:rPr>
          <w:rFonts w:ascii="Times New Roman" w:hAnsi="Times New Roman" w:cs="Times New Roman"/>
          <w:b/>
          <w:sz w:val="24"/>
          <w:szCs w:val="24"/>
          <w:u w:val="single"/>
        </w:rPr>
        <w:t>SAFEGUARD</w:t>
      </w:r>
      <w:r w:rsidR="0074645D">
        <w:rPr>
          <w:rFonts w:ascii="Times New Roman" w:hAnsi="Times New Roman" w:cs="Times New Roman"/>
          <w:b/>
          <w:sz w:val="24"/>
          <w:szCs w:val="24"/>
          <w:u w:val="single"/>
        </w:rPr>
        <w:t>S</w:t>
      </w:r>
      <w:r w:rsidRPr="00004D1C">
        <w:rPr>
          <w:rFonts w:ascii="Times New Roman" w:hAnsi="Times New Roman" w:cs="Times New Roman"/>
          <w:b/>
          <w:sz w:val="24"/>
          <w:szCs w:val="24"/>
          <w:u w:val="single"/>
        </w:rPr>
        <w:t xml:space="preserve"> GIVEN TO WOKERS BY INDIAN LEGAL SYSTEM</w:t>
      </w:r>
    </w:p>
    <w:p w:rsidR="005B4300" w:rsidRDefault="005B4300"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Each country has</w:t>
      </w:r>
      <w:r w:rsidR="00B46211">
        <w:rPr>
          <w:rFonts w:ascii="Times New Roman" w:hAnsi="Times New Roman" w:cs="Times New Roman"/>
          <w:sz w:val="24"/>
          <w:szCs w:val="24"/>
        </w:rPr>
        <w:t xml:space="preserve"> their own legal system that provides safeguard to the work environment to the employees.</w:t>
      </w:r>
      <w:r w:rsidR="002E0E20">
        <w:rPr>
          <w:rFonts w:ascii="Times New Roman" w:hAnsi="Times New Roman" w:cs="Times New Roman"/>
          <w:sz w:val="24"/>
          <w:szCs w:val="24"/>
        </w:rPr>
        <w:t xml:space="preserve"> In India, after independence, during the drafting of the constitution, the </w:t>
      </w:r>
      <w:r w:rsidR="002E0E20">
        <w:rPr>
          <w:rFonts w:ascii="Times New Roman" w:hAnsi="Times New Roman" w:cs="Times New Roman"/>
          <w:sz w:val="24"/>
          <w:szCs w:val="24"/>
        </w:rPr>
        <w:lastRenderedPageBreak/>
        <w:t>constitution makers were intelligent enough to draft the Indian Constitution in a manner so that it can provide protection to life and personal liberty of individual irrespective of the strata he or she belongs. Other than the constitution, the Indian Legal System has other instruments as well which could monitor the safe working environment of the workers. The</w:t>
      </w:r>
      <w:r w:rsidR="006D0AC2">
        <w:rPr>
          <w:rFonts w:ascii="Times New Roman" w:hAnsi="Times New Roman" w:cs="Times New Roman"/>
          <w:sz w:val="24"/>
          <w:szCs w:val="24"/>
        </w:rPr>
        <w:t xml:space="preserve"> Indian government assigned the</w:t>
      </w:r>
      <w:r w:rsidR="002E0E20">
        <w:rPr>
          <w:rFonts w:ascii="Times New Roman" w:hAnsi="Times New Roman" w:cs="Times New Roman"/>
          <w:sz w:val="24"/>
          <w:szCs w:val="24"/>
        </w:rPr>
        <w:t xml:space="preserve"> </w:t>
      </w:r>
      <w:r w:rsidR="002E0E20" w:rsidRPr="00D171F4">
        <w:rPr>
          <w:rFonts w:ascii="Times New Roman" w:hAnsi="Times New Roman" w:cs="Times New Roman"/>
          <w:b/>
          <w:sz w:val="24"/>
          <w:szCs w:val="24"/>
          <w:u w:val="single"/>
        </w:rPr>
        <w:t>Ministry of Labour</w:t>
      </w:r>
      <w:r w:rsidR="006D0AC2" w:rsidRPr="00D171F4">
        <w:rPr>
          <w:rFonts w:ascii="Times New Roman" w:hAnsi="Times New Roman" w:cs="Times New Roman"/>
          <w:b/>
          <w:sz w:val="24"/>
          <w:szCs w:val="24"/>
          <w:u w:val="single"/>
        </w:rPr>
        <w:t xml:space="preserve"> and Employment</w:t>
      </w:r>
      <w:r w:rsidR="00AA7A06">
        <w:rPr>
          <w:rFonts w:ascii="Times New Roman" w:hAnsi="Times New Roman" w:cs="Times New Roman"/>
          <w:b/>
          <w:sz w:val="24"/>
          <w:szCs w:val="24"/>
          <w:u w:val="single"/>
        </w:rPr>
        <w:t xml:space="preserve"> </w:t>
      </w:r>
      <w:r w:rsidR="006D0AC2">
        <w:rPr>
          <w:rFonts w:ascii="Times New Roman" w:hAnsi="Times New Roman" w:cs="Times New Roman"/>
          <w:sz w:val="24"/>
          <w:szCs w:val="24"/>
        </w:rPr>
        <w:t xml:space="preserve">with the task to safeguard the interests of the workers, irrespective of their grade and ranks. The provisions under the Factories Act, 1948 ensures the safety and health of workers. These laws are applied to those premises that consists ten or </w:t>
      </w:r>
      <w:r w:rsidR="0074645D">
        <w:rPr>
          <w:rFonts w:ascii="Times New Roman" w:hAnsi="Times New Roman" w:cs="Times New Roman"/>
          <w:sz w:val="24"/>
          <w:szCs w:val="24"/>
        </w:rPr>
        <w:t>more workers worked in past twelve months when manufacturing is carried out with the help of power. Other labour</w:t>
      </w:r>
      <w:r w:rsidR="00AA7A06">
        <w:rPr>
          <w:rStyle w:val="FootnoteReference"/>
          <w:rFonts w:ascii="Times New Roman" w:hAnsi="Times New Roman" w:cs="Times New Roman"/>
          <w:sz w:val="24"/>
          <w:szCs w:val="24"/>
        </w:rPr>
        <w:footnoteReference w:id="3"/>
      </w:r>
      <w:r w:rsidR="0074645D">
        <w:rPr>
          <w:rFonts w:ascii="Times New Roman" w:hAnsi="Times New Roman" w:cs="Times New Roman"/>
          <w:sz w:val="24"/>
          <w:szCs w:val="24"/>
        </w:rPr>
        <w:t xml:space="preserve"> laws </w:t>
      </w:r>
      <w:r w:rsidR="00392D84">
        <w:rPr>
          <w:rFonts w:ascii="Times New Roman" w:hAnsi="Times New Roman" w:cs="Times New Roman"/>
          <w:sz w:val="24"/>
          <w:szCs w:val="24"/>
        </w:rPr>
        <w:t>such as The Mines Act</w:t>
      </w:r>
      <w:r w:rsidR="0074645D">
        <w:rPr>
          <w:rFonts w:ascii="Times New Roman" w:hAnsi="Times New Roman" w:cs="Times New Roman"/>
          <w:sz w:val="24"/>
          <w:szCs w:val="24"/>
        </w:rPr>
        <w:t>, 1952; The Motor Transport Workers Act</w:t>
      </w:r>
      <w:r w:rsidR="00392D84">
        <w:rPr>
          <w:rFonts w:ascii="Times New Roman" w:hAnsi="Times New Roman" w:cs="Times New Roman"/>
          <w:sz w:val="24"/>
          <w:szCs w:val="24"/>
        </w:rPr>
        <w:t>, 1961; The Dock Workers (Safety, Health and Welfare) Act, 1986, The Building And Other Construction Workers (Regulation of employment and Conditions of Service) Act, 1996, etc. are some of the thirteen labour laws that ensures just and humane work environment at the work place and control industrial accidents.</w:t>
      </w:r>
    </w:p>
    <w:p w:rsidR="00392D84" w:rsidRDefault="00392D84" w:rsidP="00004D1C">
      <w:pPr>
        <w:spacing w:line="360" w:lineRule="auto"/>
        <w:jc w:val="both"/>
        <w:rPr>
          <w:rFonts w:ascii="Times New Roman" w:hAnsi="Times New Roman" w:cs="Times New Roman"/>
          <w:b/>
          <w:sz w:val="24"/>
          <w:szCs w:val="24"/>
        </w:rPr>
      </w:pPr>
      <w:r w:rsidRPr="00AB543B">
        <w:rPr>
          <w:rFonts w:ascii="Times New Roman" w:hAnsi="Times New Roman" w:cs="Times New Roman"/>
          <w:b/>
          <w:sz w:val="24"/>
          <w:szCs w:val="24"/>
          <w:u w:val="single"/>
        </w:rPr>
        <w:t>Related provisions in the Indian Constitution</w:t>
      </w:r>
      <w:r w:rsidRPr="00392D84">
        <w:rPr>
          <w:rFonts w:ascii="Times New Roman" w:hAnsi="Times New Roman" w:cs="Times New Roman"/>
          <w:b/>
          <w:sz w:val="24"/>
          <w:szCs w:val="24"/>
        </w:rPr>
        <w:t>:</w:t>
      </w:r>
    </w:p>
    <w:p w:rsidR="00466D79" w:rsidRDefault="006A7439"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The Preamble of the Indian Constitution consist significant terminologies like “Justice”,  “Liberty”, “Equality” “Fraternity” in wider aspects, be it socially and economically to get an equal protective work environment.</w:t>
      </w:r>
      <w:r w:rsidR="001740B5">
        <w:rPr>
          <w:rFonts w:ascii="Times New Roman" w:hAnsi="Times New Roman" w:cs="Times New Roman"/>
          <w:sz w:val="24"/>
          <w:szCs w:val="24"/>
        </w:rPr>
        <w:t xml:space="preserve"> </w:t>
      </w:r>
      <w:r w:rsidR="00392D84">
        <w:rPr>
          <w:rFonts w:ascii="Times New Roman" w:hAnsi="Times New Roman" w:cs="Times New Roman"/>
          <w:sz w:val="24"/>
          <w:szCs w:val="24"/>
        </w:rPr>
        <w:t>Part 3 of the Indian Constitutio</w:t>
      </w:r>
      <w:r w:rsidR="00E35423">
        <w:rPr>
          <w:rFonts w:ascii="Times New Roman" w:hAnsi="Times New Roman" w:cs="Times New Roman"/>
          <w:sz w:val="24"/>
          <w:szCs w:val="24"/>
        </w:rPr>
        <w:t xml:space="preserve">n consist of fundamental rights. According to Article 14, every individual shall have equality of law and equal protection of law. In this way, like every other </w:t>
      </w:r>
      <w:r>
        <w:rPr>
          <w:rFonts w:ascii="Times New Roman" w:hAnsi="Times New Roman" w:cs="Times New Roman"/>
          <w:sz w:val="24"/>
          <w:szCs w:val="24"/>
        </w:rPr>
        <w:t>reputed</w:t>
      </w:r>
      <w:r w:rsidR="00E35423">
        <w:rPr>
          <w:rFonts w:ascii="Times New Roman" w:hAnsi="Times New Roman" w:cs="Times New Roman"/>
          <w:sz w:val="24"/>
          <w:szCs w:val="24"/>
        </w:rPr>
        <w:t xml:space="preserve"> jobs, no matter even if a worker belongs to the fourth grade, he is also entitled to get safe working environment at the workplace. </w:t>
      </w:r>
    </w:p>
    <w:p w:rsidR="001056C5" w:rsidRDefault="00466D79"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35423" w:rsidRPr="001056C5">
        <w:rPr>
          <w:rFonts w:ascii="Times New Roman" w:hAnsi="Times New Roman" w:cs="Times New Roman"/>
          <w:b/>
          <w:sz w:val="24"/>
          <w:szCs w:val="24"/>
        </w:rPr>
        <w:t>Article 21</w:t>
      </w:r>
      <w:r w:rsidR="00E35423">
        <w:rPr>
          <w:rFonts w:ascii="Times New Roman" w:hAnsi="Times New Roman" w:cs="Times New Roman"/>
          <w:sz w:val="24"/>
          <w:szCs w:val="24"/>
        </w:rPr>
        <w:t xml:space="preserve"> which deals with right to life and personal liberty also consist that the workers have the right to live a he</w:t>
      </w:r>
      <w:r w:rsidR="006A7439">
        <w:rPr>
          <w:rFonts w:ascii="Times New Roman" w:hAnsi="Times New Roman" w:cs="Times New Roman"/>
          <w:sz w:val="24"/>
          <w:szCs w:val="24"/>
        </w:rPr>
        <w:t xml:space="preserve">althy life in safe conditions </w:t>
      </w:r>
      <w:r w:rsidR="00E35423">
        <w:rPr>
          <w:rFonts w:ascii="Times New Roman" w:hAnsi="Times New Roman" w:cs="Times New Roman"/>
          <w:sz w:val="24"/>
          <w:szCs w:val="24"/>
        </w:rPr>
        <w:t xml:space="preserve">and has the personal </w:t>
      </w:r>
      <w:r w:rsidR="006A7439">
        <w:rPr>
          <w:rFonts w:ascii="Times New Roman" w:hAnsi="Times New Roman" w:cs="Times New Roman"/>
          <w:sz w:val="24"/>
          <w:szCs w:val="24"/>
        </w:rPr>
        <w:t>liberty to choose and claim safe, clean and healthy work environment.</w:t>
      </w:r>
      <w:r>
        <w:rPr>
          <w:rFonts w:ascii="Times New Roman" w:hAnsi="Times New Roman" w:cs="Times New Roman"/>
          <w:sz w:val="24"/>
          <w:szCs w:val="24"/>
        </w:rPr>
        <w:t xml:space="preserve"> In the landmark judgement of </w:t>
      </w:r>
      <w:r w:rsidR="00C37261" w:rsidRPr="00C37261">
        <w:rPr>
          <w:rFonts w:ascii="Times New Roman" w:hAnsi="Times New Roman" w:cs="Times New Roman"/>
          <w:b/>
          <w:sz w:val="24"/>
          <w:szCs w:val="24"/>
          <w:u w:val="single"/>
        </w:rPr>
        <w:t>Munn V. Illinois</w:t>
      </w:r>
      <w:r w:rsidR="00AA7A06">
        <w:rPr>
          <w:rStyle w:val="FootnoteReference"/>
          <w:rFonts w:ascii="Times New Roman" w:hAnsi="Times New Roman" w:cs="Times New Roman"/>
          <w:b/>
          <w:sz w:val="24"/>
          <w:szCs w:val="24"/>
          <w:u w:val="single"/>
        </w:rPr>
        <w:footnoteReference w:id="4"/>
      </w:r>
      <w:r w:rsidR="00C37261">
        <w:rPr>
          <w:rFonts w:ascii="Times New Roman" w:hAnsi="Times New Roman" w:cs="Times New Roman"/>
          <w:sz w:val="24"/>
          <w:szCs w:val="24"/>
        </w:rPr>
        <w:t xml:space="preserve">, the </w:t>
      </w:r>
      <w:proofErr w:type="spellStart"/>
      <w:r w:rsidR="00C37261">
        <w:rPr>
          <w:rFonts w:ascii="Times New Roman" w:hAnsi="Times New Roman" w:cs="Times New Roman"/>
          <w:sz w:val="24"/>
          <w:szCs w:val="24"/>
        </w:rPr>
        <w:t>hon’ble</w:t>
      </w:r>
      <w:proofErr w:type="spellEnd"/>
      <w:r>
        <w:rPr>
          <w:rFonts w:ascii="Times New Roman" w:hAnsi="Times New Roman" w:cs="Times New Roman"/>
          <w:sz w:val="24"/>
          <w:szCs w:val="24"/>
        </w:rPr>
        <w:t xml:space="preserve"> Court held that</w:t>
      </w:r>
      <w:r w:rsidR="00C37261">
        <w:rPr>
          <w:rFonts w:ascii="Times New Roman" w:hAnsi="Times New Roman" w:cs="Times New Roman"/>
          <w:sz w:val="24"/>
          <w:szCs w:val="24"/>
        </w:rPr>
        <w:t xml:space="preserve"> the term “life” as used here means more than mere animal existence, it not only deals with physical existence but also quality of life.</w:t>
      </w:r>
      <w:r w:rsidR="006A7439">
        <w:rPr>
          <w:rFonts w:ascii="Times New Roman" w:hAnsi="Times New Roman" w:cs="Times New Roman"/>
          <w:sz w:val="24"/>
          <w:szCs w:val="24"/>
        </w:rPr>
        <w:t xml:space="preserve"> </w:t>
      </w:r>
      <w:r w:rsidR="00C37261">
        <w:rPr>
          <w:rFonts w:ascii="Times New Roman" w:hAnsi="Times New Roman" w:cs="Times New Roman"/>
          <w:sz w:val="24"/>
          <w:szCs w:val="24"/>
        </w:rPr>
        <w:t>In the case of</w:t>
      </w:r>
      <w:r w:rsidR="00C37261" w:rsidRPr="003B55A5">
        <w:rPr>
          <w:rFonts w:ascii="Times New Roman" w:hAnsi="Times New Roman" w:cs="Times New Roman"/>
          <w:b/>
          <w:sz w:val="24"/>
          <w:szCs w:val="24"/>
          <w:u w:val="single"/>
        </w:rPr>
        <w:t xml:space="preserve"> Occupational Health and Safety Association V. Union of India</w:t>
      </w:r>
      <w:r w:rsidR="00AA7A06">
        <w:rPr>
          <w:rStyle w:val="FootnoteReference"/>
          <w:rFonts w:ascii="Times New Roman" w:hAnsi="Times New Roman" w:cs="Times New Roman"/>
          <w:b/>
          <w:sz w:val="24"/>
          <w:szCs w:val="24"/>
          <w:u w:val="single"/>
        </w:rPr>
        <w:footnoteReference w:id="5"/>
      </w:r>
      <w:r w:rsidR="00C37261">
        <w:rPr>
          <w:rFonts w:ascii="Times New Roman" w:hAnsi="Times New Roman" w:cs="Times New Roman"/>
          <w:sz w:val="24"/>
          <w:szCs w:val="24"/>
        </w:rPr>
        <w:t>, the court recognized the state’s duty to protect workers from dangerous or unhygienic working conditions an</w:t>
      </w:r>
      <w:r w:rsidR="003B55A5">
        <w:rPr>
          <w:rFonts w:ascii="Times New Roman" w:hAnsi="Times New Roman" w:cs="Times New Roman"/>
          <w:sz w:val="24"/>
          <w:szCs w:val="24"/>
        </w:rPr>
        <w:t xml:space="preserve">d remanded the matter to various high courts to check the issue of thermal power plants in their respective states. In this case, the protection of health and strength of workers and their accessibility </w:t>
      </w:r>
      <w:r w:rsidR="003B55A5">
        <w:rPr>
          <w:rFonts w:ascii="Times New Roman" w:hAnsi="Times New Roman" w:cs="Times New Roman"/>
          <w:sz w:val="24"/>
          <w:szCs w:val="24"/>
        </w:rPr>
        <w:lastRenderedPageBreak/>
        <w:t xml:space="preserve">towards just and humane conditions of work were taken as essential conditions to live with human dignity. In another landmark case, </w:t>
      </w:r>
      <w:r w:rsidR="003B55A5" w:rsidRPr="001056C5">
        <w:rPr>
          <w:rFonts w:ascii="Times New Roman" w:hAnsi="Times New Roman" w:cs="Times New Roman"/>
          <w:b/>
          <w:sz w:val="24"/>
          <w:szCs w:val="24"/>
          <w:u w:val="single"/>
        </w:rPr>
        <w:t>Subhash Kumar V. State of Bihar</w:t>
      </w:r>
      <w:r w:rsidR="00AA7A06">
        <w:rPr>
          <w:rStyle w:val="FootnoteReference"/>
          <w:rFonts w:ascii="Times New Roman" w:hAnsi="Times New Roman" w:cs="Times New Roman"/>
          <w:b/>
          <w:sz w:val="24"/>
          <w:szCs w:val="24"/>
          <w:u w:val="single"/>
        </w:rPr>
        <w:footnoteReference w:id="6"/>
      </w:r>
      <w:r w:rsidR="003B55A5">
        <w:rPr>
          <w:rFonts w:ascii="Times New Roman" w:hAnsi="Times New Roman" w:cs="Times New Roman"/>
          <w:sz w:val="24"/>
          <w:szCs w:val="24"/>
        </w:rPr>
        <w:t>, the court confirmed that the fundamental right to enjoy pollution-free water and air</w:t>
      </w:r>
      <w:r w:rsidR="001056C5">
        <w:rPr>
          <w:rFonts w:ascii="Times New Roman" w:hAnsi="Times New Roman" w:cs="Times New Roman"/>
          <w:sz w:val="24"/>
          <w:szCs w:val="24"/>
        </w:rPr>
        <w:t>, and if anything endangers the quality of water and air then a citizen can file a petition in court.</w:t>
      </w:r>
      <w:r w:rsidR="003B55A5">
        <w:rPr>
          <w:rFonts w:ascii="Times New Roman" w:hAnsi="Times New Roman" w:cs="Times New Roman"/>
          <w:sz w:val="24"/>
          <w:szCs w:val="24"/>
        </w:rPr>
        <w:t xml:space="preserve">  </w:t>
      </w:r>
      <w:r w:rsidR="006A7439">
        <w:rPr>
          <w:rFonts w:ascii="Times New Roman" w:hAnsi="Times New Roman" w:cs="Times New Roman"/>
          <w:sz w:val="24"/>
          <w:szCs w:val="24"/>
        </w:rPr>
        <w:t xml:space="preserve">Article 32 empowers workers to approach the Supreme Court of India if ever their fundamental rights are being violated. </w:t>
      </w:r>
    </w:p>
    <w:p w:rsidR="001056C5" w:rsidRDefault="001056C5"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66D79">
        <w:rPr>
          <w:rFonts w:ascii="Times New Roman" w:hAnsi="Times New Roman" w:cs="Times New Roman"/>
          <w:sz w:val="24"/>
          <w:szCs w:val="24"/>
        </w:rPr>
        <w:t>The</w:t>
      </w:r>
      <w:r w:rsidR="001740B5">
        <w:rPr>
          <w:rFonts w:ascii="Times New Roman" w:hAnsi="Times New Roman" w:cs="Times New Roman"/>
          <w:sz w:val="24"/>
          <w:szCs w:val="24"/>
        </w:rPr>
        <w:t xml:space="preserve"> Directive Principles of state policy which is unenforceable by law deal with legislations to ensure safety at the workplace. Article 42, of the Constitution says that the state shall make such provisions for securing just and humane conditions of work and maternity leave. It commands the state to establish just and humane working environment, encompassing fair wages, and </w:t>
      </w:r>
      <w:r w:rsidR="00466D79">
        <w:rPr>
          <w:rFonts w:ascii="Times New Roman" w:hAnsi="Times New Roman" w:cs="Times New Roman"/>
          <w:sz w:val="24"/>
          <w:szCs w:val="24"/>
        </w:rPr>
        <w:t>wellbeing</w:t>
      </w:r>
      <w:r w:rsidR="001740B5">
        <w:rPr>
          <w:rFonts w:ascii="Times New Roman" w:hAnsi="Times New Roman" w:cs="Times New Roman"/>
          <w:sz w:val="24"/>
          <w:szCs w:val="24"/>
        </w:rPr>
        <w:t xml:space="preserve"> of the workers. Article 43 of Indian Constitution simplifies that the government will toil to make sure that all the workers whether they work in farming</w:t>
      </w:r>
      <w:r w:rsidR="00DA1459">
        <w:rPr>
          <w:rFonts w:ascii="Times New Roman" w:hAnsi="Times New Roman" w:cs="Times New Roman"/>
          <w:sz w:val="24"/>
          <w:szCs w:val="24"/>
        </w:rPr>
        <w:t xml:space="preserve">, factories or any other field, get enough to </w:t>
      </w:r>
      <w:r w:rsidR="00466D79">
        <w:rPr>
          <w:rFonts w:ascii="Times New Roman" w:hAnsi="Times New Roman" w:cs="Times New Roman"/>
          <w:sz w:val="24"/>
          <w:szCs w:val="24"/>
        </w:rPr>
        <w:t>pay</w:t>
      </w:r>
      <w:r w:rsidR="00DA1459">
        <w:rPr>
          <w:rFonts w:ascii="Times New Roman" w:hAnsi="Times New Roman" w:cs="Times New Roman"/>
          <w:sz w:val="24"/>
          <w:szCs w:val="24"/>
        </w:rPr>
        <w:t xml:space="preserve"> well to live on.</w:t>
      </w:r>
      <w:r>
        <w:rPr>
          <w:rFonts w:ascii="Times New Roman" w:hAnsi="Times New Roman" w:cs="Times New Roman"/>
          <w:sz w:val="24"/>
          <w:szCs w:val="24"/>
        </w:rPr>
        <w:t xml:space="preserve"> In the landmark judgement of </w:t>
      </w:r>
      <w:r w:rsidRPr="00982E24">
        <w:rPr>
          <w:rFonts w:ascii="Times New Roman" w:hAnsi="Times New Roman" w:cs="Times New Roman"/>
          <w:b/>
          <w:sz w:val="24"/>
          <w:szCs w:val="24"/>
          <w:u w:val="single"/>
        </w:rPr>
        <w:t>Municipal Corporation of Delhi V. Female Workers</w:t>
      </w:r>
      <w:r w:rsidR="00AA7A06">
        <w:rPr>
          <w:rStyle w:val="FootnoteReference"/>
          <w:rFonts w:ascii="Times New Roman" w:hAnsi="Times New Roman" w:cs="Times New Roman"/>
          <w:b/>
          <w:sz w:val="24"/>
          <w:szCs w:val="24"/>
          <w:u w:val="single"/>
        </w:rPr>
        <w:footnoteReference w:id="7"/>
      </w:r>
      <w:r>
        <w:rPr>
          <w:rFonts w:ascii="Times New Roman" w:hAnsi="Times New Roman" w:cs="Times New Roman"/>
          <w:sz w:val="24"/>
          <w:szCs w:val="24"/>
        </w:rPr>
        <w:t>, the court held that the provisions enshrined in the Maternity Benefit Act, 1961 are aligned with Article 39 and 42. It stated that a female employee cannot be forced to work</w:t>
      </w:r>
      <w:r w:rsidR="00982E24">
        <w:rPr>
          <w:rFonts w:ascii="Times New Roman" w:hAnsi="Times New Roman" w:cs="Times New Roman"/>
          <w:sz w:val="24"/>
          <w:szCs w:val="24"/>
        </w:rPr>
        <w:t xml:space="preserve"> while she is in advanced pregnancy as it would be harmful to her as well as her child. Due to this reason, the act provides six weeks of maternity leave before and after delivery.</w:t>
      </w:r>
    </w:p>
    <w:p w:rsidR="00392D84" w:rsidRDefault="001056C5"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A1459">
        <w:rPr>
          <w:rFonts w:ascii="Times New Roman" w:hAnsi="Times New Roman" w:cs="Times New Roman"/>
          <w:sz w:val="24"/>
          <w:szCs w:val="24"/>
        </w:rPr>
        <w:t xml:space="preserve"> Also, Article 253 of the constitution, the parliament has the right to make laws for the whole or any part of the territory of India with the motive of executing an international treaty, agreement and convention with other countries or any decision made by </w:t>
      </w:r>
      <w:r w:rsidR="00466D79">
        <w:rPr>
          <w:rFonts w:ascii="Times New Roman" w:hAnsi="Times New Roman" w:cs="Times New Roman"/>
          <w:sz w:val="24"/>
          <w:szCs w:val="24"/>
        </w:rPr>
        <w:t xml:space="preserve">the </w:t>
      </w:r>
      <w:r w:rsidR="00DA1459">
        <w:rPr>
          <w:rFonts w:ascii="Times New Roman" w:hAnsi="Times New Roman" w:cs="Times New Roman"/>
          <w:sz w:val="24"/>
          <w:szCs w:val="24"/>
        </w:rPr>
        <w:t>associations.</w:t>
      </w:r>
    </w:p>
    <w:p w:rsidR="00D171F4" w:rsidRDefault="00D171F4" w:rsidP="00004D1C">
      <w:pPr>
        <w:spacing w:line="360" w:lineRule="auto"/>
        <w:jc w:val="both"/>
        <w:rPr>
          <w:rFonts w:ascii="Times New Roman" w:hAnsi="Times New Roman" w:cs="Times New Roman"/>
          <w:b/>
          <w:sz w:val="24"/>
          <w:szCs w:val="24"/>
          <w:u w:val="single"/>
        </w:rPr>
      </w:pPr>
      <w:r w:rsidRPr="00D171F4">
        <w:rPr>
          <w:rFonts w:ascii="Times New Roman" w:hAnsi="Times New Roman" w:cs="Times New Roman"/>
          <w:b/>
          <w:sz w:val="24"/>
          <w:szCs w:val="24"/>
          <w:u w:val="single"/>
        </w:rPr>
        <w:t>Factories Act, 1948</w:t>
      </w:r>
    </w:p>
    <w:p w:rsidR="00D171F4" w:rsidRDefault="00E1012C"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act consists of 106 sections. </w:t>
      </w:r>
      <w:r w:rsidR="00D171F4">
        <w:rPr>
          <w:rFonts w:ascii="Times New Roman" w:hAnsi="Times New Roman" w:cs="Times New Roman"/>
          <w:sz w:val="24"/>
          <w:szCs w:val="24"/>
        </w:rPr>
        <w:t>The main objective of the act is to protect health and safety of workers</w:t>
      </w:r>
      <w:r w:rsidR="00AB543B">
        <w:rPr>
          <w:rFonts w:ascii="Times New Roman" w:hAnsi="Times New Roman" w:cs="Times New Roman"/>
          <w:sz w:val="24"/>
          <w:szCs w:val="24"/>
        </w:rPr>
        <w:t xml:space="preserve"> and labours of a factory</w:t>
      </w:r>
      <w:r w:rsidR="00D171F4">
        <w:rPr>
          <w:rFonts w:ascii="Times New Roman" w:hAnsi="Times New Roman" w:cs="Times New Roman"/>
          <w:sz w:val="24"/>
          <w:szCs w:val="24"/>
        </w:rPr>
        <w:t>. It ensures that factories adhere to global best practices at the workplace.  The provisions of the factory act ensures that the workers are provided with fair and decent livelihood for all working-class people and to reduce social as well as industrial tensions. The act falls under the labour laws in India. It has been amended four times according to the nee</w:t>
      </w:r>
      <w:r w:rsidR="00AB543B">
        <w:rPr>
          <w:rFonts w:ascii="Times New Roman" w:hAnsi="Times New Roman" w:cs="Times New Roman"/>
          <w:sz w:val="24"/>
          <w:szCs w:val="24"/>
        </w:rPr>
        <w:t xml:space="preserve">ds and development during industrialization of the country. In the landmark judgement of </w:t>
      </w:r>
      <w:r w:rsidR="00AB543B" w:rsidRPr="00AB543B">
        <w:rPr>
          <w:rFonts w:ascii="Times New Roman" w:hAnsi="Times New Roman" w:cs="Times New Roman"/>
          <w:b/>
          <w:sz w:val="24"/>
          <w:szCs w:val="24"/>
          <w:u w:val="single"/>
        </w:rPr>
        <w:t>P. Trivikrama Prasad V. The State of Andhra Pradesh</w:t>
      </w:r>
      <w:r w:rsidR="00AA7A06">
        <w:rPr>
          <w:rStyle w:val="FootnoteReference"/>
          <w:rFonts w:ascii="Times New Roman" w:hAnsi="Times New Roman" w:cs="Times New Roman"/>
          <w:b/>
          <w:sz w:val="24"/>
          <w:szCs w:val="24"/>
          <w:u w:val="single"/>
        </w:rPr>
        <w:footnoteReference w:id="8"/>
      </w:r>
      <w:r w:rsidR="00AB543B">
        <w:rPr>
          <w:rFonts w:ascii="Times New Roman" w:hAnsi="Times New Roman" w:cs="Times New Roman"/>
          <w:sz w:val="24"/>
          <w:szCs w:val="24"/>
        </w:rPr>
        <w:t xml:space="preserve">, the High Court of </w:t>
      </w:r>
      <w:r w:rsidR="00AB543B">
        <w:rPr>
          <w:rFonts w:ascii="Times New Roman" w:hAnsi="Times New Roman" w:cs="Times New Roman"/>
          <w:sz w:val="24"/>
          <w:szCs w:val="24"/>
        </w:rPr>
        <w:lastRenderedPageBreak/>
        <w:t>Hyderabad held that that the occupier or the managing director (petioner), who neglects to provide safety instruments like helmets, ladders, etc. to their working staff and fails to teach them during hazardous times, will be at fault. Such petitioner shall be liable for his ignorance and failure to maintain the factory as required.</w:t>
      </w:r>
      <w:r w:rsidR="00C6487D">
        <w:rPr>
          <w:rFonts w:ascii="Times New Roman" w:hAnsi="Times New Roman" w:cs="Times New Roman"/>
          <w:sz w:val="24"/>
          <w:szCs w:val="24"/>
        </w:rPr>
        <w:t xml:space="preserve"> In another case of </w:t>
      </w:r>
      <w:r w:rsidR="00C6487D" w:rsidRPr="00C6487D">
        <w:rPr>
          <w:rFonts w:ascii="Times New Roman" w:hAnsi="Times New Roman" w:cs="Times New Roman"/>
          <w:b/>
          <w:sz w:val="24"/>
          <w:szCs w:val="24"/>
          <w:u w:val="single"/>
        </w:rPr>
        <w:t>Ravi Shankar Sharma V. State of Rajasthan</w:t>
      </w:r>
      <w:r w:rsidR="00AA7A06">
        <w:rPr>
          <w:rStyle w:val="FootnoteReference"/>
          <w:rFonts w:ascii="Times New Roman" w:hAnsi="Times New Roman" w:cs="Times New Roman"/>
          <w:b/>
          <w:sz w:val="24"/>
          <w:szCs w:val="24"/>
          <w:u w:val="single"/>
        </w:rPr>
        <w:footnoteReference w:id="9"/>
      </w:r>
      <w:r w:rsidR="00C6487D">
        <w:rPr>
          <w:rFonts w:ascii="Times New Roman" w:hAnsi="Times New Roman" w:cs="Times New Roman"/>
          <w:sz w:val="24"/>
          <w:szCs w:val="24"/>
        </w:rPr>
        <w:t xml:space="preserve">, the </w:t>
      </w:r>
      <w:proofErr w:type="spellStart"/>
      <w:r w:rsidR="00C6487D">
        <w:rPr>
          <w:rFonts w:ascii="Times New Roman" w:hAnsi="Times New Roman" w:cs="Times New Roman"/>
          <w:sz w:val="24"/>
          <w:szCs w:val="24"/>
        </w:rPr>
        <w:t>hon’ble</w:t>
      </w:r>
      <w:proofErr w:type="spellEnd"/>
      <w:r w:rsidR="00C6487D">
        <w:rPr>
          <w:rFonts w:ascii="Times New Roman" w:hAnsi="Times New Roman" w:cs="Times New Roman"/>
          <w:sz w:val="24"/>
          <w:szCs w:val="24"/>
        </w:rPr>
        <w:t xml:space="preserve"> court said that the Factories Act, 1948 is a social legislation and it ensures health, safety, welfare and so many other essential aspects of the workers in the factories. It not only protect workers from being exploited at the workplace but also provide for a recourse in case of violation of the same. In </w:t>
      </w:r>
      <w:r w:rsidR="00C6487D" w:rsidRPr="00AF652B">
        <w:rPr>
          <w:rFonts w:ascii="Times New Roman" w:hAnsi="Times New Roman" w:cs="Times New Roman"/>
          <w:b/>
          <w:sz w:val="24"/>
          <w:szCs w:val="24"/>
          <w:u w:val="single"/>
        </w:rPr>
        <w:t xml:space="preserve">Bhikusa Yamasa Kshatryia </w:t>
      </w:r>
      <w:r w:rsidR="00AF652B" w:rsidRPr="00AF652B">
        <w:rPr>
          <w:rFonts w:ascii="Times New Roman" w:hAnsi="Times New Roman" w:cs="Times New Roman"/>
          <w:b/>
          <w:sz w:val="24"/>
          <w:szCs w:val="24"/>
          <w:u w:val="single"/>
        </w:rPr>
        <w:t xml:space="preserve">Private </w:t>
      </w:r>
      <w:r w:rsidR="00AA7A06" w:rsidRPr="00AF652B">
        <w:rPr>
          <w:rFonts w:ascii="Times New Roman" w:hAnsi="Times New Roman" w:cs="Times New Roman"/>
          <w:b/>
          <w:sz w:val="24"/>
          <w:szCs w:val="24"/>
          <w:u w:val="single"/>
        </w:rPr>
        <w:t xml:space="preserve">Limited </w:t>
      </w:r>
      <w:r w:rsidR="00AA7A06">
        <w:rPr>
          <w:rFonts w:ascii="Times New Roman" w:hAnsi="Times New Roman" w:cs="Times New Roman"/>
          <w:b/>
          <w:sz w:val="24"/>
          <w:szCs w:val="24"/>
          <w:u w:val="single"/>
        </w:rPr>
        <w:t>V</w:t>
      </w:r>
      <w:r w:rsidR="00AF652B" w:rsidRPr="00AF652B">
        <w:rPr>
          <w:rFonts w:ascii="Times New Roman" w:hAnsi="Times New Roman" w:cs="Times New Roman"/>
          <w:b/>
          <w:sz w:val="24"/>
          <w:szCs w:val="24"/>
          <w:u w:val="single"/>
        </w:rPr>
        <w:t>. Union of India</w:t>
      </w:r>
      <w:r w:rsidR="00AA7A06">
        <w:rPr>
          <w:rStyle w:val="FootnoteReference"/>
          <w:rFonts w:ascii="Times New Roman" w:hAnsi="Times New Roman" w:cs="Times New Roman"/>
          <w:b/>
          <w:sz w:val="24"/>
          <w:szCs w:val="24"/>
          <w:u w:val="single"/>
        </w:rPr>
        <w:footnoteReference w:id="10"/>
      </w:r>
      <w:r w:rsidR="00AF652B">
        <w:rPr>
          <w:rFonts w:ascii="Times New Roman" w:hAnsi="Times New Roman" w:cs="Times New Roman"/>
          <w:sz w:val="24"/>
          <w:szCs w:val="24"/>
        </w:rPr>
        <w:t>, the court held that the primary objective of the Factories Act, 1948 to protect the employees from industrial and occupational hazards. The act puts obligations and duties over the employers to ensure protectiveness of workers and give them a conductive work environment to them.</w:t>
      </w:r>
    </w:p>
    <w:p w:rsidR="00AA7A06" w:rsidRDefault="00AA7A06" w:rsidP="00004D1C">
      <w:pPr>
        <w:spacing w:line="360" w:lineRule="auto"/>
        <w:jc w:val="both"/>
        <w:rPr>
          <w:rFonts w:ascii="Times New Roman" w:hAnsi="Times New Roman" w:cs="Times New Roman"/>
          <w:b/>
          <w:sz w:val="24"/>
          <w:szCs w:val="24"/>
          <w:u w:val="single"/>
        </w:rPr>
      </w:pPr>
      <w:r w:rsidRPr="00AA7A06">
        <w:rPr>
          <w:rFonts w:ascii="Times New Roman" w:hAnsi="Times New Roman" w:cs="Times New Roman"/>
          <w:b/>
          <w:sz w:val="24"/>
          <w:szCs w:val="24"/>
          <w:u w:val="single"/>
        </w:rPr>
        <w:t>Bhopal Gas Tragedy, 1984</w:t>
      </w:r>
    </w:p>
    <w:p w:rsidR="00AA7A06" w:rsidRPr="00AA7A06" w:rsidRDefault="00AA7A06"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 December 3, 1984, about 45 tons of dangerous gas methyl isocyanate escaped from an insecticide plant that was owned by the Indian subsidiary of American firm Union Carbide Corporation. The spread of the hazardous gas caused the death in between 15000-20,000 people. The survivors suffered respiratory problems, eye irritation or blindness, etc. This case is also referred as </w:t>
      </w:r>
      <w:r w:rsidRPr="00AA7A06">
        <w:rPr>
          <w:rFonts w:ascii="Times New Roman" w:hAnsi="Times New Roman" w:cs="Times New Roman"/>
          <w:b/>
          <w:sz w:val="24"/>
          <w:szCs w:val="24"/>
          <w:u w:val="single"/>
        </w:rPr>
        <w:t>M.C. Mehta V. Union of India</w:t>
      </w:r>
      <w:r>
        <w:rPr>
          <w:rStyle w:val="FootnoteReference"/>
          <w:rFonts w:ascii="Times New Roman" w:hAnsi="Times New Roman" w:cs="Times New Roman"/>
          <w:b/>
          <w:sz w:val="24"/>
          <w:szCs w:val="24"/>
          <w:u w:val="single"/>
        </w:rPr>
        <w:footnoteReference w:id="11"/>
      </w:r>
      <w:r>
        <w:rPr>
          <w:rFonts w:ascii="Times New Roman" w:hAnsi="Times New Roman" w:cs="Times New Roman"/>
          <w:sz w:val="24"/>
          <w:szCs w:val="24"/>
        </w:rPr>
        <w:t>, where the court held</w:t>
      </w:r>
      <w:r w:rsidR="001C1066">
        <w:rPr>
          <w:rFonts w:ascii="Times New Roman" w:hAnsi="Times New Roman" w:cs="Times New Roman"/>
          <w:sz w:val="24"/>
          <w:szCs w:val="24"/>
        </w:rPr>
        <w:t xml:space="preserve"> </w:t>
      </w:r>
      <w:r>
        <w:rPr>
          <w:rFonts w:ascii="Times New Roman" w:hAnsi="Times New Roman" w:cs="Times New Roman"/>
          <w:sz w:val="24"/>
          <w:szCs w:val="24"/>
        </w:rPr>
        <w:t>that the Union Carbide Corporation should pay a sum of four hundred and seventy million to Union of India in full settlements of claims, rights and liabilities before 31</w:t>
      </w:r>
      <w:r w:rsidRPr="00AA7A06">
        <w:rPr>
          <w:rFonts w:ascii="Times New Roman" w:hAnsi="Times New Roman" w:cs="Times New Roman"/>
          <w:sz w:val="24"/>
          <w:szCs w:val="24"/>
          <w:vertAlign w:val="superscript"/>
        </w:rPr>
        <w:t>st</w:t>
      </w:r>
      <w:r>
        <w:rPr>
          <w:rFonts w:ascii="Times New Roman" w:hAnsi="Times New Roman" w:cs="Times New Roman"/>
          <w:sz w:val="24"/>
          <w:szCs w:val="24"/>
        </w:rPr>
        <w:t xml:space="preserve"> </w:t>
      </w:r>
      <w:r w:rsidR="001C1066">
        <w:rPr>
          <w:rFonts w:ascii="Times New Roman" w:hAnsi="Times New Roman" w:cs="Times New Roman"/>
          <w:sz w:val="24"/>
          <w:szCs w:val="24"/>
        </w:rPr>
        <w:t>March, 1989. The court held</w:t>
      </w:r>
      <w:proofErr w:type="gramStart"/>
      <w:r w:rsidR="001C1066">
        <w:rPr>
          <w:rFonts w:ascii="Times New Roman" w:hAnsi="Times New Roman" w:cs="Times New Roman"/>
          <w:sz w:val="24"/>
          <w:szCs w:val="24"/>
        </w:rPr>
        <w:t>,  “</w:t>
      </w:r>
      <w:proofErr w:type="gramEnd"/>
      <w:r w:rsidR="001C1066">
        <w:rPr>
          <w:rFonts w:ascii="Times New Roman" w:hAnsi="Times New Roman" w:cs="Times New Roman"/>
          <w:sz w:val="24"/>
          <w:szCs w:val="24"/>
        </w:rPr>
        <w:t>E</w:t>
      </w:r>
      <w:r>
        <w:rPr>
          <w:rFonts w:ascii="Times New Roman" w:hAnsi="Times New Roman" w:cs="Times New Roman"/>
          <w:sz w:val="24"/>
          <w:szCs w:val="24"/>
        </w:rPr>
        <w:t>ven though the hazardous industries have to be set up since they are essential for economic development and advancement of society but they cannot absolve themselves of the responsibility by showing either that they were not negligent in dealing with the hazardous substance or they took all the necessary and reasonable precautions while dealing with it.</w:t>
      </w:r>
      <w:r w:rsidR="001C1066">
        <w:rPr>
          <w:rFonts w:ascii="Times New Roman" w:hAnsi="Times New Roman" w:cs="Times New Roman"/>
          <w:sz w:val="24"/>
          <w:szCs w:val="24"/>
        </w:rPr>
        <w:t>”</w:t>
      </w:r>
      <w:r>
        <w:rPr>
          <w:rFonts w:ascii="Times New Roman" w:hAnsi="Times New Roman" w:cs="Times New Roman"/>
          <w:sz w:val="24"/>
          <w:szCs w:val="24"/>
        </w:rPr>
        <w:t xml:space="preserve"> Principle of </w:t>
      </w:r>
      <w:r w:rsidRPr="00AA7A06">
        <w:rPr>
          <w:rFonts w:ascii="Times New Roman" w:hAnsi="Times New Roman" w:cs="Times New Roman"/>
          <w:b/>
          <w:sz w:val="24"/>
          <w:szCs w:val="24"/>
          <w:u w:val="single"/>
        </w:rPr>
        <w:t>Absolute Liability</w:t>
      </w:r>
      <w:r>
        <w:rPr>
          <w:rFonts w:ascii="Times New Roman" w:hAnsi="Times New Roman" w:cs="Times New Roman"/>
          <w:sz w:val="24"/>
          <w:szCs w:val="24"/>
        </w:rPr>
        <w:t xml:space="preserve"> was evolved in this case.  </w:t>
      </w:r>
    </w:p>
    <w:p w:rsidR="00AF652B" w:rsidRDefault="00AF652B" w:rsidP="00004D1C">
      <w:pPr>
        <w:spacing w:line="360" w:lineRule="auto"/>
        <w:jc w:val="both"/>
        <w:rPr>
          <w:rFonts w:ascii="Times New Roman" w:hAnsi="Times New Roman" w:cs="Times New Roman"/>
          <w:b/>
          <w:sz w:val="24"/>
          <w:szCs w:val="24"/>
          <w:u w:val="single"/>
        </w:rPr>
      </w:pPr>
      <w:r w:rsidRPr="00A2078B">
        <w:rPr>
          <w:rFonts w:ascii="Times New Roman" w:hAnsi="Times New Roman" w:cs="Times New Roman"/>
          <w:b/>
          <w:sz w:val="24"/>
          <w:szCs w:val="24"/>
          <w:u w:val="single"/>
        </w:rPr>
        <w:t>S</w:t>
      </w:r>
      <w:r w:rsidR="00A2078B" w:rsidRPr="00A2078B">
        <w:rPr>
          <w:rFonts w:ascii="Times New Roman" w:hAnsi="Times New Roman" w:cs="Times New Roman"/>
          <w:b/>
          <w:sz w:val="24"/>
          <w:szCs w:val="24"/>
          <w:u w:val="single"/>
        </w:rPr>
        <w:t>exual Harassment of Women at Workplace (Prevention, Prohibition and Redressal)</w:t>
      </w:r>
      <w:r w:rsidR="00A2078B">
        <w:rPr>
          <w:rFonts w:ascii="Times New Roman" w:hAnsi="Times New Roman" w:cs="Times New Roman"/>
          <w:b/>
          <w:sz w:val="24"/>
          <w:szCs w:val="24"/>
          <w:u w:val="single"/>
        </w:rPr>
        <w:t xml:space="preserve"> Act</w:t>
      </w:r>
      <w:r w:rsidR="00A2078B" w:rsidRPr="00A2078B">
        <w:rPr>
          <w:rFonts w:ascii="Times New Roman" w:hAnsi="Times New Roman" w:cs="Times New Roman"/>
          <w:b/>
          <w:sz w:val="24"/>
          <w:szCs w:val="24"/>
          <w:u w:val="single"/>
        </w:rPr>
        <w:t>, 2013</w:t>
      </w:r>
    </w:p>
    <w:p w:rsidR="00A2078B" w:rsidRDefault="00E34B12" w:rsidP="00004D1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Sexual harassment brings the violation of </w:t>
      </w:r>
      <w:r w:rsidR="00292B68">
        <w:rPr>
          <w:rFonts w:ascii="Times New Roman" w:hAnsi="Times New Roman" w:cs="Times New Roman"/>
          <w:sz w:val="24"/>
          <w:szCs w:val="24"/>
        </w:rPr>
        <w:t>fundamental rights of a woman</w:t>
      </w:r>
      <w:r w:rsidR="002E7F02">
        <w:rPr>
          <w:rFonts w:ascii="Times New Roman" w:hAnsi="Times New Roman" w:cs="Times New Roman"/>
          <w:sz w:val="24"/>
          <w:szCs w:val="24"/>
        </w:rPr>
        <w:t xml:space="preserve"> to equality as per Article 14, 15 and article 21 that is, right to live with dignity.</w:t>
      </w:r>
      <w:r w:rsidR="00292B68">
        <w:rPr>
          <w:rFonts w:ascii="Times New Roman" w:hAnsi="Times New Roman" w:cs="Times New Roman"/>
          <w:sz w:val="24"/>
          <w:szCs w:val="24"/>
        </w:rPr>
        <w:t xml:space="preserve"> </w:t>
      </w:r>
      <w:r>
        <w:rPr>
          <w:rFonts w:ascii="Times New Roman" w:hAnsi="Times New Roman" w:cs="Times New Roman"/>
          <w:sz w:val="24"/>
          <w:szCs w:val="24"/>
        </w:rPr>
        <w:t xml:space="preserve">The act provides provisions to </w:t>
      </w:r>
      <w:r>
        <w:rPr>
          <w:rFonts w:ascii="Times New Roman" w:hAnsi="Times New Roman" w:cs="Times New Roman"/>
          <w:sz w:val="24"/>
          <w:szCs w:val="24"/>
        </w:rPr>
        <w:lastRenderedPageBreak/>
        <w:t>ensure safe working environment for women at the workplace. It also made mandatory for every employer to provide a mechanism to redress grievances related to sexual harassment at the workplace and to ensure gender equality. The act is capable to be implemented in organized as well as unorganized sectors.</w:t>
      </w:r>
      <w:r w:rsidR="002E7F02">
        <w:rPr>
          <w:rFonts w:ascii="Times New Roman" w:hAnsi="Times New Roman" w:cs="Times New Roman"/>
          <w:sz w:val="24"/>
          <w:szCs w:val="24"/>
        </w:rPr>
        <w:t xml:space="preserve"> This act is an </w:t>
      </w:r>
      <w:proofErr w:type="spellStart"/>
      <w:r w:rsidR="002E7F02">
        <w:rPr>
          <w:rFonts w:ascii="Times New Roman" w:hAnsi="Times New Roman" w:cs="Times New Roman"/>
          <w:sz w:val="24"/>
          <w:szCs w:val="24"/>
        </w:rPr>
        <w:t>extention</w:t>
      </w:r>
      <w:proofErr w:type="spellEnd"/>
      <w:r w:rsidR="002E7F02">
        <w:rPr>
          <w:rFonts w:ascii="Times New Roman" w:hAnsi="Times New Roman" w:cs="Times New Roman"/>
          <w:sz w:val="24"/>
          <w:szCs w:val="24"/>
        </w:rPr>
        <w:t xml:space="preserve"> to </w:t>
      </w:r>
      <w:r w:rsidR="002E7F02" w:rsidRPr="004B5A6C">
        <w:rPr>
          <w:rFonts w:ascii="Times New Roman" w:hAnsi="Times New Roman" w:cs="Times New Roman"/>
          <w:b/>
          <w:sz w:val="24"/>
          <w:szCs w:val="24"/>
          <w:u w:val="single"/>
        </w:rPr>
        <w:t>Vishakha Guidelines</w:t>
      </w:r>
      <w:r w:rsidR="001C1066">
        <w:rPr>
          <w:rStyle w:val="FootnoteReference"/>
          <w:rFonts w:ascii="Times New Roman" w:hAnsi="Times New Roman" w:cs="Times New Roman"/>
          <w:b/>
          <w:sz w:val="24"/>
          <w:szCs w:val="24"/>
          <w:u w:val="single"/>
        </w:rPr>
        <w:footnoteReference w:id="12"/>
      </w:r>
      <w:r w:rsidR="002E7F02">
        <w:rPr>
          <w:rFonts w:ascii="Times New Roman" w:hAnsi="Times New Roman" w:cs="Times New Roman"/>
          <w:sz w:val="24"/>
          <w:szCs w:val="24"/>
        </w:rPr>
        <w:t xml:space="preserve"> that were formulated in 1997.</w:t>
      </w:r>
      <w:r w:rsidR="00827C17">
        <w:rPr>
          <w:rFonts w:ascii="Times New Roman" w:hAnsi="Times New Roman" w:cs="Times New Roman"/>
          <w:sz w:val="24"/>
          <w:szCs w:val="24"/>
        </w:rPr>
        <w:t xml:space="preserve"> The Supreme Court of India in a landmark case of </w:t>
      </w:r>
      <w:r w:rsidR="00827C17" w:rsidRPr="007978C7">
        <w:rPr>
          <w:rFonts w:ascii="Times New Roman" w:hAnsi="Times New Roman" w:cs="Times New Roman"/>
          <w:b/>
          <w:sz w:val="24"/>
          <w:szCs w:val="24"/>
          <w:u w:val="single"/>
        </w:rPr>
        <w:t xml:space="preserve">Aurelieno Fernandes V. </w:t>
      </w:r>
      <w:r w:rsidR="007978C7" w:rsidRPr="007978C7">
        <w:rPr>
          <w:rFonts w:ascii="Times New Roman" w:hAnsi="Times New Roman" w:cs="Times New Roman"/>
          <w:b/>
          <w:sz w:val="24"/>
          <w:szCs w:val="24"/>
          <w:u w:val="single"/>
        </w:rPr>
        <w:t>State of Goa</w:t>
      </w:r>
      <w:r w:rsidR="001C1066">
        <w:rPr>
          <w:rStyle w:val="FootnoteReference"/>
          <w:rFonts w:ascii="Times New Roman" w:hAnsi="Times New Roman" w:cs="Times New Roman"/>
          <w:b/>
          <w:sz w:val="24"/>
          <w:szCs w:val="24"/>
          <w:u w:val="single"/>
        </w:rPr>
        <w:footnoteReference w:id="13"/>
      </w:r>
      <w:r w:rsidR="007978C7">
        <w:rPr>
          <w:rFonts w:ascii="Times New Roman" w:hAnsi="Times New Roman" w:cs="Times New Roman"/>
          <w:sz w:val="24"/>
          <w:szCs w:val="24"/>
        </w:rPr>
        <w:t xml:space="preserve"> held the importance of the Sexual Harassment of Women at Workplace (Prevention, Prohibition and Redressal) Act, 2013. In another case of </w:t>
      </w:r>
      <w:r w:rsidR="007978C7" w:rsidRPr="004B5A6C">
        <w:rPr>
          <w:rFonts w:ascii="Times New Roman" w:hAnsi="Times New Roman" w:cs="Times New Roman"/>
          <w:b/>
          <w:sz w:val="24"/>
          <w:szCs w:val="24"/>
          <w:u w:val="single"/>
        </w:rPr>
        <w:t>Medha Kotwal Lele &amp; Ors V. Union of India and Ors</w:t>
      </w:r>
      <w:r w:rsidR="007978C7">
        <w:rPr>
          <w:rFonts w:ascii="Times New Roman" w:hAnsi="Times New Roman" w:cs="Times New Roman"/>
          <w:sz w:val="24"/>
          <w:szCs w:val="24"/>
        </w:rPr>
        <w:t>,</w:t>
      </w:r>
      <w:r w:rsidR="001653B2">
        <w:rPr>
          <w:rStyle w:val="FootnoteReference"/>
          <w:rFonts w:ascii="Times New Roman" w:hAnsi="Times New Roman" w:cs="Times New Roman"/>
          <w:sz w:val="24"/>
          <w:szCs w:val="24"/>
        </w:rPr>
        <w:footnoteReference w:id="14"/>
      </w:r>
      <w:r w:rsidR="007978C7">
        <w:rPr>
          <w:rFonts w:ascii="Times New Roman" w:hAnsi="Times New Roman" w:cs="Times New Roman"/>
          <w:sz w:val="24"/>
          <w:szCs w:val="24"/>
        </w:rPr>
        <w:t xml:space="preserve"> the Supreme Court held that the act protects women from sexual harassment at workplace and the provisions of the act is in furtherance to India’s international obligations under the CEDAW, that stands for </w:t>
      </w:r>
      <w:r w:rsidR="004B5A6C">
        <w:rPr>
          <w:rFonts w:ascii="Times New Roman" w:hAnsi="Times New Roman" w:cs="Times New Roman"/>
          <w:sz w:val="24"/>
          <w:szCs w:val="24"/>
        </w:rPr>
        <w:t xml:space="preserve">Convention on the </w:t>
      </w:r>
      <w:proofErr w:type="spellStart"/>
      <w:r w:rsidR="004B5A6C">
        <w:rPr>
          <w:rFonts w:ascii="Times New Roman" w:hAnsi="Times New Roman" w:cs="Times New Roman"/>
          <w:sz w:val="24"/>
          <w:szCs w:val="24"/>
        </w:rPr>
        <w:t>Ellimination</w:t>
      </w:r>
      <w:proofErr w:type="spellEnd"/>
      <w:r w:rsidR="004B5A6C">
        <w:rPr>
          <w:rFonts w:ascii="Times New Roman" w:hAnsi="Times New Roman" w:cs="Times New Roman"/>
          <w:sz w:val="24"/>
          <w:szCs w:val="24"/>
        </w:rPr>
        <w:t xml:space="preserve"> of All Forms of Discrimination Against Women.</w:t>
      </w:r>
    </w:p>
    <w:p w:rsidR="00CA616B" w:rsidRDefault="004B5A6C" w:rsidP="00004D1C">
      <w:pPr>
        <w:spacing w:line="360" w:lineRule="auto"/>
        <w:jc w:val="both"/>
        <w:rPr>
          <w:rFonts w:ascii="Times New Roman" w:hAnsi="Times New Roman" w:cs="Times New Roman"/>
          <w:sz w:val="24"/>
          <w:szCs w:val="24"/>
        </w:rPr>
      </w:pPr>
      <w:r w:rsidRPr="00CA616B">
        <w:rPr>
          <w:rFonts w:ascii="Times New Roman" w:hAnsi="Times New Roman" w:cs="Times New Roman"/>
          <w:b/>
          <w:sz w:val="24"/>
          <w:szCs w:val="24"/>
          <w:u w:val="single"/>
        </w:rPr>
        <w:t>CONCLUSION-</w:t>
      </w:r>
      <w:r>
        <w:rPr>
          <w:rFonts w:ascii="Times New Roman" w:hAnsi="Times New Roman" w:cs="Times New Roman"/>
          <w:sz w:val="24"/>
          <w:szCs w:val="24"/>
        </w:rPr>
        <w:t xml:space="preserve"> The workers no matter to the strata they belong accounts for same safety measures to protect their lives and health as ensured to the high ranked officers. Child labour in India is strictly prohibited, even there exist provisions related to free and compulsory education to children who belong to the age group between six to fourteen years. Women need extra supervision and grievance redressal syst</w:t>
      </w:r>
      <w:r w:rsidR="001C1066">
        <w:rPr>
          <w:rFonts w:ascii="Times New Roman" w:hAnsi="Times New Roman" w:cs="Times New Roman"/>
          <w:sz w:val="24"/>
          <w:szCs w:val="24"/>
        </w:rPr>
        <w:t xml:space="preserve">ems where they can lodged their </w:t>
      </w:r>
      <w:r>
        <w:rPr>
          <w:rFonts w:ascii="Times New Roman" w:hAnsi="Times New Roman" w:cs="Times New Roman"/>
          <w:sz w:val="24"/>
          <w:szCs w:val="24"/>
        </w:rPr>
        <w:t>complains without being hesitated and get protection from any kind of se</w:t>
      </w:r>
      <w:r w:rsidR="00CA616B">
        <w:rPr>
          <w:rFonts w:ascii="Times New Roman" w:hAnsi="Times New Roman" w:cs="Times New Roman"/>
          <w:sz w:val="24"/>
          <w:szCs w:val="24"/>
        </w:rPr>
        <w:t>xual abuse. It is the duty of the employer to provide safe, clean and healthy environments for the workers working under them. Each workplace come under the ambit of Ministry Of Labour under the Government of India.</w:t>
      </w:r>
      <w:r w:rsidR="001653B2">
        <w:rPr>
          <w:rFonts w:ascii="Times New Roman" w:hAnsi="Times New Roman" w:cs="Times New Roman"/>
          <w:sz w:val="24"/>
          <w:szCs w:val="24"/>
        </w:rPr>
        <w:t xml:space="preserve"> </w:t>
      </w:r>
      <w:r w:rsidR="00CA616B">
        <w:rPr>
          <w:rFonts w:ascii="Times New Roman" w:hAnsi="Times New Roman" w:cs="Times New Roman"/>
          <w:sz w:val="24"/>
          <w:szCs w:val="24"/>
        </w:rPr>
        <w:t>If serious measures are taken to protect the workplace, it will surely bring efficiency in the performance of the workers and uplift the Indian Economy. Paying attention and taking the required measures at the ground level the country can become on of the super power of the globe.</w:t>
      </w:r>
    </w:p>
    <w:p w:rsidR="004B5A6C" w:rsidRDefault="004B5A6C" w:rsidP="00004D1C">
      <w:pPr>
        <w:spacing w:line="360" w:lineRule="auto"/>
        <w:jc w:val="both"/>
        <w:rPr>
          <w:rFonts w:ascii="Times New Roman" w:hAnsi="Times New Roman" w:cs="Times New Roman"/>
          <w:sz w:val="24"/>
          <w:szCs w:val="24"/>
        </w:rPr>
      </w:pPr>
    </w:p>
    <w:p w:rsidR="004B5A6C" w:rsidRPr="00A2078B" w:rsidRDefault="004B5A6C" w:rsidP="00004D1C">
      <w:pPr>
        <w:spacing w:line="360" w:lineRule="auto"/>
        <w:jc w:val="both"/>
        <w:rPr>
          <w:rFonts w:ascii="Times New Roman" w:hAnsi="Times New Roman" w:cs="Times New Roman"/>
          <w:sz w:val="24"/>
          <w:szCs w:val="24"/>
        </w:rPr>
      </w:pPr>
    </w:p>
    <w:p w:rsidR="00004D1C" w:rsidRPr="00004D1C" w:rsidRDefault="00004D1C" w:rsidP="00004D1C">
      <w:pPr>
        <w:spacing w:line="360" w:lineRule="auto"/>
        <w:jc w:val="both"/>
        <w:rPr>
          <w:rFonts w:ascii="Times New Roman" w:hAnsi="Times New Roman" w:cs="Times New Roman"/>
          <w:b/>
          <w:sz w:val="24"/>
          <w:szCs w:val="24"/>
          <w:u w:val="single"/>
        </w:rPr>
      </w:pPr>
    </w:p>
    <w:p w:rsidR="00ED1CF0" w:rsidRPr="00ED1CF0" w:rsidRDefault="00ED1CF0" w:rsidP="00C06BFE">
      <w:pPr>
        <w:spacing w:line="360" w:lineRule="auto"/>
        <w:jc w:val="both"/>
        <w:rPr>
          <w:rFonts w:ascii="Times New Roman" w:hAnsi="Times New Roman" w:cs="Times New Roman"/>
          <w:sz w:val="24"/>
          <w:szCs w:val="24"/>
        </w:rPr>
      </w:pPr>
    </w:p>
    <w:p w:rsidR="008D2D18" w:rsidRDefault="008D2D18" w:rsidP="00C06BFE">
      <w:pPr>
        <w:spacing w:line="360" w:lineRule="auto"/>
        <w:jc w:val="both"/>
        <w:rPr>
          <w:rFonts w:ascii="Times New Roman" w:hAnsi="Times New Roman" w:cs="Times New Roman"/>
          <w:b/>
          <w:sz w:val="24"/>
          <w:szCs w:val="24"/>
          <w:u w:val="single"/>
        </w:rPr>
      </w:pPr>
    </w:p>
    <w:p w:rsidR="008D2D18" w:rsidRPr="008D2D18" w:rsidRDefault="008D2D18" w:rsidP="00C06BFE">
      <w:pPr>
        <w:spacing w:line="360" w:lineRule="auto"/>
        <w:jc w:val="both"/>
        <w:rPr>
          <w:rFonts w:ascii="Times New Roman" w:hAnsi="Times New Roman" w:cs="Times New Roman"/>
          <w:sz w:val="24"/>
          <w:szCs w:val="24"/>
        </w:rPr>
      </w:pPr>
    </w:p>
    <w:sectPr w:rsidR="008D2D18" w:rsidRPr="008D2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398" w:rsidRDefault="00582398" w:rsidP="0016776A">
      <w:pPr>
        <w:spacing w:after="0" w:line="240" w:lineRule="auto"/>
      </w:pPr>
      <w:r>
        <w:separator/>
      </w:r>
    </w:p>
  </w:endnote>
  <w:endnote w:type="continuationSeparator" w:id="0">
    <w:p w:rsidR="00582398" w:rsidRDefault="00582398" w:rsidP="00167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398" w:rsidRDefault="00582398" w:rsidP="0016776A">
      <w:pPr>
        <w:spacing w:after="0" w:line="240" w:lineRule="auto"/>
      </w:pPr>
      <w:r>
        <w:separator/>
      </w:r>
    </w:p>
  </w:footnote>
  <w:footnote w:type="continuationSeparator" w:id="0">
    <w:p w:rsidR="00582398" w:rsidRDefault="00582398" w:rsidP="0016776A">
      <w:pPr>
        <w:spacing w:after="0" w:line="240" w:lineRule="auto"/>
      </w:pPr>
      <w:r>
        <w:continuationSeparator/>
      </w:r>
    </w:p>
  </w:footnote>
  <w:footnote w:id="1">
    <w:p w:rsidR="0016776A" w:rsidRDefault="0016776A">
      <w:pPr>
        <w:pStyle w:val="FootnoteText"/>
      </w:pPr>
      <w:r>
        <w:rPr>
          <w:rStyle w:val="FootnoteReference"/>
        </w:rPr>
        <w:footnoteRef/>
      </w:r>
      <w:r>
        <w:t xml:space="preserve"> </w:t>
      </w:r>
      <w:r w:rsidR="00AA7A06">
        <w:t>(Mar</w:t>
      </w:r>
      <w:r w:rsidR="00E52F07">
        <w:t xml:space="preserve"> 21, 2024, 11: 30 p.m.), </w:t>
      </w:r>
      <w:r w:rsidR="00E9717F" w:rsidRPr="00E9717F">
        <w:t>https://www.un.org/en/observances/work-safety-day</w:t>
      </w:r>
    </w:p>
  </w:footnote>
  <w:footnote w:id="2">
    <w:p w:rsidR="00AA7A06" w:rsidRDefault="00AA7A06">
      <w:pPr>
        <w:pStyle w:val="FootnoteText"/>
      </w:pPr>
      <w:r>
        <w:rPr>
          <w:rStyle w:val="FootnoteReference"/>
        </w:rPr>
        <w:footnoteRef/>
      </w:r>
      <w:r>
        <w:t xml:space="preserve">(Mar 21, 2024, 10:28 a.m.)  </w:t>
      </w:r>
      <w:r w:rsidRPr="00AA7A06">
        <w:t>https://www.ilo.org/global/standards/subjects-covered-by-international-labour-standards/occupational-safety-and-health/lang--en/index.htm</w:t>
      </w:r>
    </w:p>
  </w:footnote>
  <w:footnote w:id="3">
    <w:p w:rsidR="00AA7A06" w:rsidRDefault="00AA7A06">
      <w:pPr>
        <w:pStyle w:val="FootnoteText"/>
      </w:pPr>
      <w:r>
        <w:rPr>
          <w:rStyle w:val="FootnoteReference"/>
        </w:rPr>
        <w:footnoteRef/>
      </w:r>
      <w:r>
        <w:t xml:space="preserve"> (Mar 21, 2024, 3:19 p.m.)</w:t>
      </w:r>
      <w:r w:rsidRPr="00AA7A06">
        <w:t xml:space="preserve"> https://www.legalserviceindia.com/legal/article-9092-laws-on-health-and-safety-of-workers-at-workplace-in-india.html</w:t>
      </w:r>
    </w:p>
  </w:footnote>
  <w:footnote w:id="4">
    <w:p w:rsidR="00AA7A06" w:rsidRDefault="00AA7A06">
      <w:pPr>
        <w:pStyle w:val="FootnoteText"/>
      </w:pPr>
      <w:r>
        <w:rPr>
          <w:rStyle w:val="FootnoteReference"/>
        </w:rPr>
        <w:footnoteRef/>
      </w:r>
      <w:r>
        <w:t xml:space="preserve"> Munn V. Illinois , 94 U.S. 113 (1877)</w:t>
      </w:r>
    </w:p>
  </w:footnote>
  <w:footnote w:id="5">
    <w:p w:rsidR="00AA7A06" w:rsidRDefault="00AA7A06">
      <w:pPr>
        <w:pStyle w:val="FootnoteText"/>
      </w:pPr>
      <w:r>
        <w:rPr>
          <w:rStyle w:val="FootnoteReference"/>
        </w:rPr>
        <w:footnoteRef/>
      </w:r>
      <w:r>
        <w:t xml:space="preserve"> Occupational Health and Safety Association V. Union of India (2014) 3 SCC 547</w:t>
      </w:r>
    </w:p>
  </w:footnote>
  <w:footnote w:id="6">
    <w:p w:rsidR="00AA7A06" w:rsidRDefault="00AA7A06">
      <w:pPr>
        <w:pStyle w:val="FootnoteText"/>
      </w:pPr>
      <w:r>
        <w:rPr>
          <w:rStyle w:val="FootnoteReference"/>
        </w:rPr>
        <w:footnoteRef/>
      </w:r>
      <w:r>
        <w:t xml:space="preserve"> Subhash Kumar V. State of Bihar, A.I.R 1991 SC 420 (India)</w:t>
      </w:r>
    </w:p>
  </w:footnote>
  <w:footnote w:id="7">
    <w:p w:rsidR="00AA7A06" w:rsidRDefault="00AA7A06">
      <w:pPr>
        <w:pStyle w:val="FootnoteText"/>
      </w:pPr>
      <w:r>
        <w:rPr>
          <w:rStyle w:val="FootnoteReference"/>
        </w:rPr>
        <w:footnoteRef/>
      </w:r>
      <w:r>
        <w:t xml:space="preserve"> </w:t>
      </w:r>
      <w:r w:rsidRPr="00AA7A06">
        <w:t>Municipal Corporation of Delhi V. Female Workers</w:t>
      </w:r>
      <w:r>
        <w:t>, AIR 2000 SC 1274, (2000) 3 SCC 224 (India)</w:t>
      </w:r>
    </w:p>
  </w:footnote>
  <w:footnote w:id="8">
    <w:p w:rsidR="00AA7A06" w:rsidRDefault="00AA7A06">
      <w:pPr>
        <w:pStyle w:val="FootnoteText"/>
      </w:pPr>
      <w:r>
        <w:rPr>
          <w:rStyle w:val="FootnoteReference"/>
        </w:rPr>
        <w:footnoteRef/>
      </w:r>
      <w:r>
        <w:t xml:space="preserve"> </w:t>
      </w:r>
      <w:r w:rsidRPr="00AA7A06">
        <w:t xml:space="preserve">P. </w:t>
      </w:r>
      <w:proofErr w:type="spellStart"/>
      <w:r w:rsidRPr="00AA7A06">
        <w:t>Trivikrama</w:t>
      </w:r>
      <w:proofErr w:type="spellEnd"/>
      <w:r w:rsidRPr="00AA7A06">
        <w:t xml:space="preserve"> Prasad V. The State of Andhra Pradesh</w:t>
      </w:r>
      <w:r>
        <w:t>, C.C. NO. 367 of 2014 on file 4  Additional judicial first class magistrate</w:t>
      </w:r>
    </w:p>
  </w:footnote>
  <w:footnote w:id="9">
    <w:p w:rsidR="00AA7A06" w:rsidRDefault="00AA7A06">
      <w:pPr>
        <w:pStyle w:val="FootnoteText"/>
      </w:pPr>
      <w:r>
        <w:rPr>
          <w:rStyle w:val="FootnoteReference"/>
        </w:rPr>
        <w:footnoteRef/>
      </w:r>
      <w:r>
        <w:t xml:space="preserve"> </w:t>
      </w:r>
      <w:r w:rsidRPr="00AA7A06">
        <w:t>Ravi Shankar Sharma V. State of Rajasthan</w:t>
      </w:r>
      <w:r>
        <w:t>, AIR 1993 RAJ 117</w:t>
      </w:r>
    </w:p>
  </w:footnote>
  <w:footnote w:id="10">
    <w:p w:rsidR="00AA7A06" w:rsidRDefault="00AA7A06">
      <w:pPr>
        <w:pStyle w:val="FootnoteText"/>
      </w:pPr>
      <w:r>
        <w:rPr>
          <w:rStyle w:val="FootnoteReference"/>
        </w:rPr>
        <w:footnoteRef/>
      </w:r>
      <w:r>
        <w:t xml:space="preserve"> </w:t>
      </w:r>
      <w:r w:rsidRPr="00AA7A06">
        <w:t>Bhikusa Yamasa Kshatryia Private Limited V. Union of India</w:t>
      </w:r>
      <w:r>
        <w:t xml:space="preserve"> 1963 AIR 1591 (INDIA)</w:t>
      </w:r>
    </w:p>
  </w:footnote>
  <w:footnote w:id="11">
    <w:p w:rsidR="00AA7A06" w:rsidRDefault="00AA7A06">
      <w:pPr>
        <w:pStyle w:val="FootnoteText"/>
      </w:pPr>
      <w:r>
        <w:rPr>
          <w:rStyle w:val="FootnoteReference"/>
        </w:rPr>
        <w:footnoteRef/>
      </w:r>
      <w:r>
        <w:t xml:space="preserve"> </w:t>
      </w:r>
      <w:r w:rsidR="001C1066" w:rsidRPr="001C1066">
        <w:t>M.C. Mehta V. Union of India</w:t>
      </w:r>
      <w:r w:rsidR="001C1066">
        <w:t xml:space="preserve"> 1987 SCR (1) 819; AIR 1987 965</w:t>
      </w:r>
    </w:p>
  </w:footnote>
  <w:footnote w:id="12">
    <w:p w:rsidR="001C1066" w:rsidRDefault="001C1066">
      <w:pPr>
        <w:pStyle w:val="FootnoteText"/>
      </w:pPr>
      <w:r>
        <w:rPr>
          <w:rStyle w:val="FootnoteReference"/>
        </w:rPr>
        <w:footnoteRef/>
      </w:r>
      <w:r>
        <w:t xml:space="preserve"> Vishakha V. State of Rajasthan, AIR 1997 SC 3011</w:t>
      </w:r>
      <w:r w:rsidR="00E5402E">
        <w:t xml:space="preserve"> (INDIA)</w:t>
      </w:r>
    </w:p>
  </w:footnote>
  <w:footnote w:id="13">
    <w:p w:rsidR="001C1066" w:rsidRDefault="001C1066">
      <w:pPr>
        <w:pStyle w:val="FootnoteText"/>
      </w:pPr>
      <w:r>
        <w:rPr>
          <w:rStyle w:val="FootnoteReference"/>
        </w:rPr>
        <w:footnoteRef/>
      </w:r>
      <w:r>
        <w:t xml:space="preserve"> </w:t>
      </w:r>
      <w:r w:rsidR="001653B2" w:rsidRPr="001653B2">
        <w:t>Aurel</w:t>
      </w:r>
      <w:r w:rsidR="001653B2">
        <w:t xml:space="preserve">ieno Fernandes V. State of Goa, Civil Appeal No. </w:t>
      </w:r>
      <w:r w:rsidR="001653B2">
        <w:t>2482 of 2014, SC</w:t>
      </w:r>
      <w:r w:rsidR="00E5402E">
        <w:t xml:space="preserve"> </w:t>
      </w:r>
      <w:bookmarkStart w:id="0" w:name="_GoBack"/>
      <w:bookmarkEnd w:id="0"/>
      <w:r w:rsidR="00E5402E">
        <w:t>(INDIA)</w:t>
      </w:r>
    </w:p>
  </w:footnote>
  <w:footnote w:id="14">
    <w:p w:rsidR="001653B2" w:rsidRDefault="001653B2">
      <w:pPr>
        <w:pStyle w:val="FootnoteText"/>
      </w:pPr>
      <w:r>
        <w:rPr>
          <w:rStyle w:val="FootnoteReference"/>
        </w:rPr>
        <w:footnoteRef/>
      </w:r>
      <w:r>
        <w:t xml:space="preserve"> </w:t>
      </w:r>
      <w:r w:rsidRPr="001653B2">
        <w:t>Medha Kotwal Lele &amp; Ors V. Union of India and Ors,</w:t>
      </w:r>
      <w:r w:rsidR="00E5402E">
        <w:t xml:space="preserve"> [2012] INC 643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444673"/>
    <w:multiLevelType w:val="hybridMultilevel"/>
    <w:tmpl w:val="FD3A34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D18"/>
    <w:rsid w:val="00004D1C"/>
    <w:rsid w:val="001056C5"/>
    <w:rsid w:val="001653B2"/>
    <w:rsid w:val="0016776A"/>
    <w:rsid w:val="001740B5"/>
    <w:rsid w:val="001C1066"/>
    <w:rsid w:val="002256B4"/>
    <w:rsid w:val="00292B68"/>
    <w:rsid w:val="002B252A"/>
    <w:rsid w:val="002B2AFC"/>
    <w:rsid w:val="002E0E20"/>
    <w:rsid w:val="002E7F02"/>
    <w:rsid w:val="00392D84"/>
    <w:rsid w:val="003B55A5"/>
    <w:rsid w:val="0041603A"/>
    <w:rsid w:val="00466D79"/>
    <w:rsid w:val="004B5A6C"/>
    <w:rsid w:val="00582398"/>
    <w:rsid w:val="0059346F"/>
    <w:rsid w:val="005B4300"/>
    <w:rsid w:val="005F2802"/>
    <w:rsid w:val="006160BD"/>
    <w:rsid w:val="006A508B"/>
    <w:rsid w:val="006A7439"/>
    <w:rsid w:val="006D0AC2"/>
    <w:rsid w:val="0074645D"/>
    <w:rsid w:val="00786E2D"/>
    <w:rsid w:val="007978C7"/>
    <w:rsid w:val="00827C17"/>
    <w:rsid w:val="008328E2"/>
    <w:rsid w:val="008A0DF0"/>
    <w:rsid w:val="008D2D18"/>
    <w:rsid w:val="008E56D7"/>
    <w:rsid w:val="00982E24"/>
    <w:rsid w:val="009A4F6B"/>
    <w:rsid w:val="009F4648"/>
    <w:rsid w:val="00A2078B"/>
    <w:rsid w:val="00A309A7"/>
    <w:rsid w:val="00A43C1B"/>
    <w:rsid w:val="00AA7A06"/>
    <w:rsid w:val="00AB543B"/>
    <w:rsid w:val="00AF652B"/>
    <w:rsid w:val="00B46211"/>
    <w:rsid w:val="00B8217A"/>
    <w:rsid w:val="00C06BFE"/>
    <w:rsid w:val="00C37261"/>
    <w:rsid w:val="00C44169"/>
    <w:rsid w:val="00C56909"/>
    <w:rsid w:val="00C6487D"/>
    <w:rsid w:val="00CA616B"/>
    <w:rsid w:val="00D171F4"/>
    <w:rsid w:val="00DA1459"/>
    <w:rsid w:val="00DB496D"/>
    <w:rsid w:val="00E1012C"/>
    <w:rsid w:val="00E34B12"/>
    <w:rsid w:val="00E35423"/>
    <w:rsid w:val="00E52F07"/>
    <w:rsid w:val="00E5402E"/>
    <w:rsid w:val="00E9717F"/>
    <w:rsid w:val="00EB7328"/>
    <w:rsid w:val="00ED1C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7A2CB3-710F-4A99-976E-69C26FAFC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BFE"/>
    <w:pPr>
      <w:ind w:left="720"/>
      <w:contextualSpacing/>
    </w:pPr>
  </w:style>
  <w:style w:type="paragraph" w:styleId="FootnoteText">
    <w:name w:val="footnote text"/>
    <w:basedOn w:val="Normal"/>
    <w:link w:val="FootnoteTextChar"/>
    <w:uiPriority w:val="99"/>
    <w:semiHidden/>
    <w:unhideWhenUsed/>
    <w:rsid w:val="0016776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776A"/>
    <w:rPr>
      <w:sz w:val="20"/>
      <w:szCs w:val="20"/>
    </w:rPr>
  </w:style>
  <w:style w:type="character" w:styleId="FootnoteReference">
    <w:name w:val="footnote reference"/>
    <w:basedOn w:val="DefaultParagraphFont"/>
    <w:uiPriority w:val="99"/>
    <w:semiHidden/>
    <w:unhideWhenUsed/>
    <w:rsid w:val="001677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42DF0B-FC06-4546-B1C6-2BF2EC19A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2029</Words>
  <Characters>11567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2024-03-25T13:35:00Z</dcterms:created>
  <dcterms:modified xsi:type="dcterms:W3CDTF">2024-03-25T13:35:00Z</dcterms:modified>
</cp:coreProperties>
</file>