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B0383" w14:textId="16F8F725" w:rsidR="00A27772" w:rsidRDefault="00B131AD" w:rsidP="00B131AD">
      <w:pPr>
        <w:spacing w:before="120" w:after="120"/>
        <w:jc w:val="center"/>
        <w:rPr>
          <w:b/>
          <w:bCs/>
          <w:u w:val="single"/>
          <w:lang w:val="en-US"/>
        </w:rPr>
      </w:pPr>
      <w:r w:rsidRPr="00B131AD">
        <w:rPr>
          <w:b/>
          <w:bCs/>
          <w:u w:val="single"/>
          <w:lang w:val="en-US"/>
        </w:rPr>
        <w:t>The Conundrum of the UCC</w:t>
      </w:r>
    </w:p>
    <w:p w14:paraId="62E72ACC" w14:textId="43518C94" w:rsidR="00E20126" w:rsidRPr="00E20126" w:rsidRDefault="00E20126" w:rsidP="0001583D">
      <w:pPr>
        <w:spacing w:before="120" w:after="120"/>
        <w:jc w:val="center"/>
        <w:rPr>
          <w:b/>
          <w:bCs/>
          <w:szCs w:val="24"/>
          <w:u w:val="single"/>
          <w:lang w:val="en-US"/>
        </w:rPr>
      </w:pPr>
      <w:r w:rsidRPr="00E20126">
        <w:rPr>
          <w:b/>
          <w:bCs/>
          <w:szCs w:val="24"/>
          <w:u w:val="single"/>
          <w:lang w:val="en-US"/>
        </w:rPr>
        <w:t>Introduction</w:t>
      </w:r>
    </w:p>
    <w:p w14:paraId="56D25651" w14:textId="4825CDA8" w:rsidR="00B131AD" w:rsidRDefault="00A321B4" w:rsidP="00B131AD">
      <w:pPr>
        <w:spacing w:before="120" w:after="120"/>
        <w:rPr>
          <w:lang w:val="en-US"/>
        </w:rPr>
      </w:pPr>
      <w:r>
        <w:rPr>
          <w:lang w:val="en-US"/>
        </w:rPr>
        <w:t xml:space="preserve">From debates around minimal colonial intervention into matters of religion </w:t>
      </w:r>
      <w:r w:rsidR="00C32A39">
        <w:rPr>
          <w:lang w:val="en-US"/>
        </w:rPr>
        <w:t xml:space="preserve">to adoption of a constitutional framework espousing equality and dignity for all, from the post 1950 </w:t>
      </w:r>
      <w:r w:rsidR="00A94B9F">
        <w:rPr>
          <w:lang w:val="en-US"/>
        </w:rPr>
        <w:t xml:space="preserve">Hindu Code Bills to the Shah Bano judgment, from the </w:t>
      </w:r>
      <w:r w:rsidR="00980002">
        <w:rPr>
          <w:lang w:val="en-US"/>
        </w:rPr>
        <w:t xml:space="preserve">Goa civil code to the recent attempts towards formalization of a common civil code </w:t>
      </w:r>
      <w:r w:rsidR="00556CEC">
        <w:rPr>
          <w:lang w:val="en-US"/>
        </w:rPr>
        <w:t xml:space="preserve">– it is safe to say that the UCC not only exists as a contentious legal </w:t>
      </w:r>
      <w:r w:rsidR="00E64118">
        <w:rPr>
          <w:lang w:val="en-US"/>
        </w:rPr>
        <w:t>issue</w:t>
      </w:r>
      <w:r w:rsidR="00556CEC">
        <w:rPr>
          <w:lang w:val="en-US"/>
        </w:rPr>
        <w:t xml:space="preserve"> affecting personal freedoms and constitutional aspirations of social justice, but has evolved to become </w:t>
      </w:r>
      <w:r w:rsidR="002372BD">
        <w:rPr>
          <w:lang w:val="en-US"/>
        </w:rPr>
        <w:t xml:space="preserve">a matter of identity politics, </w:t>
      </w:r>
      <w:r w:rsidR="00A202AB">
        <w:rPr>
          <w:lang w:val="en-US"/>
        </w:rPr>
        <w:t xml:space="preserve">judicial decision-making and social commentary- affecting the lives of every stakeholder of the society in some measure. </w:t>
      </w:r>
    </w:p>
    <w:p w14:paraId="3E195BF3" w14:textId="719168A8" w:rsidR="00CF369F" w:rsidRDefault="00CF369F" w:rsidP="00B131AD">
      <w:pPr>
        <w:spacing w:before="120" w:after="120"/>
        <w:rPr>
          <w:lang w:val="en-US"/>
        </w:rPr>
      </w:pPr>
      <w:r>
        <w:rPr>
          <w:lang w:val="en-US"/>
        </w:rPr>
        <w:t xml:space="preserve">The idea of a comprehensive code regulating all matters of </w:t>
      </w:r>
      <w:r w:rsidR="002435F8">
        <w:rPr>
          <w:lang w:val="en-US"/>
        </w:rPr>
        <w:t>family and marriage</w:t>
      </w:r>
      <w:r w:rsidR="00874DDE">
        <w:rPr>
          <w:lang w:val="en-US"/>
        </w:rPr>
        <w:t xml:space="preserve"> </w:t>
      </w:r>
      <w:r w:rsidR="00EE065D">
        <w:rPr>
          <w:lang w:val="en-US"/>
        </w:rPr>
        <w:t xml:space="preserve">in a uniform manner irrespective of the vast community and religious differences that </w:t>
      </w:r>
      <w:r w:rsidR="004B3023">
        <w:rPr>
          <w:lang w:val="en-US"/>
        </w:rPr>
        <w:t xml:space="preserve">exist in our constitutional democracy has been a long advocated one. </w:t>
      </w:r>
      <w:r w:rsidR="002316B9">
        <w:rPr>
          <w:lang w:val="en-US"/>
        </w:rPr>
        <w:t>As per Peter Ronald Desouza,</w:t>
      </w:r>
      <w:r w:rsidR="00A43538">
        <w:rPr>
          <w:lang w:val="en-US"/>
        </w:rPr>
        <w:t xml:space="preserve"> </w:t>
      </w:r>
      <w:r w:rsidR="002316B9">
        <w:rPr>
          <w:lang w:val="en-US"/>
        </w:rPr>
        <w:t xml:space="preserve">this </w:t>
      </w:r>
      <w:r w:rsidR="00A43538">
        <w:rPr>
          <w:lang w:val="en-US"/>
        </w:rPr>
        <w:t>nuanced yet controversial discourse has</w:t>
      </w:r>
      <w:r w:rsidR="00660F2C">
        <w:rPr>
          <w:lang w:val="en-US"/>
        </w:rPr>
        <w:t xml:space="preserve"> survived over decades in three phases based on different normative concerns- national consolidation</w:t>
      </w:r>
      <w:r w:rsidR="001D7F55">
        <w:rPr>
          <w:lang w:val="en-US"/>
        </w:rPr>
        <w:t xml:space="preserve">, equality of laws and the present </w:t>
      </w:r>
      <w:r w:rsidR="00880D51">
        <w:rPr>
          <w:lang w:val="en-US"/>
        </w:rPr>
        <w:t>debate on gender justice</w:t>
      </w:r>
      <w:r w:rsidR="00880D51">
        <w:rPr>
          <w:rStyle w:val="FootnoteReference"/>
          <w:lang w:val="en-US"/>
        </w:rPr>
        <w:footnoteReference w:id="1"/>
      </w:r>
      <w:r w:rsidR="00880D51">
        <w:rPr>
          <w:lang w:val="en-US"/>
        </w:rPr>
        <w:t xml:space="preserve"> fueled by evolving conceptions of feminism and marriage as both a social and legal institution. </w:t>
      </w:r>
    </w:p>
    <w:p w14:paraId="2CBECF46" w14:textId="4F234796" w:rsidR="00CA5B75" w:rsidRDefault="00637F53" w:rsidP="00B131AD">
      <w:pPr>
        <w:spacing w:before="120" w:after="120"/>
        <w:rPr>
          <w:lang w:val="en-US"/>
        </w:rPr>
      </w:pPr>
      <w:r>
        <w:rPr>
          <w:lang w:val="en-US"/>
        </w:rPr>
        <w:t xml:space="preserve">Even when examined from a strictly constitutional lens, the focus of this article, different facets of the issue emerge. Article 44 of </w:t>
      </w:r>
      <w:r w:rsidR="0038540E">
        <w:rPr>
          <w:lang w:val="en-US"/>
        </w:rPr>
        <w:t xml:space="preserve">the Constitution </w:t>
      </w:r>
      <w:r w:rsidR="00663253">
        <w:rPr>
          <w:lang w:val="en-US"/>
        </w:rPr>
        <w:t xml:space="preserve">states that the State must endeavor to secure for its citizens a uniform civil code in </w:t>
      </w:r>
      <w:r w:rsidR="00906384">
        <w:rPr>
          <w:lang w:val="en-US"/>
        </w:rPr>
        <w:t xml:space="preserve">personal law matters. However, it being part of the Directive Principle of State </w:t>
      </w:r>
      <w:r w:rsidR="00EF67DC">
        <w:rPr>
          <w:lang w:val="en-US"/>
        </w:rPr>
        <w:t>P</w:t>
      </w:r>
      <w:r w:rsidR="00906384">
        <w:rPr>
          <w:lang w:val="en-US"/>
        </w:rPr>
        <w:t xml:space="preserve">olicy, </w:t>
      </w:r>
      <w:r w:rsidR="00EF67DC">
        <w:rPr>
          <w:lang w:val="en-US"/>
        </w:rPr>
        <w:t xml:space="preserve">is not justiciable in a court of law akin to a Fundamental Right. This move by the Constitution-makers to place the UCC </w:t>
      </w:r>
      <w:r w:rsidR="00B72957">
        <w:rPr>
          <w:lang w:val="en-US"/>
        </w:rPr>
        <w:t>in part IV of the Constitution was much debated in the Constituent Assembly</w:t>
      </w:r>
      <w:r w:rsidR="00D31276">
        <w:rPr>
          <w:lang w:val="en-US"/>
        </w:rPr>
        <w:t xml:space="preserve"> but </w:t>
      </w:r>
      <w:r w:rsidR="00DB2AC2">
        <w:rPr>
          <w:lang w:val="en-US"/>
        </w:rPr>
        <w:t xml:space="preserve">came in the background of post- partitional communal violence and </w:t>
      </w:r>
      <w:r w:rsidR="002C2573">
        <w:rPr>
          <w:lang w:val="en-US"/>
        </w:rPr>
        <w:t xml:space="preserve">fears of majority imposition and cultural </w:t>
      </w:r>
      <w:r w:rsidR="0094625A">
        <w:rPr>
          <w:lang w:val="en-US"/>
        </w:rPr>
        <w:t>degradation among Muslims</w:t>
      </w:r>
      <w:r w:rsidR="00387B39">
        <w:rPr>
          <w:lang w:val="en-US"/>
        </w:rPr>
        <w:t xml:space="preserve">. Gandhi and Nehru assured the Ulema of a postponement in the implementation of the UCC, though </w:t>
      </w:r>
      <w:r w:rsidR="002C2573">
        <w:rPr>
          <w:lang w:val="en-US"/>
        </w:rPr>
        <w:t xml:space="preserve">its position as a constitutional aspiration remained steadfast. </w:t>
      </w:r>
      <w:r w:rsidR="008D0282">
        <w:rPr>
          <w:rStyle w:val="FootnoteReference"/>
          <w:lang w:val="en-US"/>
        </w:rPr>
        <w:footnoteReference w:id="2"/>
      </w:r>
      <w:r w:rsidR="00856389">
        <w:rPr>
          <w:lang w:val="en-US"/>
        </w:rPr>
        <w:t xml:space="preserve"> </w:t>
      </w:r>
      <w:r w:rsidR="00A463D0">
        <w:rPr>
          <w:lang w:val="en-US"/>
        </w:rPr>
        <w:t xml:space="preserve"> </w:t>
      </w:r>
      <w:r w:rsidR="003C79C6">
        <w:rPr>
          <w:lang w:val="en-US"/>
        </w:rPr>
        <w:t>As</w:t>
      </w:r>
      <w:r w:rsidR="00FD45B6">
        <w:rPr>
          <w:lang w:val="en-US"/>
        </w:rPr>
        <w:t xml:space="preserve"> we celebrate our 75</w:t>
      </w:r>
      <w:r w:rsidR="00FD45B6" w:rsidRPr="00FD45B6">
        <w:rPr>
          <w:vertAlign w:val="superscript"/>
          <w:lang w:val="en-US"/>
        </w:rPr>
        <w:t>th</w:t>
      </w:r>
      <w:r w:rsidR="00FD45B6">
        <w:rPr>
          <w:lang w:val="en-US"/>
        </w:rPr>
        <w:t xml:space="preserve"> Republic Day this year</w:t>
      </w:r>
      <w:r w:rsidR="00A8158C">
        <w:rPr>
          <w:lang w:val="en-US"/>
        </w:rPr>
        <w:t>, Article 44 continues to remain mere text on our sanctimonious Constitution</w:t>
      </w:r>
      <w:r w:rsidR="000C3BE9">
        <w:rPr>
          <w:lang w:val="en-US"/>
        </w:rPr>
        <w:t xml:space="preserve"> despite various judgements of the Supreme Court </w:t>
      </w:r>
      <w:r w:rsidR="009D6B82">
        <w:rPr>
          <w:lang w:val="en-US"/>
        </w:rPr>
        <w:t xml:space="preserve">placing onus on the State to formalize the UCC. </w:t>
      </w:r>
    </w:p>
    <w:p w14:paraId="1CEE0214" w14:textId="6B7FA8FD" w:rsidR="009D6B82" w:rsidRDefault="008E13AC" w:rsidP="00B131AD">
      <w:pPr>
        <w:spacing w:before="120" w:after="120"/>
      </w:pPr>
      <w:r>
        <w:rPr>
          <w:lang w:val="en-US"/>
        </w:rPr>
        <w:t xml:space="preserve">In the much celebrate case of </w:t>
      </w:r>
      <w:r w:rsidR="009C0719">
        <w:rPr>
          <w:lang w:val="en-US"/>
        </w:rPr>
        <w:t xml:space="preserve">Mohd. Ahmed Khan v. Shah Bano Begum, the Supreme Court held that a Muslim woman is entitled to claim maintenance under section 125 of the </w:t>
      </w:r>
      <w:r w:rsidR="00343A1E">
        <w:rPr>
          <w:lang w:val="en-US"/>
        </w:rPr>
        <w:t>CrPc,</w:t>
      </w:r>
      <w:r w:rsidR="00BF39FE">
        <w:rPr>
          <w:lang w:val="en-US"/>
        </w:rPr>
        <w:t xml:space="preserve"> a </w:t>
      </w:r>
      <w:r w:rsidR="00BF39FE">
        <w:rPr>
          <w:lang w:val="en-US"/>
        </w:rPr>
        <w:lastRenderedPageBreak/>
        <w:t xml:space="preserve">secular law besides the religious entitlements under Sharia law. </w:t>
      </w:r>
      <w:r w:rsidR="000120E8">
        <w:rPr>
          <w:lang w:val="en-US"/>
        </w:rPr>
        <w:t xml:space="preserve"> Justice </w:t>
      </w:r>
      <w:r w:rsidR="00343A1E">
        <w:rPr>
          <w:lang w:val="en-US"/>
        </w:rPr>
        <w:t xml:space="preserve">Y.V. Chandrachud further </w:t>
      </w:r>
      <w:r w:rsidR="000D4621">
        <w:rPr>
          <w:lang w:val="en-US"/>
        </w:rPr>
        <w:t>observed, “</w:t>
      </w:r>
      <w:r w:rsidR="000D4621">
        <w:t>It is a matter of regret that article 44 of our constitution has remained a dead letter.... A common Civil Code will help the cause of national integration by removing disparate loyalties t</w:t>
      </w:r>
      <w:r w:rsidR="00C95A43">
        <w:t>o laws, which have conflicting ideologies.”</w:t>
      </w:r>
      <w:r w:rsidR="00C95A43">
        <w:rPr>
          <w:rStyle w:val="FootnoteReference"/>
        </w:rPr>
        <w:footnoteReference w:id="3"/>
      </w:r>
      <w:r w:rsidR="00D302CC">
        <w:t xml:space="preserve"> This call for a UCC was reiterated in the decision of </w:t>
      </w:r>
      <w:r w:rsidR="0045327F">
        <w:t xml:space="preserve">Sarla Mudgal which denounced the </w:t>
      </w:r>
      <w:r w:rsidR="006D251B">
        <w:t xml:space="preserve">practice of conversion to Islam </w:t>
      </w:r>
      <w:r w:rsidR="00BA5426">
        <w:t xml:space="preserve">for solemnizing </w:t>
      </w:r>
      <w:r w:rsidR="00720096">
        <w:t>a second</w:t>
      </w:r>
      <w:r w:rsidR="00BA5426">
        <w:t xml:space="preserve"> marriage</w:t>
      </w:r>
      <w:r w:rsidR="00D72A18">
        <w:t>.</w:t>
      </w:r>
      <w:r w:rsidR="00D72A18">
        <w:rPr>
          <w:rStyle w:val="FootnoteReference"/>
        </w:rPr>
        <w:footnoteReference w:id="4"/>
      </w:r>
      <w:r w:rsidR="00D72A18">
        <w:t xml:space="preserve"> </w:t>
      </w:r>
    </w:p>
    <w:p w14:paraId="570FAA6E" w14:textId="0E6A9A09" w:rsidR="00B05167" w:rsidRDefault="00954FC3" w:rsidP="00B131AD">
      <w:pPr>
        <w:spacing w:before="120" w:after="120"/>
      </w:pPr>
      <w:r>
        <w:t xml:space="preserve">In both these cases, the Apex Court underscored the need for a UCC </w:t>
      </w:r>
      <w:r w:rsidR="00BC7918">
        <w:t xml:space="preserve">in matters concerning the constitutionally guaranteed rights to women vis-à-vis </w:t>
      </w:r>
      <w:r w:rsidR="000A45D0">
        <w:t xml:space="preserve">personal laws and upheld </w:t>
      </w:r>
      <w:r w:rsidR="00E255BD">
        <w:t xml:space="preserve">the norms of gender justice within the framework of constitutional morality. </w:t>
      </w:r>
      <w:r w:rsidR="00167D52">
        <w:t xml:space="preserve">This multilayered debate surrounding individual vs group rights as well as </w:t>
      </w:r>
      <w:r w:rsidR="00922353">
        <w:t xml:space="preserve">secular vs personal law must be settled through judicial discourse and civil society </w:t>
      </w:r>
      <w:r w:rsidR="00823940">
        <w:t>discussion.</w:t>
      </w:r>
      <w:r w:rsidR="0023282B">
        <w:rPr>
          <w:rStyle w:val="FootnoteReference"/>
        </w:rPr>
        <w:footnoteReference w:id="5"/>
      </w:r>
      <w:r w:rsidR="00B05167">
        <w:t xml:space="preserve"> Only this can pave the way for the implementation of Articl</w:t>
      </w:r>
      <w:r w:rsidR="00F10D22">
        <w:t>e 44.</w:t>
      </w:r>
    </w:p>
    <w:p w14:paraId="705F77D5" w14:textId="52E6CB52" w:rsidR="00F10D22" w:rsidRDefault="00656D15" w:rsidP="00B131AD">
      <w:pPr>
        <w:spacing w:before="120" w:after="120"/>
      </w:pPr>
      <w:r>
        <w:t xml:space="preserve">Those against the formulation of the UCC also contend that the same goes against the religious freedom guaranteed under Article 25 and 26. </w:t>
      </w:r>
      <w:r w:rsidR="00471308">
        <w:t xml:space="preserve">However, </w:t>
      </w:r>
      <w:r w:rsidR="0034434C">
        <w:t>Article 25(2)</w:t>
      </w:r>
      <w:r w:rsidR="0072713A">
        <w:t>(b) provides for State interreference for the purpose of social reform.</w:t>
      </w:r>
      <w:r w:rsidR="0072713A">
        <w:rPr>
          <w:rStyle w:val="FootnoteReference"/>
        </w:rPr>
        <w:footnoteReference w:id="6"/>
      </w:r>
      <w:r w:rsidR="0072713A">
        <w:t xml:space="preserve"> </w:t>
      </w:r>
      <w:r w:rsidR="00AC0BBF">
        <w:t xml:space="preserve">The resulting conflict of religious freedom vis-à-vis the trifecta of Articles 14,19 and 21 </w:t>
      </w:r>
      <w:r w:rsidR="006F2F79">
        <w:t xml:space="preserve">and </w:t>
      </w:r>
      <w:r w:rsidR="00AC0BBF">
        <w:t xml:space="preserve">the </w:t>
      </w:r>
      <w:r w:rsidR="00BE60EB">
        <w:t>mandate of social reform and justice adds to this quagmire</w:t>
      </w:r>
      <w:r w:rsidR="006F2F79">
        <w:t xml:space="preserve">, necessitating intricate discussions on </w:t>
      </w:r>
      <w:r w:rsidR="00D359D6">
        <w:t xml:space="preserve">the need for a UCC in contemporary time where notions of gender, gender justice, sexuality, union, marriage and </w:t>
      </w:r>
      <w:r w:rsidR="00DB5515">
        <w:t>state intervention are all under challenge.</w:t>
      </w:r>
    </w:p>
    <w:p w14:paraId="1978A25E" w14:textId="7E1ED10D" w:rsidR="00E65423" w:rsidRDefault="00E65423" w:rsidP="00E65423">
      <w:pPr>
        <w:spacing w:before="120" w:after="120"/>
        <w:jc w:val="center"/>
        <w:rPr>
          <w:b/>
          <w:bCs/>
          <w:u w:val="single"/>
        </w:rPr>
      </w:pPr>
      <w:r>
        <w:rPr>
          <w:b/>
          <w:bCs/>
          <w:u w:val="single"/>
        </w:rPr>
        <w:t xml:space="preserve">Intertwined Discussions </w:t>
      </w:r>
    </w:p>
    <w:p w14:paraId="5C4BA161" w14:textId="43BDA73A" w:rsidR="00E65423" w:rsidRDefault="006D0CD0" w:rsidP="006D0CD0">
      <w:pPr>
        <w:pStyle w:val="ListParagraph"/>
        <w:numPr>
          <w:ilvl w:val="0"/>
          <w:numId w:val="1"/>
        </w:numPr>
        <w:spacing w:before="120" w:after="120"/>
        <w:rPr>
          <w:b/>
          <w:bCs/>
          <w:u w:val="single"/>
        </w:rPr>
      </w:pPr>
      <w:r>
        <w:rPr>
          <w:b/>
          <w:bCs/>
          <w:u w:val="single"/>
        </w:rPr>
        <w:t xml:space="preserve">Polygamy </w:t>
      </w:r>
    </w:p>
    <w:p w14:paraId="34DF6501" w14:textId="59D496BC" w:rsidR="006D0CD0" w:rsidRDefault="006D0CD0" w:rsidP="006D0CD0">
      <w:pPr>
        <w:pStyle w:val="ListParagraph"/>
        <w:spacing w:before="120" w:after="120"/>
      </w:pPr>
      <w:r>
        <w:t xml:space="preserve">Most </w:t>
      </w:r>
      <w:r w:rsidR="009019A3">
        <w:t xml:space="preserve">personal law </w:t>
      </w:r>
      <w:r w:rsidR="00AD4EA3">
        <w:t xml:space="preserve">statutes prohibit </w:t>
      </w:r>
      <w:r w:rsidR="0051169B">
        <w:t>polygamy. Indeed</w:t>
      </w:r>
      <w:r w:rsidR="006F03C4">
        <w:t>, bigamy is a criminal offense. Exceptions are carved such as for Muslim</w:t>
      </w:r>
      <w:r w:rsidR="00B37992">
        <w:t xml:space="preserve"> men who are permitted to marry </w:t>
      </w:r>
      <w:r w:rsidR="00710B51">
        <w:t>up to</w:t>
      </w:r>
      <w:r w:rsidR="00B37992">
        <w:t xml:space="preserve"> 4 </w:t>
      </w:r>
      <w:r w:rsidR="00710B51">
        <w:t xml:space="preserve">wives. </w:t>
      </w:r>
      <w:r w:rsidR="001705A9">
        <w:t xml:space="preserve">This exception is one of the biggest controversies </w:t>
      </w:r>
      <w:r w:rsidR="001077F4">
        <w:t>underlying the uniformization debate</w:t>
      </w:r>
      <w:r w:rsidR="00AE10F7">
        <w:t>, especially when assessed in contrast to the Hindu Marriage Act</w:t>
      </w:r>
      <w:r w:rsidR="00870B8D">
        <w:t xml:space="preserve">,1955 </w:t>
      </w:r>
      <w:r w:rsidR="00AE10F7">
        <w:t xml:space="preserve">and other </w:t>
      </w:r>
      <w:r w:rsidR="00870B8D">
        <w:t xml:space="preserve">codifications regulating marriage. </w:t>
      </w:r>
      <w:r w:rsidR="00844AD5">
        <w:t xml:space="preserve">Besides creating an exception in the </w:t>
      </w:r>
      <w:r w:rsidR="002A5A1F">
        <w:t xml:space="preserve">already divided </w:t>
      </w:r>
      <w:r w:rsidR="00844AD5">
        <w:t xml:space="preserve">family law arena, it is perhaps one of the only </w:t>
      </w:r>
      <w:r w:rsidR="004617EC">
        <w:t>concern</w:t>
      </w:r>
      <w:r w:rsidR="002A5A1F">
        <w:t>s</w:t>
      </w:r>
      <w:r w:rsidR="004617EC">
        <w:t xml:space="preserve"> that casts a shadow on </w:t>
      </w:r>
      <w:r w:rsidR="00F91DFF">
        <w:t xml:space="preserve">the secular nature of criminal </w:t>
      </w:r>
      <w:r w:rsidR="005E1019">
        <w:t xml:space="preserve">law in our country. </w:t>
      </w:r>
      <w:r w:rsidR="00A534F8">
        <w:t xml:space="preserve">While the actual percentage of polygamous marriages within the Indian Muslim community </w:t>
      </w:r>
      <w:r w:rsidR="00AC5339">
        <w:t xml:space="preserve">is </w:t>
      </w:r>
      <w:r w:rsidR="00DF5202">
        <w:t xml:space="preserve">low, the </w:t>
      </w:r>
      <w:r w:rsidR="0093201F">
        <w:t>unjust and arbitrary legal exception violates Articles 14 and</w:t>
      </w:r>
      <w:r w:rsidR="002A007C">
        <w:t xml:space="preserve"> 21 and has taken centre </w:t>
      </w:r>
      <w:r w:rsidR="002A007C">
        <w:lastRenderedPageBreak/>
        <w:t xml:space="preserve">stage in the debate revolving around UCC. The illegal conversion into Islam for the purpose of bigamy and the related discussions on triple </w:t>
      </w:r>
      <w:r w:rsidR="00060EFE">
        <w:t>talaq have</w:t>
      </w:r>
      <w:r w:rsidR="00EB1D35">
        <w:t xml:space="preserve"> further fuelled the </w:t>
      </w:r>
      <w:r w:rsidR="00060EFE">
        <w:t>debate in</w:t>
      </w:r>
      <w:r w:rsidR="00C9743C">
        <w:t xml:space="preserve"> which both political and feminist groups participate. Also, </w:t>
      </w:r>
      <w:r w:rsidR="00D5393B">
        <w:t>ironic is</w:t>
      </w:r>
      <w:r w:rsidR="00060EFE">
        <w:t xml:space="preserve"> the fact that in many Islamic countries, the codification of law has ensured either total abolition or severe curtailment of this practice.</w:t>
      </w:r>
      <w:r w:rsidR="00060EFE">
        <w:rPr>
          <w:rStyle w:val="FootnoteReference"/>
        </w:rPr>
        <w:footnoteReference w:id="7"/>
      </w:r>
      <w:r w:rsidR="00D5393B">
        <w:t xml:space="preserve"> </w:t>
      </w:r>
      <w:r w:rsidR="00971F0C">
        <w:t xml:space="preserve">Polygyny must be outlawed </w:t>
      </w:r>
      <w:r w:rsidR="00FE5F3C">
        <w:t>for all religious groups to afford equal protections to women under the law</w:t>
      </w:r>
      <w:r w:rsidR="00DC638C">
        <w:t xml:space="preserve"> and </w:t>
      </w:r>
      <w:r w:rsidR="00054D55">
        <w:t xml:space="preserve">prosecutions for </w:t>
      </w:r>
      <w:r w:rsidR="00733567">
        <w:t xml:space="preserve">the offense of bigamy must occur robustly </w:t>
      </w:r>
      <w:r w:rsidR="00083E4B">
        <w:t>(including</w:t>
      </w:r>
      <w:r w:rsidR="00733567">
        <w:t xml:space="preserve"> for the cases similar to those adjudicated in the Sarla Mudgal case).</w:t>
      </w:r>
    </w:p>
    <w:p w14:paraId="74C4418A" w14:textId="77777777" w:rsidR="00083E4B" w:rsidRDefault="00083E4B" w:rsidP="006D0CD0">
      <w:pPr>
        <w:pStyle w:val="ListParagraph"/>
        <w:spacing w:before="120" w:after="120"/>
      </w:pPr>
    </w:p>
    <w:p w14:paraId="0ECF3281" w14:textId="77777777" w:rsidR="004157D0" w:rsidRPr="004157D0" w:rsidRDefault="004157D0" w:rsidP="004157D0">
      <w:pPr>
        <w:pStyle w:val="ListParagraph"/>
        <w:spacing w:before="120" w:after="120"/>
      </w:pPr>
    </w:p>
    <w:p w14:paraId="1FC34D3B" w14:textId="6DBF6020" w:rsidR="00203EEA" w:rsidRDefault="00203EEA" w:rsidP="00083E4B">
      <w:pPr>
        <w:pStyle w:val="ListParagraph"/>
        <w:numPr>
          <w:ilvl w:val="0"/>
          <w:numId w:val="1"/>
        </w:numPr>
        <w:spacing w:before="120" w:after="120"/>
        <w:rPr>
          <w:b/>
          <w:bCs/>
          <w:u w:val="single"/>
        </w:rPr>
      </w:pPr>
      <w:r>
        <w:rPr>
          <w:b/>
          <w:bCs/>
          <w:u w:val="single"/>
        </w:rPr>
        <w:t>Marriage Equality</w:t>
      </w:r>
    </w:p>
    <w:p w14:paraId="27C54DA2" w14:textId="51DB2150" w:rsidR="00C365EA" w:rsidRDefault="00C365EA" w:rsidP="00C365EA">
      <w:pPr>
        <w:pStyle w:val="ListParagraph"/>
        <w:spacing w:before="120" w:after="120"/>
      </w:pPr>
      <w:r>
        <w:t xml:space="preserve">The Supreme Court decriminalized consensual sexual intercourse between two persons of the same sex </w:t>
      </w:r>
      <w:r w:rsidR="003329BA">
        <w:t xml:space="preserve">in the case of Navtej Singh Johar v. Union of India. </w:t>
      </w:r>
      <w:r w:rsidR="003329BA">
        <w:rPr>
          <w:rStyle w:val="FootnoteReference"/>
        </w:rPr>
        <w:footnoteReference w:id="8"/>
      </w:r>
      <w:r w:rsidR="00E060F5">
        <w:t xml:space="preserve"> </w:t>
      </w:r>
      <w:r w:rsidR="007E6C3C">
        <w:t>Considered a hallmark case regarding the rights of the LGBTQIA</w:t>
      </w:r>
      <w:r w:rsidR="00400D0D">
        <w:t>+ community in India, the resultant discourse on the institution of marriage</w:t>
      </w:r>
      <w:r w:rsidR="00EF6A16">
        <w:t xml:space="preserve"> </w:t>
      </w:r>
      <w:r w:rsidR="002D067E">
        <w:t xml:space="preserve">and whether it should be compartmentalized as a union between a ‘man’ and a ‘woman’ </w:t>
      </w:r>
      <w:r w:rsidR="00166675">
        <w:t xml:space="preserve">has taken root. </w:t>
      </w:r>
      <w:r w:rsidR="00AC1ACD">
        <w:t xml:space="preserve">Whether the decriminalization of Article 377 will translate into legal recognition of unions between members of the LGBTQIA+ community and enshrine the concept of marriage equality are important questions in this discourse. In the recent </w:t>
      </w:r>
      <w:r w:rsidR="0043191B">
        <w:t xml:space="preserve">‘marriage equality’ </w:t>
      </w:r>
      <w:r w:rsidR="001C6AB4">
        <w:t>judgement,</w:t>
      </w:r>
      <w:r w:rsidR="0043191B">
        <w:t xml:space="preserve"> the Supreme Court refused to</w:t>
      </w:r>
      <w:r w:rsidR="00A554B1">
        <w:t xml:space="preserve"> interfere with the current scope of the marriage laws including the Special Marriage Act, 1954 </w:t>
      </w:r>
      <w:r w:rsidR="001C6AB4">
        <w:t>on the grounds that it be best left to the wisdom of the legislature.</w:t>
      </w:r>
      <w:r w:rsidR="00B212A0">
        <w:rPr>
          <w:rStyle w:val="FootnoteReference"/>
        </w:rPr>
        <w:footnoteReference w:id="9"/>
      </w:r>
      <w:r w:rsidR="001C6AB4">
        <w:t xml:space="preserve"> The judgement was hailed by some as </w:t>
      </w:r>
      <w:r w:rsidR="00006506">
        <w:t>a right step in ensuring minimal judicial interference into the exercise of powers by the legislature which should be held responsible for defining the contours of marriage</w:t>
      </w:r>
      <w:r w:rsidR="00BB6A37">
        <w:t xml:space="preserve">. Others criticized it, calling it a retrogression in the struggle led by the queer community in India since decades. </w:t>
      </w:r>
      <w:r w:rsidR="001C5FE8">
        <w:t>While it was held that there was no fundamental right to marry</w:t>
      </w:r>
      <w:r w:rsidR="00BB6A37">
        <w:t xml:space="preserve">, it was </w:t>
      </w:r>
      <w:r w:rsidR="001C5FE8">
        <w:t>also state</w:t>
      </w:r>
      <w:r w:rsidR="00BB6A37">
        <w:t xml:space="preserve">d that queer individuals </w:t>
      </w:r>
      <w:r w:rsidR="000D6BC0">
        <w:t xml:space="preserve">must have the right to enter into relationships of their own will and the State must offer certain benefits to such unions even if not characterized as marriages or civil unions in a similar vein. </w:t>
      </w:r>
      <w:r w:rsidR="005B21B4">
        <w:t xml:space="preserve">Chief Justice Chandrachud held, </w:t>
      </w:r>
      <w:r w:rsidR="00FF32DF">
        <w:t>“</w:t>
      </w:r>
      <w:r w:rsidR="00FF32DF" w:rsidRPr="00FF32DF">
        <w:t>The right to enter into a union includes the right to choose one’s partner and the right to recognition of that union</w:t>
      </w:r>
      <w:r w:rsidR="00642B4E">
        <w:t>…….</w:t>
      </w:r>
      <w:r w:rsidR="00642B4E" w:rsidRPr="00642B4E">
        <w:rPr>
          <w:rFonts w:ascii="pt serif script=all rev=5" w:hAnsi="pt serif script=all rev=5"/>
          <w:color w:val="282828"/>
          <w:spacing w:val="3"/>
          <w:sz w:val="29"/>
          <w:szCs w:val="29"/>
          <w:shd w:val="clear" w:color="auto" w:fill="FFFFFF"/>
        </w:rPr>
        <w:t xml:space="preserve"> </w:t>
      </w:r>
      <w:r w:rsidR="00642B4E" w:rsidRPr="00642B4E">
        <w:t xml:space="preserve">Choosing a life partner is an integral part of choosing one’s course of life. Some may regard this as the most </w:t>
      </w:r>
      <w:r w:rsidR="00642B4E" w:rsidRPr="00642B4E">
        <w:lastRenderedPageBreak/>
        <w:t>important decision of their life. This right goes to the root of the right to life and liberty under Article 21.”</w:t>
      </w:r>
      <w:r w:rsidR="00FF32DF">
        <w:t xml:space="preserve"> </w:t>
      </w:r>
      <w:r w:rsidR="00642B4E">
        <w:rPr>
          <w:rStyle w:val="FootnoteReference"/>
        </w:rPr>
        <w:footnoteReference w:id="10"/>
      </w:r>
      <w:r w:rsidR="00654828">
        <w:t xml:space="preserve">Further in a minority judgment, adoption rights for queer couples were also recognized though they remain of no legal consequence. </w:t>
      </w:r>
      <w:r w:rsidR="00642B4E">
        <w:t xml:space="preserve">Considering that regulation of queer unions has been left to the realm of the legislature </w:t>
      </w:r>
      <w:r w:rsidR="003C711A">
        <w:t>(</w:t>
      </w:r>
      <w:r w:rsidR="00642B4E">
        <w:t xml:space="preserve">and the declaration of a </w:t>
      </w:r>
      <w:r w:rsidR="003C711A">
        <w:t xml:space="preserve">government </w:t>
      </w:r>
      <w:r w:rsidR="00642B4E">
        <w:t xml:space="preserve">committee to </w:t>
      </w:r>
      <w:r w:rsidR="003C711A">
        <w:t>decide upon certain benefits that may be accrued on queer couples)</w:t>
      </w:r>
      <w:r w:rsidR="00727085">
        <w:t>, a uniform civil code may play an integral part</w:t>
      </w:r>
      <w:r w:rsidR="003F6CC1">
        <w:t xml:space="preserve">. The possibility of a code with newer definitions of a civil union, if not marriage itself </w:t>
      </w:r>
      <w:r w:rsidR="00721BEB">
        <w:t xml:space="preserve">providing for a wider array of benefits and rights to the queer community must be considered. If at all </w:t>
      </w:r>
      <w:r w:rsidR="006A2A07">
        <w:t xml:space="preserve">a UCC is formulated, it must keep pace with the changing world and not remain a mere exercise in futility relegating social institutions to </w:t>
      </w:r>
      <w:r w:rsidR="00391A57">
        <w:t xml:space="preserve">archaic definitions. While marriage and its related religious sanctity, morality </w:t>
      </w:r>
      <w:r w:rsidR="004239BA">
        <w:t xml:space="preserve">and foundations in religious texts may impede progress for the queer community, this must be measured against the </w:t>
      </w:r>
      <w:r w:rsidR="00B212A0">
        <w:t>protections offered by Articles 14 and 15 as well as the freedoms guaranteed under Articles 19 and 21.</w:t>
      </w:r>
    </w:p>
    <w:p w14:paraId="1A24946C" w14:textId="77777777" w:rsidR="00D94EF5" w:rsidRPr="00C365EA" w:rsidRDefault="00D94EF5" w:rsidP="00C365EA">
      <w:pPr>
        <w:pStyle w:val="ListParagraph"/>
        <w:spacing w:before="120" w:after="120"/>
      </w:pPr>
    </w:p>
    <w:p w14:paraId="25F1037E" w14:textId="55424C06" w:rsidR="00203EEA" w:rsidRDefault="00203EEA" w:rsidP="00083E4B">
      <w:pPr>
        <w:pStyle w:val="ListParagraph"/>
        <w:numPr>
          <w:ilvl w:val="0"/>
          <w:numId w:val="1"/>
        </w:numPr>
        <w:spacing w:before="120" w:after="120"/>
        <w:rPr>
          <w:b/>
          <w:bCs/>
          <w:u w:val="single"/>
        </w:rPr>
      </w:pPr>
      <w:r>
        <w:rPr>
          <w:b/>
          <w:bCs/>
          <w:u w:val="single"/>
        </w:rPr>
        <w:t>Live-in relationships</w:t>
      </w:r>
    </w:p>
    <w:p w14:paraId="375177E1" w14:textId="22EC0270" w:rsidR="000310F2" w:rsidRPr="000310F2" w:rsidRDefault="000310F2" w:rsidP="000310F2">
      <w:pPr>
        <w:pStyle w:val="ListParagraph"/>
        <w:spacing w:after="0"/>
      </w:pPr>
      <w:r>
        <w:t>According to Section 2(f) of the PWDVA, domestic relationship includes ‘relationship in the nature of marriage’</w:t>
      </w:r>
      <w:r w:rsidR="0001155F">
        <w:rPr>
          <w:rStyle w:val="FootnoteReference"/>
        </w:rPr>
        <w:footnoteReference w:id="11"/>
      </w:r>
      <w:r>
        <w:t xml:space="preserve">, thereby allowed an aggrieved woman in a live-in relationship to access the same </w:t>
      </w:r>
      <w:r w:rsidR="007E0CF3">
        <w:t xml:space="preserve">rights, </w:t>
      </w:r>
      <w:r w:rsidR="00B83785">
        <w:t>services,</w:t>
      </w:r>
      <w:r w:rsidR="007E0CF3">
        <w:t xml:space="preserve"> and monetary compensation </w:t>
      </w:r>
      <w:r w:rsidR="00B83785">
        <w:t xml:space="preserve">in case of domestic violence as a married woman. Various judgments have also recognized the legitimacy of a live-in relationship and the right of adults to enter into </w:t>
      </w:r>
      <w:r w:rsidR="000F11D7">
        <w:t xml:space="preserve">cohabitation out of their own will and consent. </w:t>
      </w:r>
      <w:r w:rsidR="00D94EF5">
        <w:t>In Indra Sarma v. VKV Sarma, it was held- “</w:t>
      </w:r>
      <w:r w:rsidR="00D94EF5">
        <w:rPr>
          <w:color w:val="000000"/>
          <w:shd w:val="clear" w:color="auto" w:fill="FFFFFF"/>
        </w:rPr>
        <w:t xml:space="preserve">Live-in or marriage like relationship is neither a crime nor a sin though socially unacceptable in this country.” </w:t>
      </w:r>
      <w:r w:rsidR="00D94EF5">
        <w:rPr>
          <w:rStyle w:val="FootnoteReference"/>
          <w:color w:val="000000"/>
          <w:shd w:val="clear" w:color="auto" w:fill="FFFFFF"/>
        </w:rPr>
        <w:footnoteReference w:id="12"/>
      </w:r>
      <w:r w:rsidR="00D94EF5">
        <w:rPr>
          <w:color w:val="000000"/>
          <w:shd w:val="clear" w:color="auto" w:fill="FFFFFF"/>
        </w:rPr>
        <w:t xml:space="preserve"> </w:t>
      </w:r>
      <w:r w:rsidR="005619E9">
        <w:rPr>
          <w:color w:val="000000"/>
          <w:shd w:val="clear" w:color="auto" w:fill="FFFFFF"/>
        </w:rPr>
        <w:t xml:space="preserve">While ethical and moral debates around live-in relationships continue, they exist and have legal validity even if </w:t>
      </w:r>
      <w:r w:rsidR="004505D3">
        <w:rPr>
          <w:color w:val="000000"/>
          <w:shd w:val="clear" w:color="auto" w:fill="FFFFFF"/>
        </w:rPr>
        <w:t xml:space="preserve">they do not acquire the same legitimacy as that of marriage. Laws regulating such relationships, including the rights of children of such unions, </w:t>
      </w:r>
      <w:r w:rsidR="00F52431">
        <w:rPr>
          <w:color w:val="000000"/>
          <w:shd w:val="clear" w:color="auto" w:fill="FFFFFF"/>
        </w:rPr>
        <w:t xml:space="preserve">inheritance, adoption etc. are necessary to provide legal </w:t>
      </w:r>
      <w:r w:rsidR="003A2DFB">
        <w:rPr>
          <w:color w:val="000000"/>
          <w:shd w:val="clear" w:color="auto" w:fill="FFFFFF"/>
        </w:rPr>
        <w:t xml:space="preserve">benefits. Couples in civil unions not akin to marriage must be protected from undue harassment from family members and any apprehensions to life or security must be adequately resolved. In a country where honour killings are common, it is necessary to provide protections and legitimacy under the law to adults entering into consensual cohabitation even if without marriage. This will help queer couples as </w:t>
      </w:r>
      <w:r w:rsidR="003A2DFB">
        <w:rPr>
          <w:color w:val="000000"/>
          <w:shd w:val="clear" w:color="auto" w:fill="FFFFFF"/>
        </w:rPr>
        <w:lastRenderedPageBreak/>
        <w:t xml:space="preserve">well. </w:t>
      </w:r>
      <w:r w:rsidR="00893CAF">
        <w:rPr>
          <w:color w:val="000000"/>
          <w:shd w:val="clear" w:color="auto" w:fill="FFFFFF"/>
        </w:rPr>
        <w:t>Thus, the UCC, if framed must seek to regulate and protect live-in relationships</w:t>
      </w:r>
      <w:r w:rsidR="007E0F78">
        <w:rPr>
          <w:color w:val="000000"/>
          <w:shd w:val="clear" w:color="auto" w:fill="FFFFFF"/>
        </w:rPr>
        <w:t xml:space="preserve"> under the authority of constitutionally guaranteed liberties. </w:t>
      </w:r>
    </w:p>
    <w:p w14:paraId="0FA4E9C7" w14:textId="42832FD3" w:rsidR="00203EEA" w:rsidRPr="00716A4C" w:rsidRDefault="000310F2" w:rsidP="004157D0">
      <w:pPr>
        <w:spacing w:before="120" w:after="120"/>
        <w:ind w:left="360"/>
        <w:rPr>
          <w:b/>
          <w:bCs/>
          <w:u w:val="single"/>
        </w:rPr>
      </w:pPr>
      <w:r>
        <w:rPr>
          <w:b/>
          <w:bCs/>
          <w:u w:val="single"/>
        </w:rPr>
        <w:t xml:space="preserve">   </w:t>
      </w:r>
    </w:p>
    <w:p w14:paraId="29AF6E65" w14:textId="332F84E2" w:rsidR="00083E4B" w:rsidRDefault="00716A4C" w:rsidP="00716A4C">
      <w:pPr>
        <w:pStyle w:val="ListParagraph"/>
        <w:spacing w:before="120" w:after="120"/>
        <w:jc w:val="center"/>
        <w:rPr>
          <w:b/>
          <w:bCs/>
          <w:u w:val="single"/>
        </w:rPr>
      </w:pPr>
      <w:r w:rsidRPr="00716A4C">
        <w:rPr>
          <w:b/>
          <w:bCs/>
          <w:u w:val="single"/>
        </w:rPr>
        <w:t>Gender Justice</w:t>
      </w:r>
    </w:p>
    <w:p w14:paraId="2084309A" w14:textId="0178D41C" w:rsidR="00165C2A" w:rsidRPr="00165C2A" w:rsidRDefault="00EC0AAE" w:rsidP="00165C2A">
      <w:pPr>
        <w:spacing w:before="120" w:after="120"/>
      </w:pPr>
      <w:r>
        <w:t>“With the non-implementation of Article 44 of the constitution, article 14 to 18 are being violated which provides for Right of equality and prohibition of discrimination on the grounds of sex.”</w:t>
      </w:r>
      <w:r>
        <w:rPr>
          <w:rStyle w:val="FootnoteReference"/>
        </w:rPr>
        <w:footnoteReference w:id="13"/>
      </w:r>
      <w:r w:rsidR="0084582C">
        <w:t xml:space="preserve"> The UCC must aim to </w:t>
      </w:r>
      <w:r w:rsidR="00AF04B4">
        <w:t>shine light on the preamble of the constitution and shed the wisdom of constitutional values and liberties in every realm regulating individual a</w:t>
      </w:r>
      <w:r w:rsidR="006B5500">
        <w:t>n</w:t>
      </w:r>
      <w:r w:rsidR="00AF04B4">
        <w:t xml:space="preserve">d social life through family law. </w:t>
      </w:r>
      <w:r w:rsidR="006B5500">
        <w:t>Women must have equal inheritance rights as that of men, they must retain control and ownership of property</w:t>
      </w:r>
      <w:r w:rsidR="005F4103">
        <w:t>, initiate divorce on similar grounds within similar time periods,</w:t>
      </w:r>
      <w:r w:rsidR="00193098">
        <w:t xml:space="preserve"> have equal adoption and guardianship rights as that of men and so on. A father should not naturally become the child’s guardian. A mother must have the same rights of guardianship and custody over the child as the father. The paramount consideration in such matters must be the child’s welfare and not patriarchal notions of child rearin</w:t>
      </w:r>
      <w:r w:rsidR="00F67A3D">
        <w:t xml:space="preserve">g and providing for the household. A daughter must have the same succession rights as a son. The laws of succession must be same for all regardless of religion or gender. </w:t>
      </w:r>
      <w:r w:rsidR="00F40F4E">
        <w:t>Cognate succession must be allowed</w:t>
      </w:r>
      <w:r w:rsidR="00FC2190">
        <w:t xml:space="preserve">. In other words, the prime purpose of a UCC should be to ensure that all stakeholders get the same </w:t>
      </w:r>
      <w:r w:rsidR="00527702">
        <w:t xml:space="preserve">entitlements and rights under the law and </w:t>
      </w:r>
      <w:r w:rsidR="005B2EE6">
        <w:t>are treated equally, that is, the purpose of Article 14 must be fulfilled both in letter and spirit.</w:t>
      </w:r>
    </w:p>
    <w:p w14:paraId="22F8A2F4" w14:textId="77777777" w:rsidR="00255899" w:rsidRDefault="00255899" w:rsidP="00716A4C">
      <w:pPr>
        <w:pStyle w:val="ListParagraph"/>
        <w:spacing w:before="120" w:after="120"/>
        <w:jc w:val="center"/>
        <w:rPr>
          <w:b/>
          <w:bCs/>
          <w:u w:val="single"/>
        </w:rPr>
      </w:pPr>
    </w:p>
    <w:p w14:paraId="2827CFFA" w14:textId="70B9CCF4" w:rsidR="00716A4C" w:rsidRDefault="00716A4C" w:rsidP="00716A4C">
      <w:pPr>
        <w:pStyle w:val="ListParagraph"/>
        <w:spacing w:before="120" w:after="120"/>
        <w:jc w:val="center"/>
        <w:rPr>
          <w:b/>
          <w:bCs/>
          <w:u w:val="single"/>
        </w:rPr>
      </w:pPr>
      <w:r w:rsidRPr="00716A4C">
        <w:rPr>
          <w:b/>
          <w:bCs/>
          <w:u w:val="single"/>
        </w:rPr>
        <w:t xml:space="preserve">Minority Rights </w:t>
      </w:r>
    </w:p>
    <w:p w14:paraId="220A5558" w14:textId="59FE859A" w:rsidR="00223660" w:rsidRDefault="00255899" w:rsidP="00255899">
      <w:pPr>
        <w:spacing w:before="120" w:after="120"/>
      </w:pPr>
      <w:r>
        <w:t xml:space="preserve">Despite all the perceived benefits of the UCC, </w:t>
      </w:r>
      <w:r w:rsidR="00F256B2">
        <w:t xml:space="preserve">a large section remains opposed to its formulation citing possibilities of majority domination, appeasement politics </w:t>
      </w:r>
      <w:r w:rsidR="00476D1A">
        <w:t xml:space="preserve">and degradation of minority rights. </w:t>
      </w:r>
      <w:r w:rsidR="00B3724F">
        <w:t xml:space="preserve">Various cultures and tribes across religions have their own distinct rites, customs, and traditions. These must be safeguarded as per constitutional norms. Any attempt to frame a UCC must take note of these unique or indigenous practices regulating </w:t>
      </w:r>
      <w:r w:rsidR="00200320">
        <w:t>marriage.</w:t>
      </w:r>
      <w:r w:rsidR="0079473B">
        <w:t xml:space="preserve"> Further, </w:t>
      </w:r>
      <w:r w:rsidR="00200320">
        <w:t xml:space="preserve">uniformization must not mean erosion of minority culture and rights. While gender </w:t>
      </w:r>
      <w:r w:rsidR="00FB7227">
        <w:t>unjust laws must be done away with and individual rights must be upheld and protected under the constitutional machinery, it is important to protect</w:t>
      </w:r>
      <w:r w:rsidR="0037714A">
        <w:t xml:space="preserve"> every faith’s right to practice, propagate and profess its own practices in a manner not derogatory to public </w:t>
      </w:r>
      <w:r w:rsidR="00046803">
        <w:t>order, morality</w:t>
      </w:r>
      <w:r w:rsidR="0037714A">
        <w:t>,</w:t>
      </w:r>
      <w:r w:rsidR="00046803">
        <w:t xml:space="preserve"> </w:t>
      </w:r>
      <w:r w:rsidR="0037714A">
        <w:t>health</w:t>
      </w:r>
      <w:r w:rsidR="00046803">
        <w:t xml:space="preserve"> etc. This right is protected under Articles 25 and 26.</w:t>
      </w:r>
      <w:r w:rsidR="005E3F81">
        <w:t xml:space="preserve"> The framing of the UCC must be done meticulously involving consultations from religious leaders, tribal leaders, legal experts </w:t>
      </w:r>
      <w:r w:rsidR="005E3F81">
        <w:lastRenderedPageBreak/>
        <w:t xml:space="preserve">sociologists and every other stakeholder. </w:t>
      </w:r>
      <w:r w:rsidR="005E25E7">
        <w:t xml:space="preserve">Any attempt to impose majoritarian culture or subjugate </w:t>
      </w:r>
      <w:r w:rsidR="00CC1845">
        <w:t>minorities will violate the Constitution and go against the very rationale of Article 44</w:t>
      </w:r>
      <w:r w:rsidR="009E24CF">
        <w:t xml:space="preserve">- to secure a UCC to preserve social harmony and </w:t>
      </w:r>
      <w:r w:rsidR="00730A28">
        <w:t>to maintain the unity and integrity of the nation.</w:t>
      </w:r>
    </w:p>
    <w:p w14:paraId="34A36871" w14:textId="77777777" w:rsidR="00C954A1" w:rsidRDefault="00C954A1" w:rsidP="00255899">
      <w:pPr>
        <w:spacing w:before="120" w:after="120"/>
      </w:pPr>
    </w:p>
    <w:p w14:paraId="6E4CE8F3" w14:textId="2CD4E109" w:rsidR="00C954A1" w:rsidRDefault="00C954A1" w:rsidP="00C954A1">
      <w:pPr>
        <w:spacing w:before="120" w:after="120"/>
        <w:jc w:val="center"/>
        <w:rPr>
          <w:b/>
          <w:bCs/>
          <w:u w:val="single"/>
        </w:rPr>
      </w:pPr>
      <w:r w:rsidRPr="00C954A1">
        <w:rPr>
          <w:b/>
          <w:bCs/>
          <w:u w:val="single"/>
        </w:rPr>
        <w:t>Conclusion</w:t>
      </w:r>
    </w:p>
    <w:p w14:paraId="466F1AF5" w14:textId="4FEFAB53" w:rsidR="00C954A1" w:rsidRDefault="008F4EE7" w:rsidP="00C954A1">
      <w:pPr>
        <w:spacing w:before="120" w:after="120"/>
      </w:pPr>
      <w:r>
        <w:t xml:space="preserve">The UCC is a constitutional imperative backed by proponents such as Dr B.R. Ambedkar. </w:t>
      </w:r>
      <w:r w:rsidR="00495F0F">
        <w:t xml:space="preserve">However, its full potential will be realized not through a mechanical uniformization and standardization exercise but by fulfilling the core values of Article 44- provide social justice and reform </w:t>
      </w:r>
      <w:r w:rsidR="00C07EF4">
        <w:t xml:space="preserve">through legal action. Such a Code must be drafted through wide consultation and </w:t>
      </w:r>
      <w:r w:rsidR="009319C2">
        <w:t>must take up a variety of inputs from varied sources and backgrounds. While the Code is indeed one law for the entire country, it must encapsulate the</w:t>
      </w:r>
      <w:r w:rsidR="00092B1D">
        <w:t xml:space="preserve"> faiths and belief systems of our diverse population. The task is not easy but with the recent reform in criminal laws, one may expect some remediation in the arena of family law as well. </w:t>
      </w:r>
    </w:p>
    <w:p w14:paraId="77353999" w14:textId="77777777" w:rsidR="0049778D" w:rsidRPr="00C954A1" w:rsidRDefault="0049778D" w:rsidP="00C954A1">
      <w:pPr>
        <w:spacing w:before="120" w:after="120"/>
      </w:pPr>
    </w:p>
    <w:sectPr w:rsidR="0049778D" w:rsidRPr="00C954A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B6AD0" w14:textId="77777777" w:rsidR="009D69CD" w:rsidRDefault="009D69CD" w:rsidP="00880D51">
      <w:pPr>
        <w:spacing w:after="0" w:line="240" w:lineRule="auto"/>
      </w:pPr>
      <w:r>
        <w:separator/>
      </w:r>
    </w:p>
  </w:endnote>
  <w:endnote w:type="continuationSeparator" w:id="0">
    <w:p w14:paraId="0948396A" w14:textId="77777777" w:rsidR="009D69CD" w:rsidRDefault="009D69CD" w:rsidP="00880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pt serif script=all rev=5">
    <w:altName w:val="Arial"/>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06836" w14:textId="77777777" w:rsidR="009D69CD" w:rsidRDefault="009D69CD" w:rsidP="00880D51">
      <w:pPr>
        <w:spacing w:after="0" w:line="240" w:lineRule="auto"/>
      </w:pPr>
      <w:r>
        <w:separator/>
      </w:r>
    </w:p>
  </w:footnote>
  <w:footnote w:type="continuationSeparator" w:id="0">
    <w:p w14:paraId="7156F184" w14:textId="77777777" w:rsidR="009D69CD" w:rsidRDefault="009D69CD" w:rsidP="00880D51">
      <w:pPr>
        <w:spacing w:after="0" w:line="240" w:lineRule="auto"/>
      </w:pPr>
      <w:r>
        <w:continuationSeparator/>
      </w:r>
    </w:p>
  </w:footnote>
  <w:footnote w:id="1">
    <w:p w14:paraId="7268F408" w14:textId="70DB95CC" w:rsidR="00880D51" w:rsidRPr="00880D51" w:rsidRDefault="00880D51" w:rsidP="00B227D0">
      <w:pPr>
        <w:pStyle w:val="NoSpacing"/>
        <w:rPr>
          <w:lang w:val="en-US"/>
        </w:rPr>
      </w:pPr>
      <w:r>
        <w:rPr>
          <w:rStyle w:val="FootnoteReference"/>
        </w:rPr>
        <w:footnoteRef/>
      </w:r>
      <w:r>
        <w:t xml:space="preserve"> </w:t>
      </w:r>
      <w:r w:rsidR="00724401">
        <w:rPr>
          <w:lang w:val="en-IN" w:eastAsia="en-IN"/>
        </w:rPr>
        <w:t>Peter Ronald Desouza,</w:t>
      </w:r>
      <w:r w:rsidR="001275B2">
        <w:rPr>
          <w:lang w:val="en-IN" w:eastAsia="en-IN"/>
        </w:rPr>
        <w:t xml:space="preserve"> </w:t>
      </w:r>
      <w:r w:rsidR="00CE6FB9" w:rsidRPr="001275B2">
        <w:rPr>
          <w:i/>
          <w:iCs/>
          <w:lang w:val="en-IN" w:eastAsia="en-IN"/>
        </w:rPr>
        <w:t>Politics of the Uniform Civil Code in India</w:t>
      </w:r>
      <w:r w:rsidR="001275B2">
        <w:rPr>
          <w:lang w:val="en-IN" w:eastAsia="en-IN"/>
        </w:rPr>
        <w:t>,</w:t>
      </w:r>
      <w:r w:rsidR="00D026AD">
        <w:rPr>
          <w:lang w:val="en-IN" w:eastAsia="en-IN"/>
        </w:rPr>
        <w:t xml:space="preserve"> 53</w:t>
      </w:r>
      <w:r w:rsidR="00CE6FB9" w:rsidRPr="00CE6FB9">
        <w:rPr>
          <w:lang w:val="en-IN" w:eastAsia="en-IN"/>
        </w:rPr>
        <w:t xml:space="preserve"> </w:t>
      </w:r>
      <w:r w:rsidR="00CE6FB9" w:rsidRPr="00203888">
        <w:rPr>
          <w:lang w:val="en-IN" w:eastAsia="en-IN"/>
        </w:rPr>
        <w:t>E</w:t>
      </w:r>
      <w:r w:rsidR="004342D4">
        <w:rPr>
          <w:lang w:val="en-IN" w:eastAsia="en-IN"/>
        </w:rPr>
        <w:t>PW</w:t>
      </w:r>
      <w:r w:rsidR="002A7F77">
        <w:rPr>
          <w:lang w:val="en-IN" w:eastAsia="en-IN"/>
        </w:rPr>
        <w:t xml:space="preserve"> </w:t>
      </w:r>
      <w:r w:rsidR="00203888">
        <w:rPr>
          <w:lang w:val="en-IN" w:eastAsia="en-IN"/>
        </w:rPr>
        <w:t>50</w:t>
      </w:r>
      <w:r w:rsidR="00833CC8">
        <w:rPr>
          <w:lang w:val="en-IN" w:eastAsia="en-IN"/>
        </w:rPr>
        <w:t>,</w:t>
      </w:r>
      <w:r w:rsidR="001D0030">
        <w:rPr>
          <w:lang w:val="en-IN" w:eastAsia="en-IN"/>
        </w:rPr>
        <w:t xml:space="preserve"> 50 (</w:t>
      </w:r>
      <w:r w:rsidR="00B227D0">
        <w:rPr>
          <w:lang w:val="en-IN" w:eastAsia="en-IN"/>
        </w:rPr>
        <w:t>2015).</w:t>
      </w:r>
    </w:p>
  </w:footnote>
  <w:footnote w:id="2">
    <w:p w14:paraId="5D9A8FBD" w14:textId="4FC6F5B9" w:rsidR="008D0282" w:rsidRPr="008D0282" w:rsidRDefault="008D0282">
      <w:pPr>
        <w:pStyle w:val="FootnoteText"/>
        <w:rPr>
          <w:lang w:val="en-US"/>
        </w:rPr>
      </w:pPr>
      <w:r>
        <w:rPr>
          <w:rStyle w:val="FootnoteReference"/>
        </w:rPr>
        <w:footnoteRef/>
      </w:r>
      <w:r>
        <w:t xml:space="preserve"> </w:t>
      </w:r>
      <w:r w:rsidR="00856389" w:rsidRPr="00856389">
        <w:rPr>
          <w:i/>
          <w:iCs/>
          <w:lang w:val="en-US"/>
        </w:rPr>
        <w:t>Id</w:t>
      </w:r>
      <w:r w:rsidR="00856389">
        <w:rPr>
          <w:lang w:val="en-US"/>
        </w:rPr>
        <w:t>. At 51-52.</w:t>
      </w:r>
    </w:p>
  </w:footnote>
  <w:footnote w:id="3">
    <w:p w14:paraId="0566B82C" w14:textId="32BC1499" w:rsidR="00C95A43" w:rsidRPr="00C95A43" w:rsidRDefault="00C95A43" w:rsidP="0057586A">
      <w:pPr>
        <w:pStyle w:val="NoSpacing"/>
        <w:rPr>
          <w:lang w:val="en-US"/>
        </w:rPr>
      </w:pPr>
      <w:r>
        <w:rPr>
          <w:rStyle w:val="FootnoteReference"/>
        </w:rPr>
        <w:footnoteRef/>
      </w:r>
      <w:r>
        <w:t xml:space="preserve"> </w:t>
      </w:r>
      <w:r w:rsidR="00103002">
        <w:rPr>
          <w:lang w:val="en-US"/>
        </w:rPr>
        <w:t xml:space="preserve">Mohd. Ahmed Khan v. Shah Bano Begum, </w:t>
      </w:r>
      <w:r w:rsidR="00464112">
        <w:rPr>
          <w:lang w:val="en-US"/>
        </w:rPr>
        <w:t xml:space="preserve">(1985) </w:t>
      </w:r>
      <w:r w:rsidR="008034AE">
        <w:rPr>
          <w:lang w:val="en-US"/>
        </w:rPr>
        <w:t>2 SCC 556.</w:t>
      </w:r>
    </w:p>
  </w:footnote>
  <w:footnote w:id="4">
    <w:p w14:paraId="143390F5" w14:textId="39EEE837" w:rsidR="00D72A18" w:rsidRPr="00D72A18" w:rsidRDefault="00D72A18" w:rsidP="0057586A">
      <w:pPr>
        <w:pStyle w:val="NoSpacing"/>
        <w:rPr>
          <w:lang w:val="en-US"/>
        </w:rPr>
      </w:pPr>
      <w:r>
        <w:rPr>
          <w:rStyle w:val="FootnoteReference"/>
        </w:rPr>
        <w:footnoteRef/>
      </w:r>
      <w:r>
        <w:t xml:space="preserve"> </w:t>
      </w:r>
      <w:r w:rsidR="005846F8">
        <w:rPr>
          <w:lang w:val="en-US"/>
        </w:rPr>
        <w:t xml:space="preserve">Sarla Mudgal v. Union of India, (1995) </w:t>
      </w:r>
      <w:r w:rsidR="00720096">
        <w:rPr>
          <w:lang w:val="en-US"/>
        </w:rPr>
        <w:t>3 SCC 635.</w:t>
      </w:r>
    </w:p>
  </w:footnote>
  <w:footnote w:id="5">
    <w:p w14:paraId="7E0DC03B" w14:textId="63967D4E" w:rsidR="0023282B" w:rsidRPr="0023282B" w:rsidRDefault="0023282B" w:rsidP="0057586A">
      <w:pPr>
        <w:pStyle w:val="NoSpacing"/>
        <w:rPr>
          <w:lang w:val="en-US"/>
        </w:rPr>
      </w:pPr>
      <w:r>
        <w:rPr>
          <w:rStyle w:val="FootnoteReference"/>
        </w:rPr>
        <w:footnoteRef/>
      </w:r>
      <w:r>
        <w:t xml:space="preserve"> </w:t>
      </w:r>
      <w:r w:rsidR="00823940">
        <w:t xml:space="preserve">Desouza, </w:t>
      </w:r>
      <w:r w:rsidR="00823940">
        <w:rPr>
          <w:lang w:val="en-US"/>
        </w:rPr>
        <w:t>s</w:t>
      </w:r>
      <w:r>
        <w:rPr>
          <w:lang w:val="en-US"/>
        </w:rPr>
        <w:t>upra</w:t>
      </w:r>
      <w:r w:rsidR="00823940">
        <w:rPr>
          <w:lang w:val="en-US"/>
        </w:rPr>
        <w:t xml:space="preserve"> note 1.</w:t>
      </w:r>
    </w:p>
  </w:footnote>
  <w:footnote w:id="6">
    <w:p w14:paraId="27536446" w14:textId="31B62A40" w:rsidR="0072713A" w:rsidRPr="0057586A" w:rsidRDefault="0072713A" w:rsidP="0057586A">
      <w:pPr>
        <w:pStyle w:val="NoSpacing"/>
        <w:rPr>
          <w:lang w:val="en-US"/>
        </w:rPr>
      </w:pPr>
      <w:r>
        <w:rPr>
          <w:rStyle w:val="FootnoteReference"/>
        </w:rPr>
        <w:footnoteRef/>
      </w:r>
      <w:r>
        <w:t xml:space="preserve"> </w:t>
      </w:r>
      <w:r w:rsidR="00DB5515">
        <w:t xml:space="preserve">Shabbeer Ahmed, </w:t>
      </w:r>
      <w:r w:rsidR="0057586A" w:rsidRPr="0057586A">
        <w:rPr>
          <w:i/>
          <w:iCs/>
        </w:rPr>
        <w:t>Uniform Civil Code (Article 44 Of the Constitution) A Dead Letter</w:t>
      </w:r>
      <w:r w:rsidR="0057586A">
        <w:rPr>
          <w:i/>
          <w:iCs/>
        </w:rPr>
        <w:t xml:space="preserve">), </w:t>
      </w:r>
      <w:r w:rsidR="0057586A">
        <w:t xml:space="preserve">67 </w:t>
      </w:r>
      <w:r w:rsidR="008128ED">
        <w:t>The Indian Journal of Political Science</w:t>
      </w:r>
      <w:r w:rsidR="006C3938">
        <w:t xml:space="preserve"> 545, </w:t>
      </w:r>
      <w:r w:rsidR="0033232D">
        <w:t xml:space="preserve">547 </w:t>
      </w:r>
      <w:r w:rsidR="00DD025B">
        <w:t>(July</w:t>
      </w:r>
      <w:r w:rsidR="0033232D">
        <w:t>- Sept. 2006</w:t>
      </w:r>
      <w:r w:rsidR="00DD025B">
        <w:t>).</w:t>
      </w:r>
    </w:p>
  </w:footnote>
  <w:footnote w:id="7">
    <w:p w14:paraId="219BC8F5" w14:textId="4E4847BB" w:rsidR="00060EFE" w:rsidRPr="00733567" w:rsidRDefault="00060EFE">
      <w:pPr>
        <w:pStyle w:val="FootnoteText"/>
        <w:rPr>
          <w:lang w:val="en-US"/>
        </w:rPr>
      </w:pPr>
      <w:r>
        <w:rPr>
          <w:rStyle w:val="FootnoteReference"/>
        </w:rPr>
        <w:footnoteRef/>
      </w:r>
      <w:r>
        <w:t xml:space="preserve"> </w:t>
      </w:r>
      <w:r w:rsidR="00733567" w:rsidRPr="00733567">
        <w:rPr>
          <w:i/>
          <w:iCs/>
        </w:rPr>
        <w:t>Id.</w:t>
      </w:r>
      <w:r w:rsidR="00733567">
        <w:rPr>
          <w:i/>
          <w:iCs/>
        </w:rPr>
        <w:t xml:space="preserve"> </w:t>
      </w:r>
      <w:r w:rsidR="00733567">
        <w:t xml:space="preserve">At </w:t>
      </w:r>
      <w:r w:rsidR="00083E4B">
        <w:t>549.</w:t>
      </w:r>
    </w:p>
  </w:footnote>
  <w:footnote w:id="8">
    <w:p w14:paraId="29D0CB5E" w14:textId="53EFD863" w:rsidR="003329BA" w:rsidRPr="003329BA" w:rsidRDefault="003329BA">
      <w:pPr>
        <w:pStyle w:val="FootnoteText"/>
        <w:rPr>
          <w:lang w:val="en-US"/>
        </w:rPr>
      </w:pPr>
      <w:r>
        <w:rPr>
          <w:rStyle w:val="FootnoteReference"/>
        </w:rPr>
        <w:footnoteRef/>
      </w:r>
      <w:r>
        <w:t xml:space="preserve"> </w:t>
      </w:r>
      <w:r w:rsidR="00485C8E">
        <w:t>Navtej Singh Johar v. Union of India</w:t>
      </w:r>
      <w:r w:rsidR="00277FBC">
        <w:t xml:space="preserve"> (2018)</w:t>
      </w:r>
      <w:r w:rsidR="00913665">
        <w:t xml:space="preserve"> 10 SCC 1.</w:t>
      </w:r>
    </w:p>
  </w:footnote>
  <w:footnote w:id="9">
    <w:p w14:paraId="5E99ECC7" w14:textId="5B73084D" w:rsidR="00B212A0" w:rsidRPr="00B54034" w:rsidRDefault="00B212A0">
      <w:pPr>
        <w:pStyle w:val="FootnoteText"/>
      </w:pPr>
      <w:r>
        <w:rPr>
          <w:rStyle w:val="FootnoteReference"/>
        </w:rPr>
        <w:footnoteRef/>
      </w:r>
      <w:r>
        <w:t xml:space="preserve"> </w:t>
      </w:r>
      <w:r w:rsidR="00B54034" w:rsidRPr="00B54034">
        <w:t>Supriyo @ Supriya Chakraborty &amp; Anr. v Union of India</w:t>
      </w:r>
      <w:r w:rsidR="00A32210">
        <w:t xml:space="preserve"> (</w:t>
      </w:r>
      <w:r w:rsidR="00A32210" w:rsidRPr="00A32210">
        <w:t>2023) INSC 920.</w:t>
      </w:r>
    </w:p>
  </w:footnote>
  <w:footnote w:id="10">
    <w:p w14:paraId="676F40A7" w14:textId="0D65E2EF" w:rsidR="00642B4E" w:rsidRPr="00A32210" w:rsidRDefault="00642B4E">
      <w:pPr>
        <w:pStyle w:val="FootnoteText"/>
        <w:rPr>
          <w:lang w:val="en-US"/>
        </w:rPr>
      </w:pPr>
      <w:r>
        <w:rPr>
          <w:rStyle w:val="FootnoteReference"/>
        </w:rPr>
        <w:footnoteRef/>
      </w:r>
      <w:r>
        <w:t xml:space="preserve"> </w:t>
      </w:r>
      <w:r w:rsidR="00A32210" w:rsidRPr="00A32210">
        <w:rPr>
          <w:i/>
          <w:iCs/>
        </w:rPr>
        <w:t>Id.</w:t>
      </w:r>
    </w:p>
  </w:footnote>
  <w:footnote w:id="11">
    <w:p w14:paraId="4992D04E" w14:textId="3920C181" w:rsidR="0001155F" w:rsidRPr="0001155F" w:rsidRDefault="0001155F">
      <w:pPr>
        <w:pStyle w:val="FootnoteText"/>
        <w:rPr>
          <w:lang w:val="en-US"/>
        </w:rPr>
      </w:pPr>
      <w:r>
        <w:rPr>
          <w:rStyle w:val="FootnoteReference"/>
        </w:rPr>
        <w:footnoteRef/>
      </w:r>
      <w:r>
        <w:t xml:space="preserve"> </w:t>
      </w:r>
      <w:r w:rsidR="00994F79" w:rsidRPr="00994F79">
        <w:t xml:space="preserve">The Protection </w:t>
      </w:r>
      <w:r w:rsidR="00E877EE" w:rsidRPr="00994F79">
        <w:t>of</w:t>
      </w:r>
      <w:r w:rsidR="00994F79" w:rsidRPr="00994F79">
        <w:t xml:space="preserve"> Women </w:t>
      </w:r>
      <w:r w:rsidR="00E877EE" w:rsidRPr="00994F79">
        <w:t>from</w:t>
      </w:r>
      <w:r w:rsidR="00994F79" w:rsidRPr="00994F79">
        <w:t xml:space="preserve"> Domestic Violence Act, 2005</w:t>
      </w:r>
      <w:r w:rsidR="00E877EE">
        <w:t xml:space="preserve">, </w:t>
      </w:r>
      <w:r w:rsidR="00994F79" w:rsidRPr="00994F79">
        <w:t>No. 43</w:t>
      </w:r>
      <w:r w:rsidR="00E877EE">
        <w:t>, Acts of Parliament,</w:t>
      </w:r>
      <w:r w:rsidR="00994F79" w:rsidRPr="00994F79">
        <w:t xml:space="preserve"> 2005</w:t>
      </w:r>
      <w:r w:rsidR="00D94EF5">
        <w:t>.</w:t>
      </w:r>
    </w:p>
  </w:footnote>
  <w:footnote w:id="12">
    <w:p w14:paraId="5AC88F9E" w14:textId="7755FEE6" w:rsidR="00D94EF5" w:rsidRPr="00D94EF5" w:rsidRDefault="00D94EF5">
      <w:pPr>
        <w:pStyle w:val="FootnoteText"/>
        <w:rPr>
          <w:lang w:val="en-US"/>
        </w:rPr>
      </w:pPr>
      <w:r>
        <w:rPr>
          <w:rStyle w:val="FootnoteReference"/>
        </w:rPr>
        <w:footnoteRef/>
      </w:r>
      <w:r>
        <w:t xml:space="preserve"> </w:t>
      </w:r>
      <w:r>
        <w:rPr>
          <w:lang w:val="en-US"/>
        </w:rPr>
        <w:t>Indra Sarma v. VKV Sarma (2013) 15 SCC 755.</w:t>
      </w:r>
    </w:p>
  </w:footnote>
  <w:footnote w:id="13">
    <w:p w14:paraId="32989515" w14:textId="4F7C978F" w:rsidR="00EC0AAE" w:rsidRPr="00EC0AAE" w:rsidRDefault="00EC0AAE">
      <w:pPr>
        <w:pStyle w:val="FootnoteText"/>
        <w:rPr>
          <w:lang w:val="en-US"/>
        </w:rPr>
      </w:pPr>
      <w:r>
        <w:rPr>
          <w:rStyle w:val="FootnoteReference"/>
        </w:rPr>
        <w:footnoteRef/>
      </w:r>
      <w:r>
        <w:t xml:space="preserve"> Ahmed, supra note 6 at </w:t>
      </w:r>
      <w:r w:rsidR="0084582C">
        <w:t>549.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6052C"/>
    <w:multiLevelType w:val="hybridMultilevel"/>
    <w:tmpl w:val="D944A4EC"/>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11390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368"/>
    <w:rsid w:val="00006506"/>
    <w:rsid w:val="00007B91"/>
    <w:rsid w:val="0001155F"/>
    <w:rsid w:val="000120E8"/>
    <w:rsid w:val="0001583D"/>
    <w:rsid w:val="000235CD"/>
    <w:rsid w:val="000310F2"/>
    <w:rsid w:val="00046803"/>
    <w:rsid w:val="00054D55"/>
    <w:rsid w:val="00060EFE"/>
    <w:rsid w:val="00083E4B"/>
    <w:rsid w:val="00092B1D"/>
    <w:rsid w:val="000A45D0"/>
    <w:rsid w:val="000C3BE9"/>
    <w:rsid w:val="000D4621"/>
    <w:rsid w:val="000D6BC0"/>
    <w:rsid w:val="000F11D7"/>
    <w:rsid w:val="00103002"/>
    <w:rsid w:val="001077F4"/>
    <w:rsid w:val="001275B2"/>
    <w:rsid w:val="00163E54"/>
    <w:rsid w:val="00165C2A"/>
    <w:rsid w:val="00166675"/>
    <w:rsid w:val="00167D52"/>
    <w:rsid w:val="001705A9"/>
    <w:rsid w:val="001711D7"/>
    <w:rsid w:val="00193098"/>
    <w:rsid w:val="001C5FE8"/>
    <w:rsid w:val="001C6AB4"/>
    <w:rsid w:val="001D0030"/>
    <w:rsid w:val="001D7F55"/>
    <w:rsid w:val="00200320"/>
    <w:rsid w:val="0020121F"/>
    <w:rsid w:val="00203888"/>
    <w:rsid w:val="00203EEA"/>
    <w:rsid w:val="00223660"/>
    <w:rsid w:val="002316B9"/>
    <w:rsid w:val="0023282B"/>
    <w:rsid w:val="002372BD"/>
    <w:rsid w:val="002435F8"/>
    <w:rsid w:val="00255899"/>
    <w:rsid w:val="00263A84"/>
    <w:rsid w:val="00277FBC"/>
    <w:rsid w:val="002A007C"/>
    <w:rsid w:val="002A5A1F"/>
    <w:rsid w:val="002A7F77"/>
    <w:rsid w:val="002C2573"/>
    <w:rsid w:val="002C3F26"/>
    <w:rsid w:val="002D067E"/>
    <w:rsid w:val="00316F9C"/>
    <w:rsid w:val="0033232D"/>
    <w:rsid w:val="003329BA"/>
    <w:rsid w:val="00343A1E"/>
    <w:rsid w:val="0034434C"/>
    <w:rsid w:val="0037347C"/>
    <w:rsid w:val="0037714A"/>
    <w:rsid w:val="0038540E"/>
    <w:rsid w:val="00387B39"/>
    <w:rsid w:val="00391A57"/>
    <w:rsid w:val="003A2DFB"/>
    <w:rsid w:val="003A4E14"/>
    <w:rsid w:val="003C711A"/>
    <w:rsid w:val="003C79C6"/>
    <w:rsid w:val="003F6CC1"/>
    <w:rsid w:val="00400D0D"/>
    <w:rsid w:val="004157D0"/>
    <w:rsid w:val="004239BA"/>
    <w:rsid w:val="0043191B"/>
    <w:rsid w:val="004342D4"/>
    <w:rsid w:val="004505D3"/>
    <w:rsid w:val="0045327F"/>
    <w:rsid w:val="00454D3F"/>
    <w:rsid w:val="004617EC"/>
    <w:rsid w:val="00464112"/>
    <w:rsid w:val="00471308"/>
    <w:rsid w:val="00476D1A"/>
    <w:rsid w:val="00482EC0"/>
    <w:rsid w:val="00485C8E"/>
    <w:rsid w:val="00494170"/>
    <w:rsid w:val="00495F0F"/>
    <w:rsid w:val="0049778D"/>
    <w:rsid w:val="004B3023"/>
    <w:rsid w:val="004E2F34"/>
    <w:rsid w:val="0051169B"/>
    <w:rsid w:val="00527702"/>
    <w:rsid w:val="00556CEC"/>
    <w:rsid w:val="005619E9"/>
    <w:rsid w:val="0057586A"/>
    <w:rsid w:val="005846F8"/>
    <w:rsid w:val="005B21B4"/>
    <w:rsid w:val="005B2EE6"/>
    <w:rsid w:val="005E1019"/>
    <w:rsid w:val="005E25E7"/>
    <w:rsid w:val="005E3F81"/>
    <w:rsid w:val="005F4103"/>
    <w:rsid w:val="00637F53"/>
    <w:rsid w:val="00642B4E"/>
    <w:rsid w:val="00654828"/>
    <w:rsid w:val="00656D15"/>
    <w:rsid w:val="00660F2C"/>
    <w:rsid w:val="00663253"/>
    <w:rsid w:val="006A2A07"/>
    <w:rsid w:val="006B5500"/>
    <w:rsid w:val="006C3938"/>
    <w:rsid w:val="006D0CD0"/>
    <w:rsid w:val="006D251B"/>
    <w:rsid w:val="006D7AA8"/>
    <w:rsid w:val="006F03C4"/>
    <w:rsid w:val="006F2F79"/>
    <w:rsid w:val="00710B51"/>
    <w:rsid w:val="00716A4C"/>
    <w:rsid w:val="00720096"/>
    <w:rsid w:val="00721BEB"/>
    <w:rsid w:val="00724401"/>
    <w:rsid w:val="00727085"/>
    <w:rsid w:val="0072713A"/>
    <w:rsid w:val="00730A28"/>
    <w:rsid w:val="00733567"/>
    <w:rsid w:val="0079473B"/>
    <w:rsid w:val="007B148C"/>
    <w:rsid w:val="007D77B0"/>
    <w:rsid w:val="007E0CF3"/>
    <w:rsid w:val="007E0F78"/>
    <w:rsid w:val="007E6C3C"/>
    <w:rsid w:val="008034AE"/>
    <w:rsid w:val="008128ED"/>
    <w:rsid w:val="0081569C"/>
    <w:rsid w:val="00823940"/>
    <w:rsid w:val="00833CC8"/>
    <w:rsid w:val="00844AD5"/>
    <w:rsid w:val="0084582C"/>
    <w:rsid w:val="00856389"/>
    <w:rsid w:val="00870B8D"/>
    <w:rsid w:val="00874DDE"/>
    <w:rsid w:val="00880D51"/>
    <w:rsid w:val="00893CAF"/>
    <w:rsid w:val="008D0282"/>
    <w:rsid w:val="008E13AC"/>
    <w:rsid w:val="008E4ECE"/>
    <w:rsid w:val="008F4EE7"/>
    <w:rsid w:val="009019A3"/>
    <w:rsid w:val="00906384"/>
    <w:rsid w:val="00910368"/>
    <w:rsid w:val="00913665"/>
    <w:rsid w:val="00922353"/>
    <w:rsid w:val="009319C2"/>
    <w:rsid w:val="0093201F"/>
    <w:rsid w:val="0094625A"/>
    <w:rsid w:val="00954FC3"/>
    <w:rsid w:val="00971F0C"/>
    <w:rsid w:val="00980002"/>
    <w:rsid w:val="00994F79"/>
    <w:rsid w:val="009C0719"/>
    <w:rsid w:val="009C21E7"/>
    <w:rsid w:val="009C2901"/>
    <w:rsid w:val="009D434B"/>
    <w:rsid w:val="009D69CD"/>
    <w:rsid w:val="009D6B82"/>
    <w:rsid w:val="009E24CF"/>
    <w:rsid w:val="00A0049F"/>
    <w:rsid w:val="00A202AB"/>
    <w:rsid w:val="00A27772"/>
    <w:rsid w:val="00A321B4"/>
    <w:rsid w:val="00A32210"/>
    <w:rsid w:val="00A43538"/>
    <w:rsid w:val="00A463D0"/>
    <w:rsid w:val="00A534F8"/>
    <w:rsid w:val="00A554B1"/>
    <w:rsid w:val="00A8158C"/>
    <w:rsid w:val="00A94B9F"/>
    <w:rsid w:val="00AC0BBF"/>
    <w:rsid w:val="00AC0E42"/>
    <w:rsid w:val="00AC1ACD"/>
    <w:rsid w:val="00AC5339"/>
    <w:rsid w:val="00AD4EA3"/>
    <w:rsid w:val="00AE10F7"/>
    <w:rsid w:val="00AF04B4"/>
    <w:rsid w:val="00AF34D1"/>
    <w:rsid w:val="00B05167"/>
    <w:rsid w:val="00B131AD"/>
    <w:rsid w:val="00B212A0"/>
    <w:rsid w:val="00B2149B"/>
    <w:rsid w:val="00B227D0"/>
    <w:rsid w:val="00B3724F"/>
    <w:rsid w:val="00B37992"/>
    <w:rsid w:val="00B53257"/>
    <w:rsid w:val="00B54034"/>
    <w:rsid w:val="00B72957"/>
    <w:rsid w:val="00B83785"/>
    <w:rsid w:val="00BA5426"/>
    <w:rsid w:val="00BB6A37"/>
    <w:rsid w:val="00BC7918"/>
    <w:rsid w:val="00BE60EB"/>
    <w:rsid w:val="00BF39FE"/>
    <w:rsid w:val="00C07EF4"/>
    <w:rsid w:val="00C32A39"/>
    <w:rsid w:val="00C365EA"/>
    <w:rsid w:val="00C954A1"/>
    <w:rsid w:val="00C95A43"/>
    <w:rsid w:val="00C9743C"/>
    <w:rsid w:val="00CA5B75"/>
    <w:rsid w:val="00CC1845"/>
    <w:rsid w:val="00CC4B67"/>
    <w:rsid w:val="00CD0843"/>
    <w:rsid w:val="00CE44E9"/>
    <w:rsid w:val="00CE50CD"/>
    <w:rsid w:val="00CE6FB9"/>
    <w:rsid w:val="00CF369F"/>
    <w:rsid w:val="00D026AD"/>
    <w:rsid w:val="00D274EE"/>
    <w:rsid w:val="00D302CC"/>
    <w:rsid w:val="00D31276"/>
    <w:rsid w:val="00D359D6"/>
    <w:rsid w:val="00D472EB"/>
    <w:rsid w:val="00D5393B"/>
    <w:rsid w:val="00D72A18"/>
    <w:rsid w:val="00D94EF5"/>
    <w:rsid w:val="00DB2AC2"/>
    <w:rsid w:val="00DB5515"/>
    <w:rsid w:val="00DB741E"/>
    <w:rsid w:val="00DC638C"/>
    <w:rsid w:val="00DD025B"/>
    <w:rsid w:val="00DD7E28"/>
    <w:rsid w:val="00DF054F"/>
    <w:rsid w:val="00DF5202"/>
    <w:rsid w:val="00E060F5"/>
    <w:rsid w:val="00E20126"/>
    <w:rsid w:val="00E255BD"/>
    <w:rsid w:val="00E64118"/>
    <w:rsid w:val="00E65423"/>
    <w:rsid w:val="00E877EE"/>
    <w:rsid w:val="00E97EDE"/>
    <w:rsid w:val="00EB1D35"/>
    <w:rsid w:val="00EB6A2E"/>
    <w:rsid w:val="00EC0AAE"/>
    <w:rsid w:val="00EE03BD"/>
    <w:rsid w:val="00EE065D"/>
    <w:rsid w:val="00EF67DC"/>
    <w:rsid w:val="00EF6A16"/>
    <w:rsid w:val="00F10D22"/>
    <w:rsid w:val="00F256B2"/>
    <w:rsid w:val="00F40F4E"/>
    <w:rsid w:val="00F51CE0"/>
    <w:rsid w:val="00F52431"/>
    <w:rsid w:val="00F57E83"/>
    <w:rsid w:val="00F67A3D"/>
    <w:rsid w:val="00F91DFF"/>
    <w:rsid w:val="00FB7227"/>
    <w:rsid w:val="00FC2190"/>
    <w:rsid w:val="00FD45B6"/>
    <w:rsid w:val="00FE5F3C"/>
    <w:rsid w:val="00FF32D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2A0A3"/>
  <w15:chartTrackingRefBased/>
  <w15:docId w15:val="{D5CFF17B-7086-4A86-9922-DF23769EC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34"/>
    <w:pPr>
      <w:spacing w:line="360" w:lineRule="auto"/>
    </w:pPr>
    <w:rPr>
      <w:rFonts w:ascii="Times New Roman" w:hAnsi="Times New Roman"/>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footnote"/>
    <w:uiPriority w:val="1"/>
    <w:qFormat/>
    <w:rsid w:val="004E2F34"/>
    <w:pPr>
      <w:spacing w:after="0" w:line="240" w:lineRule="auto"/>
      <w:jc w:val="both"/>
    </w:pPr>
    <w:rPr>
      <w:rFonts w:ascii="Times New Roman" w:hAnsi="Times New Roman"/>
      <w:sz w:val="20"/>
      <w:lang w:val="en-GB"/>
    </w:rPr>
  </w:style>
  <w:style w:type="paragraph" w:styleId="FootnoteText">
    <w:name w:val="footnote text"/>
    <w:basedOn w:val="Normal"/>
    <w:link w:val="FootnoteTextChar"/>
    <w:uiPriority w:val="99"/>
    <w:semiHidden/>
    <w:unhideWhenUsed/>
    <w:rsid w:val="00880D5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0D51"/>
    <w:rPr>
      <w:rFonts w:ascii="Times New Roman" w:hAnsi="Times New Roman"/>
      <w:sz w:val="20"/>
      <w:szCs w:val="20"/>
      <w:lang w:val="en-GB"/>
    </w:rPr>
  </w:style>
  <w:style w:type="character" w:styleId="FootnoteReference">
    <w:name w:val="footnote reference"/>
    <w:basedOn w:val="DefaultParagraphFont"/>
    <w:uiPriority w:val="99"/>
    <w:semiHidden/>
    <w:unhideWhenUsed/>
    <w:rsid w:val="00880D51"/>
    <w:rPr>
      <w:vertAlign w:val="superscript"/>
    </w:rPr>
  </w:style>
  <w:style w:type="paragraph" w:styleId="ListParagraph">
    <w:name w:val="List Paragraph"/>
    <w:basedOn w:val="Normal"/>
    <w:uiPriority w:val="34"/>
    <w:qFormat/>
    <w:rsid w:val="006D0C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891963">
      <w:bodyDiv w:val="1"/>
      <w:marLeft w:val="0"/>
      <w:marRight w:val="0"/>
      <w:marTop w:val="0"/>
      <w:marBottom w:val="0"/>
      <w:divBdr>
        <w:top w:val="none" w:sz="0" w:space="0" w:color="auto"/>
        <w:left w:val="none" w:sz="0" w:space="0" w:color="auto"/>
        <w:bottom w:val="none" w:sz="0" w:space="0" w:color="auto"/>
        <w:right w:val="none" w:sz="0" w:space="0" w:color="auto"/>
      </w:divBdr>
    </w:div>
    <w:div w:id="1628007088">
      <w:bodyDiv w:val="1"/>
      <w:marLeft w:val="0"/>
      <w:marRight w:val="0"/>
      <w:marTop w:val="0"/>
      <w:marBottom w:val="0"/>
      <w:divBdr>
        <w:top w:val="none" w:sz="0" w:space="0" w:color="auto"/>
        <w:left w:val="none" w:sz="0" w:space="0" w:color="auto"/>
        <w:bottom w:val="none" w:sz="0" w:space="0" w:color="auto"/>
        <w:right w:val="none" w:sz="0" w:space="0" w:color="auto"/>
      </w:divBdr>
      <w:divsChild>
        <w:div w:id="769007033">
          <w:marLeft w:val="0"/>
          <w:marRight w:val="0"/>
          <w:marTop w:val="0"/>
          <w:marBottom w:val="0"/>
          <w:divBdr>
            <w:top w:val="none" w:sz="0" w:space="0" w:color="auto"/>
            <w:left w:val="none" w:sz="0" w:space="0" w:color="auto"/>
            <w:bottom w:val="none" w:sz="0" w:space="0" w:color="auto"/>
            <w:right w:val="none" w:sz="0" w:space="0" w:color="auto"/>
          </w:divBdr>
          <w:divsChild>
            <w:div w:id="32709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0AB32C-90E1-43DF-9574-80F346628DC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1982</Words>
  <Characters>11303</Characters>
  <Application>Microsoft Office Word</Application>
  <DocSecurity>0</DocSecurity>
  <Lines>94</Lines>
  <Paragraphs>26</Paragraphs>
  <ScaleCrop>false</ScaleCrop>
  <Company/>
  <LinksUpToDate>false</LinksUpToDate>
  <CharactersWithSpaces>13259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Geetanjali Virmani</dc:creator>
  <cp:keywords/>
  <dc:description/>
  <cp:lastModifiedBy>lavanya gupta</cp:lastModifiedBy>
  <cp:revision>2</cp:revision>
  <dcterms:created xsi:type="dcterms:W3CDTF">2024-01-25T05:59:00Z</dcterms:created>
  <dcterms:modified xsi:type="dcterms:W3CDTF">2024-01-25T05:59:00Z</dcterms:modified>
</cp:coreProperties>
</file>