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B1AB9" w:rsidRDefault="00000000" w:rsidP="00A504EE">
      <w:pPr>
        <w:spacing w:line="360" w:lineRule="auto"/>
        <w:jc w:val="cente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COMMUNITY SERVICE SENTENCES: DOES IT SERVE THE COMMUNITY?</w:t>
      </w:r>
    </w:p>
    <w:p w14:paraId="00000002" w14:textId="77777777" w:rsidR="00FB1AB9" w:rsidRDefault="00FB1AB9" w:rsidP="00A504EE">
      <w:pPr>
        <w:spacing w:line="360" w:lineRule="auto"/>
        <w:jc w:val="both"/>
        <w:rPr>
          <w:rFonts w:ascii="Times New Roman" w:eastAsia="Times New Roman" w:hAnsi="Times New Roman" w:cs="Times New Roman"/>
          <w:sz w:val="24"/>
          <w:szCs w:val="24"/>
          <w:u w:val="single"/>
        </w:rPr>
      </w:pPr>
    </w:p>
    <w:p w14:paraId="00000003" w14:textId="77777777" w:rsidR="00FB1AB9" w:rsidRDefault="00000000" w:rsidP="00A504EE">
      <w:pPr>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INTRODUCTION</w:t>
      </w:r>
    </w:p>
    <w:p w14:paraId="00000004" w14:textId="77777777" w:rsidR="00FB1AB9" w:rsidRDefault="00000000" w:rsidP="00A504EE">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Indian parliament bids farewell to the draconian criminal laws steeped with colonial influence by passing the 3 criminal reform bills namely, “The </w:t>
      </w:r>
      <w:proofErr w:type="spellStart"/>
      <w:r>
        <w:rPr>
          <w:rFonts w:ascii="Times New Roman" w:eastAsia="Times New Roman" w:hAnsi="Times New Roman" w:cs="Times New Roman"/>
          <w:sz w:val="24"/>
          <w:szCs w:val="24"/>
        </w:rPr>
        <w:t>Bharatiya</w:t>
      </w:r>
      <w:proofErr w:type="spellEnd"/>
      <w:r>
        <w:rPr>
          <w:rFonts w:ascii="Times New Roman" w:eastAsia="Times New Roman" w:hAnsi="Times New Roman" w:cs="Times New Roman"/>
          <w:sz w:val="24"/>
          <w:szCs w:val="24"/>
        </w:rPr>
        <w:t xml:space="preserve"> Nyaya (second) Sanhita”, which seeks to replace the Indian Penal Code, 1860, “The </w:t>
      </w:r>
      <w:proofErr w:type="spellStart"/>
      <w:r>
        <w:rPr>
          <w:rFonts w:ascii="Times New Roman" w:eastAsia="Times New Roman" w:hAnsi="Times New Roman" w:cs="Times New Roman"/>
          <w:sz w:val="24"/>
          <w:szCs w:val="24"/>
        </w:rPr>
        <w:t>Bharatiya</w:t>
      </w:r>
      <w:proofErr w:type="spellEnd"/>
      <w:r>
        <w:rPr>
          <w:rFonts w:ascii="Times New Roman" w:eastAsia="Times New Roman" w:hAnsi="Times New Roman" w:cs="Times New Roman"/>
          <w:sz w:val="24"/>
          <w:szCs w:val="24"/>
        </w:rPr>
        <w:t xml:space="preserve"> Nagarik </w:t>
      </w:r>
      <w:proofErr w:type="spellStart"/>
      <w:r>
        <w:rPr>
          <w:rFonts w:ascii="Times New Roman" w:eastAsia="Times New Roman" w:hAnsi="Times New Roman" w:cs="Times New Roman"/>
          <w:sz w:val="24"/>
          <w:szCs w:val="24"/>
        </w:rPr>
        <w:t>Surakshit</w:t>
      </w:r>
      <w:proofErr w:type="spellEnd"/>
      <w:r>
        <w:rPr>
          <w:rFonts w:ascii="Times New Roman" w:eastAsia="Times New Roman" w:hAnsi="Times New Roman" w:cs="Times New Roman"/>
          <w:sz w:val="24"/>
          <w:szCs w:val="24"/>
        </w:rPr>
        <w:t xml:space="preserve"> (second) Sanhita'' which seeks to replace the Code of Criminal Procedure,1973 and “The </w:t>
      </w:r>
      <w:proofErr w:type="spellStart"/>
      <w:r>
        <w:rPr>
          <w:rFonts w:ascii="Times New Roman" w:eastAsia="Times New Roman" w:hAnsi="Times New Roman" w:cs="Times New Roman"/>
          <w:sz w:val="24"/>
          <w:szCs w:val="24"/>
        </w:rPr>
        <w:t>Bharatiya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Sakshya</w:t>
      </w:r>
      <w:proofErr w:type="spellEnd"/>
      <w:r>
        <w:rPr>
          <w:rFonts w:ascii="Times New Roman" w:eastAsia="Times New Roman" w:hAnsi="Times New Roman" w:cs="Times New Roman"/>
          <w:sz w:val="24"/>
          <w:szCs w:val="24"/>
        </w:rPr>
        <w:t xml:space="preserve"> (second) Sanhita'' which seeks to replace the Indian Evidence Act, 1872. The three Criminal Reform Bills were introduced by the Home Minister, Amit Shah, in the Monsoon session of the parliament which was later referred to the Home Affairs Standing committee for its reports on the proposed bills. On December 12th ,2023, the Bills were reintroduced after incorporating all the proposed changes and was unanimously passed by the Lok Sabha through a voice vote on 20th December, 2023.</w:t>
      </w:r>
    </w:p>
    <w:p w14:paraId="00000005" w14:textId="77777777" w:rsidR="00FB1AB9" w:rsidRDefault="00FB1AB9" w:rsidP="00A504EE">
      <w:pPr>
        <w:spacing w:line="360" w:lineRule="auto"/>
        <w:ind w:left="720"/>
        <w:jc w:val="both"/>
        <w:rPr>
          <w:rFonts w:ascii="Times New Roman" w:eastAsia="Times New Roman" w:hAnsi="Times New Roman" w:cs="Times New Roman"/>
          <w:sz w:val="24"/>
          <w:szCs w:val="24"/>
        </w:rPr>
      </w:pPr>
    </w:p>
    <w:p w14:paraId="00000006" w14:textId="77777777" w:rsidR="00FB1AB9" w:rsidRDefault="00000000" w:rsidP="00A504EE">
      <w:pPr>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BHARATIYA NYAYA SANHITA: AN OVERVIEW </w:t>
      </w:r>
    </w:p>
    <w:p w14:paraId="00000007" w14:textId="77777777" w:rsidR="00FB1AB9" w:rsidRDefault="00000000" w:rsidP="00A504EE">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proofErr w:type="spellStart"/>
      <w:r>
        <w:rPr>
          <w:rFonts w:ascii="Times New Roman" w:eastAsia="Times New Roman" w:hAnsi="Times New Roman" w:cs="Times New Roman"/>
          <w:sz w:val="24"/>
          <w:szCs w:val="24"/>
        </w:rPr>
        <w:t>Bharatiya</w:t>
      </w:r>
      <w:proofErr w:type="spellEnd"/>
      <w:r>
        <w:rPr>
          <w:rFonts w:ascii="Times New Roman" w:eastAsia="Times New Roman" w:hAnsi="Times New Roman" w:cs="Times New Roman"/>
          <w:sz w:val="24"/>
          <w:szCs w:val="24"/>
        </w:rPr>
        <w:t xml:space="preserve"> Nyaya Sanhita Bill 2023 was passed to replace the penal code that was plagued by colonial influence, and revolutionises the approach towards the criminal justice system, shifting its focus from punishment and deterrence to justice and reformation</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The changes involve more than a mere re-arrangement of sections and branches out to adding new offences such as organised crime, petty organised crime, mob lynching, along with numerous others, the addition of Chapter V which organises all the offences against women and children, which were earlier spread out under various other chapters, and a very first for the nation, which is “community service” as a reformative punishment for 6 different offences. It paves the way for a system that places the citizen at the centre of the criminal justice system. The decriminalisation of the attempt to suicide, the criminalisation of the marital rape in case of minor wives and the inclusion of transgender in the definition of gender, reflects the progressive nature of the new criminal jurisprudence. </w:t>
      </w:r>
    </w:p>
    <w:p w14:paraId="00000008" w14:textId="77777777" w:rsidR="00FB1AB9" w:rsidRDefault="00FB1AB9" w:rsidP="00A504EE">
      <w:pPr>
        <w:spacing w:line="360" w:lineRule="auto"/>
        <w:ind w:left="720"/>
        <w:jc w:val="both"/>
        <w:rPr>
          <w:rFonts w:ascii="Times New Roman" w:eastAsia="Times New Roman" w:hAnsi="Times New Roman" w:cs="Times New Roman"/>
          <w:sz w:val="24"/>
          <w:szCs w:val="24"/>
        </w:rPr>
      </w:pPr>
    </w:p>
    <w:p w14:paraId="00000009" w14:textId="77777777" w:rsidR="00FB1AB9" w:rsidRDefault="00000000" w:rsidP="00A504EE">
      <w:pPr>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COMMUNITY SERVICE: REFORMATIVE OR LENIENT </w:t>
      </w:r>
    </w:p>
    <w:p w14:paraId="0000000A" w14:textId="77777777" w:rsidR="00FB1AB9" w:rsidRDefault="00000000" w:rsidP="00A504EE">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Community service was introduced as reformative punishment in the second draft of the </w:t>
      </w:r>
      <w:proofErr w:type="spellStart"/>
      <w:r>
        <w:rPr>
          <w:rFonts w:ascii="Times New Roman" w:eastAsia="Times New Roman" w:hAnsi="Times New Roman" w:cs="Times New Roman"/>
          <w:sz w:val="24"/>
          <w:szCs w:val="24"/>
        </w:rPr>
        <w:t>Bharatiya</w:t>
      </w:r>
      <w:proofErr w:type="spellEnd"/>
      <w:r>
        <w:rPr>
          <w:rFonts w:ascii="Times New Roman" w:eastAsia="Times New Roman" w:hAnsi="Times New Roman" w:cs="Times New Roman"/>
          <w:sz w:val="24"/>
          <w:szCs w:val="24"/>
        </w:rPr>
        <w:t xml:space="preserve"> Nyaya Sanhita Act, 2023 </w:t>
      </w:r>
      <w:proofErr w:type="gramStart"/>
      <w:r>
        <w:rPr>
          <w:rFonts w:ascii="Times New Roman" w:eastAsia="Times New Roman" w:hAnsi="Times New Roman" w:cs="Times New Roman"/>
          <w:sz w:val="24"/>
          <w:szCs w:val="24"/>
        </w:rPr>
        <w:t>( herein</w:t>
      </w:r>
      <w:proofErr w:type="gramEnd"/>
      <w:r>
        <w:rPr>
          <w:rFonts w:ascii="Times New Roman" w:eastAsia="Times New Roman" w:hAnsi="Times New Roman" w:cs="Times New Roman"/>
          <w:sz w:val="24"/>
          <w:szCs w:val="24"/>
        </w:rPr>
        <w:t xml:space="preserve"> referred to as “the Act”) which was reintroduced in the parliament on December 12th after being withdrawn on December 9th, 2023. Section 4</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xml:space="preserve"> of the Act provides for community service as a punishment under chapter II of the Act. Section 8</w:t>
      </w:r>
      <w:r>
        <w:rPr>
          <w:rFonts w:ascii="Times New Roman" w:eastAsia="Times New Roman" w:hAnsi="Times New Roman" w:cs="Times New Roman"/>
          <w:sz w:val="24"/>
          <w:szCs w:val="24"/>
          <w:vertAlign w:val="superscript"/>
        </w:rPr>
        <w:footnoteReference w:id="3"/>
      </w:r>
      <w:r>
        <w:rPr>
          <w:rFonts w:ascii="Times New Roman" w:eastAsia="Times New Roman" w:hAnsi="Times New Roman" w:cs="Times New Roman"/>
          <w:sz w:val="24"/>
          <w:szCs w:val="24"/>
        </w:rPr>
        <w:t xml:space="preserve"> which provides for the “Amount of fine, liability in default of payment of fine, etc.” states that:</w:t>
      </w:r>
    </w:p>
    <w:p w14:paraId="0000000B" w14:textId="77777777" w:rsidR="00FB1AB9" w:rsidRDefault="00FB1AB9" w:rsidP="00A504EE">
      <w:pPr>
        <w:spacing w:line="360" w:lineRule="auto"/>
        <w:ind w:left="720"/>
        <w:jc w:val="both"/>
        <w:rPr>
          <w:rFonts w:ascii="Times New Roman" w:eastAsia="Times New Roman" w:hAnsi="Times New Roman" w:cs="Times New Roman"/>
          <w:sz w:val="24"/>
          <w:szCs w:val="24"/>
        </w:rPr>
      </w:pPr>
    </w:p>
    <w:p w14:paraId="0000000C" w14:textId="77777777" w:rsidR="00FB1AB9" w:rsidRDefault="00000000" w:rsidP="00A504EE">
      <w:pPr>
        <w:spacing w:line="360" w:lineRule="auto"/>
        <w:ind w:left="7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“(4) The imprisonment which the Court imposes in default of payment of a fine or in default of community service may be of any description to which the offender might have been sentenced for the offence. </w:t>
      </w:r>
    </w:p>
    <w:p w14:paraId="0000000D" w14:textId="77777777" w:rsidR="00FB1AB9" w:rsidRDefault="00FB1AB9" w:rsidP="00A504EE">
      <w:pPr>
        <w:spacing w:line="360" w:lineRule="auto"/>
        <w:ind w:left="720"/>
        <w:jc w:val="both"/>
        <w:rPr>
          <w:rFonts w:ascii="Times New Roman" w:eastAsia="Times New Roman" w:hAnsi="Times New Roman" w:cs="Times New Roman"/>
          <w:i/>
          <w:sz w:val="24"/>
          <w:szCs w:val="24"/>
        </w:rPr>
      </w:pPr>
    </w:p>
    <w:p w14:paraId="0000000E" w14:textId="0E34CDF5" w:rsidR="00FB1AB9" w:rsidRDefault="00000000" w:rsidP="00A504EE">
      <w:pPr>
        <w:spacing w:line="360" w:lineRule="auto"/>
        <w:ind w:left="7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(5) If the offence is punishable with fine or community service, the imprisonment which the Court imposes in default of payment of the fine or in default of community service shall be simple, and the term for which the Court directs the offender to be imprisoned, in default of payment of fine or in default of community service, shall not exceed for any term not </w:t>
      </w:r>
      <w:r w:rsidR="00A504EE">
        <w:rPr>
          <w:rFonts w:ascii="Times New Roman" w:eastAsia="Times New Roman" w:hAnsi="Times New Roman" w:cs="Times New Roman"/>
          <w:i/>
          <w:sz w:val="24"/>
          <w:szCs w:val="24"/>
        </w:rPr>
        <w:t>exceeding, —</w:t>
      </w:r>
      <w:r>
        <w:rPr>
          <w:rFonts w:ascii="Times New Roman" w:eastAsia="Times New Roman" w:hAnsi="Times New Roman" w:cs="Times New Roman"/>
          <w:i/>
          <w:sz w:val="24"/>
          <w:szCs w:val="24"/>
        </w:rPr>
        <w:t xml:space="preserve"> </w:t>
      </w:r>
    </w:p>
    <w:p w14:paraId="0000000F" w14:textId="77777777" w:rsidR="00FB1AB9" w:rsidRDefault="00FB1AB9" w:rsidP="00A504EE">
      <w:pPr>
        <w:spacing w:line="360" w:lineRule="auto"/>
        <w:ind w:left="720"/>
        <w:jc w:val="both"/>
        <w:rPr>
          <w:rFonts w:ascii="Times New Roman" w:eastAsia="Times New Roman" w:hAnsi="Times New Roman" w:cs="Times New Roman"/>
          <w:i/>
          <w:sz w:val="24"/>
          <w:szCs w:val="24"/>
        </w:rPr>
      </w:pPr>
    </w:p>
    <w:p w14:paraId="00000010" w14:textId="77777777" w:rsidR="00FB1AB9" w:rsidRDefault="00000000" w:rsidP="00A504EE">
      <w:pPr>
        <w:spacing w:line="360" w:lineRule="auto"/>
        <w:ind w:left="7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 two months when the amount of the fine shall not exceed five thousand rupees; and </w:t>
      </w:r>
    </w:p>
    <w:p w14:paraId="00000011" w14:textId="77777777" w:rsidR="00FB1AB9" w:rsidRDefault="00FB1AB9" w:rsidP="00A504EE">
      <w:pPr>
        <w:spacing w:line="360" w:lineRule="auto"/>
        <w:ind w:left="720"/>
        <w:jc w:val="both"/>
        <w:rPr>
          <w:rFonts w:ascii="Times New Roman" w:eastAsia="Times New Roman" w:hAnsi="Times New Roman" w:cs="Times New Roman"/>
          <w:sz w:val="24"/>
          <w:szCs w:val="24"/>
        </w:rPr>
      </w:pPr>
    </w:p>
    <w:p w14:paraId="00000012" w14:textId="77777777" w:rsidR="00FB1AB9" w:rsidRDefault="00000000" w:rsidP="00A504EE">
      <w:pPr>
        <w:spacing w:line="360" w:lineRule="auto"/>
        <w:ind w:left="7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(b) four months when the amount of the fine shall not exceed ten thousand rupees, and for any term not exceeding one year in any other case.”</w:t>
      </w:r>
    </w:p>
    <w:p w14:paraId="00000013" w14:textId="77777777" w:rsidR="00FB1AB9" w:rsidRDefault="00FB1AB9" w:rsidP="00A504EE">
      <w:pPr>
        <w:spacing w:line="360" w:lineRule="auto"/>
        <w:ind w:left="720"/>
        <w:jc w:val="both"/>
        <w:rPr>
          <w:rFonts w:ascii="Times New Roman" w:eastAsia="Times New Roman" w:hAnsi="Times New Roman" w:cs="Times New Roman"/>
          <w:i/>
          <w:sz w:val="24"/>
          <w:szCs w:val="24"/>
        </w:rPr>
      </w:pPr>
    </w:p>
    <w:p w14:paraId="00000014" w14:textId="77777777" w:rsidR="00FB1AB9" w:rsidRDefault="00000000" w:rsidP="00A504EE">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holds that in the circumstance of any default in the payment of any fine or in any non-performance of the community service meted out by the court for the respective offence, the offender shall be sentenced with imprisonment and sub section (5) proceeds to define the type of imprisonment and the term for which the offender shall serve the same. It states that the offender shall be liable for simple imprisonment for a term not exceeding two months when the amount of fine does not exceed five thousand Rupees and a term not </w:t>
      </w:r>
      <w:r>
        <w:rPr>
          <w:rFonts w:ascii="Times New Roman" w:eastAsia="Times New Roman" w:hAnsi="Times New Roman" w:cs="Times New Roman"/>
          <w:sz w:val="24"/>
          <w:szCs w:val="24"/>
        </w:rPr>
        <w:lastRenderedPageBreak/>
        <w:t>exceeding four months when the amount of fine does not exceed ten thousand Rupees and for any term not exceeding one year under any other circumstance.</w:t>
      </w:r>
    </w:p>
    <w:p w14:paraId="00000015" w14:textId="77777777" w:rsidR="00FB1AB9" w:rsidRDefault="00FB1AB9" w:rsidP="00A504EE">
      <w:pPr>
        <w:spacing w:line="360" w:lineRule="auto"/>
        <w:ind w:left="720"/>
        <w:jc w:val="both"/>
        <w:rPr>
          <w:rFonts w:ascii="Times New Roman" w:eastAsia="Times New Roman" w:hAnsi="Times New Roman" w:cs="Times New Roman"/>
          <w:sz w:val="24"/>
          <w:szCs w:val="24"/>
        </w:rPr>
      </w:pPr>
    </w:p>
    <w:p w14:paraId="00000016"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Community service has been put forth as a punishment for six petty offences, namely, </w:t>
      </w:r>
      <w:r>
        <w:rPr>
          <w:rFonts w:ascii="Times New Roman" w:eastAsia="Times New Roman" w:hAnsi="Times New Roman" w:cs="Times New Roman"/>
          <w:sz w:val="24"/>
          <w:szCs w:val="24"/>
          <w:highlight w:val="white"/>
        </w:rPr>
        <w:t xml:space="preserve">non-appearance in response to a proclamation, attempt to commit suicide to compel or restraint exercise of lawful power of public servant, petty theft on return of theft money, misconduct in public by a drunken person, defamation, and public servant unlawfully engaging in trade. The intent of the legislature while initiating community service as punishment in the Indian criminal justice system is to rehabilitate the offender rather than exposing them to the harsh, psychologically damaging environment that prevails in the prisons and to further ease the overcrowding that poses a current problem.  Apart from being a leading factor that contributes to the overcrowding of prisons, sentencing or detaining mild offenders make it quite impossible to separate them from offenders who have committed serious crimes, which may exacerbate the possibility of the petty offenders repeating the offences or committing far more serious ones. Towards the end of this ordeal, the mild offender is left with a permanent scar on both his psyche and his social standing in society. </w:t>
      </w:r>
    </w:p>
    <w:p w14:paraId="00000017"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18"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Adopting community service as an alternative reformative measure, ensures that the offender is effectively rehabilitated while being in constant contact with the society. Being connected to society eliminates the detrimental emotional toll which occurs as a result of being disconnected and isolated from the general public. By providing offenders with an opportunity to reform in the community, community service programmes also protect the family by guaranteeing that offenders take care of their families while serving their sentences.</w:t>
      </w:r>
      <w:r>
        <w:rPr>
          <w:rFonts w:ascii="Times New Roman" w:eastAsia="Times New Roman" w:hAnsi="Times New Roman" w:cs="Times New Roman"/>
          <w:sz w:val="24"/>
          <w:szCs w:val="24"/>
          <w:highlight w:val="white"/>
          <w:vertAlign w:val="superscript"/>
        </w:rPr>
        <w:footnoteReference w:id="4"/>
      </w:r>
    </w:p>
    <w:p w14:paraId="00000019"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1A"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It serves a dual purpose, the primary one being reforming the offender and secondary one being the beneficial nature of community service. However, at this junction, it is crucial to consider whether the reduction in punishment to a community sentence actually serves its intended purpose. While the intention of the legislature remains centred on reforming petty </w:t>
      </w:r>
      <w:r>
        <w:rPr>
          <w:rFonts w:ascii="Times New Roman" w:eastAsia="Times New Roman" w:hAnsi="Times New Roman" w:cs="Times New Roman"/>
          <w:sz w:val="24"/>
          <w:szCs w:val="24"/>
          <w:highlight w:val="white"/>
        </w:rPr>
        <w:lastRenderedPageBreak/>
        <w:t xml:space="preserve">offenders rather than deterring them with the looming fear of imprisonment, one has to question whether offenders would actually be reformed. It is frequently argued that community sentences enable the offender to remain in society which provides access to commit more crimes with not much fear as the punishment is not as harsh as imprisonment and further, it has higher rates of recidivism. Another pivotal aspect to consider is whether the conditions set out in community service punishment would be adhered to and would it be possible to constantly supervise and monitor the same. When taking into account the disadvantages, it is apparent that community service is one that has to be properly implemented for it to yield the benefits. </w:t>
      </w:r>
    </w:p>
    <w:p w14:paraId="0000001B"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1C" w14:textId="77777777" w:rsidR="00FB1AB9" w:rsidRDefault="00000000" w:rsidP="00A504EE">
      <w:pPr>
        <w:numPr>
          <w:ilvl w:val="0"/>
          <w:numId w:val="1"/>
        </w:num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HISTORY OF COMMUNITY SERVICE IN INDIA:</w:t>
      </w:r>
    </w:p>
    <w:p w14:paraId="0000001D"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 xml:space="preserve">“Over the period of time and in the name of reforms many alternatives to custodial sentences have been introduced in the Indian Criminal justice system over a period of time like – use of open prisons, parole, probation, rehabilitation </w:t>
      </w:r>
      <w:proofErr w:type="spellStart"/>
      <w:r>
        <w:rPr>
          <w:rFonts w:ascii="Times New Roman" w:eastAsia="Times New Roman" w:hAnsi="Times New Roman" w:cs="Times New Roman"/>
          <w:i/>
          <w:sz w:val="24"/>
          <w:szCs w:val="24"/>
          <w:highlight w:val="white"/>
        </w:rPr>
        <w:t>centers</w:t>
      </w:r>
      <w:proofErr w:type="spellEnd"/>
      <w:r>
        <w:rPr>
          <w:rFonts w:ascii="Times New Roman" w:eastAsia="Times New Roman" w:hAnsi="Times New Roman" w:cs="Times New Roman"/>
          <w:i/>
          <w:sz w:val="24"/>
          <w:szCs w:val="24"/>
          <w:highlight w:val="white"/>
        </w:rPr>
        <w:t xml:space="preserve"> and etc., but Community sentences have not been given much importance.”</w:t>
      </w:r>
      <w:r>
        <w:rPr>
          <w:rFonts w:ascii="Times New Roman" w:eastAsia="Times New Roman" w:hAnsi="Times New Roman" w:cs="Times New Roman"/>
          <w:i/>
          <w:sz w:val="24"/>
          <w:szCs w:val="24"/>
          <w:highlight w:val="white"/>
          <w:vertAlign w:val="superscript"/>
        </w:rPr>
        <w:footnoteReference w:id="5"/>
      </w:r>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 xml:space="preserve"> While critically examining the history of community service in India, it is evident that it fails to have a concrete base in Indian criminal jurisprudence up until the introduction of the Juvenile Justice Act,2000</w:t>
      </w:r>
      <w:r>
        <w:rPr>
          <w:rFonts w:ascii="Times New Roman" w:eastAsia="Times New Roman" w:hAnsi="Times New Roman" w:cs="Times New Roman"/>
          <w:sz w:val="24"/>
          <w:szCs w:val="24"/>
          <w:highlight w:val="white"/>
          <w:vertAlign w:val="superscript"/>
        </w:rPr>
        <w:footnoteReference w:id="6"/>
      </w:r>
      <w:r>
        <w:rPr>
          <w:rFonts w:ascii="Times New Roman" w:eastAsia="Times New Roman" w:hAnsi="Times New Roman" w:cs="Times New Roman"/>
          <w:sz w:val="24"/>
          <w:szCs w:val="24"/>
          <w:highlight w:val="white"/>
        </w:rPr>
        <w:t>, which included the concept of community service in Section 15 (c). It is presently available in Section 18 (1) (c) of the Juvenile Justice Act, which provides that the juveniles shall mandatorily perform community service if the Justice Board deems it fit.</w:t>
      </w:r>
      <w:r>
        <w:rPr>
          <w:rFonts w:ascii="Times New Roman" w:eastAsia="Times New Roman" w:hAnsi="Times New Roman" w:cs="Times New Roman"/>
          <w:sz w:val="24"/>
          <w:szCs w:val="24"/>
          <w:highlight w:val="white"/>
          <w:vertAlign w:val="superscript"/>
        </w:rPr>
        <w:footnoteReference w:id="7"/>
      </w:r>
      <w:r>
        <w:rPr>
          <w:rFonts w:ascii="Times New Roman" w:eastAsia="Times New Roman" w:hAnsi="Times New Roman" w:cs="Times New Roman"/>
          <w:sz w:val="24"/>
          <w:szCs w:val="24"/>
          <w:highlight w:val="white"/>
        </w:rPr>
        <w:t xml:space="preserve"> </w:t>
      </w:r>
    </w:p>
    <w:p w14:paraId="0000001E"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1F"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Prior to the conception and passing of the Act, community service as an alternative to custodial sentences remained as a recommendation initially given under the Indian Penal Code Amendment Bill of 1978,</w:t>
      </w:r>
      <w:r>
        <w:rPr>
          <w:rFonts w:ascii="Times New Roman" w:eastAsia="Times New Roman" w:hAnsi="Times New Roman" w:cs="Times New Roman"/>
          <w:sz w:val="24"/>
          <w:szCs w:val="24"/>
          <w:highlight w:val="white"/>
          <w:vertAlign w:val="superscript"/>
        </w:rPr>
        <w:footnoteReference w:id="8"/>
      </w:r>
      <w:r>
        <w:rPr>
          <w:rFonts w:ascii="Times New Roman" w:eastAsia="Times New Roman" w:hAnsi="Times New Roman" w:cs="Times New Roman"/>
          <w:sz w:val="24"/>
          <w:szCs w:val="24"/>
          <w:highlight w:val="white"/>
        </w:rPr>
        <w:t xml:space="preserve"> under clause 18 which sought for the substitution of Section 53.  It provided for the punishment of community service under offences that normally would entail less than three years of imprisonment. It detailed that the service would range from forty to thousand hours for offenders who attained majority and </w:t>
      </w:r>
      <w:r>
        <w:rPr>
          <w:rFonts w:ascii="Times New Roman" w:eastAsia="Times New Roman" w:hAnsi="Times New Roman" w:cs="Times New Roman"/>
          <w:sz w:val="24"/>
          <w:szCs w:val="24"/>
          <w:highlight w:val="white"/>
        </w:rPr>
        <w:lastRenderedPageBreak/>
        <w:t>consented to the same. However, it remained as an effort to introduce community service due to the dissolution of the Lok Sabha which resulted in the bill lapsing.</w:t>
      </w:r>
      <w:r>
        <w:rPr>
          <w:rFonts w:ascii="Times New Roman" w:eastAsia="Times New Roman" w:hAnsi="Times New Roman" w:cs="Times New Roman"/>
          <w:sz w:val="24"/>
          <w:szCs w:val="24"/>
          <w:highlight w:val="white"/>
          <w:vertAlign w:val="superscript"/>
        </w:rPr>
        <w:footnoteReference w:id="9"/>
      </w:r>
      <w:r>
        <w:rPr>
          <w:rFonts w:ascii="Times New Roman" w:eastAsia="Times New Roman" w:hAnsi="Times New Roman" w:cs="Times New Roman"/>
          <w:sz w:val="24"/>
          <w:szCs w:val="24"/>
          <w:highlight w:val="white"/>
        </w:rPr>
        <w:t xml:space="preserve"> </w:t>
      </w:r>
    </w:p>
    <w:p w14:paraId="00000020"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21"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Later the 156th law Commission Report reiterated the same stance given in the Amendment Bill which was rejected on the grounds of impracticality of the punishment. According to the statement, community service is a relatively new idea that is strongly related to reformative theory. However, the Commission was more in favour of open-air jail systems and underlined their impracticality, as discussed in the workshops.</w:t>
      </w:r>
      <w:r>
        <w:rPr>
          <w:rFonts w:ascii="Times New Roman" w:eastAsia="Times New Roman" w:hAnsi="Times New Roman" w:cs="Times New Roman"/>
          <w:sz w:val="24"/>
          <w:szCs w:val="24"/>
          <w:highlight w:val="white"/>
          <w:vertAlign w:val="superscript"/>
        </w:rPr>
        <w:footnoteReference w:id="10"/>
      </w:r>
      <w:r>
        <w:rPr>
          <w:rFonts w:ascii="Times New Roman" w:eastAsia="Times New Roman" w:hAnsi="Times New Roman" w:cs="Times New Roman"/>
          <w:sz w:val="24"/>
          <w:szCs w:val="24"/>
          <w:highlight w:val="white"/>
        </w:rPr>
        <w:t xml:space="preserve"> Apart from the aforementioned Amendment Bill and Report, community service was recommended by the </w:t>
      </w:r>
      <w:proofErr w:type="spellStart"/>
      <w:r>
        <w:rPr>
          <w:rFonts w:ascii="Times New Roman" w:eastAsia="Times New Roman" w:hAnsi="Times New Roman" w:cs="Times New Roman"/>
          <w:sz w:val="24"/>
          <w:szCs w:val="24"/>
          <w:highlight w:val="white"/>
        </w:rPr>
        <w:t>Malimath</w:t>
      </w:r>
      <w:proofErr w:type="spellEnd"/>
      <w:r>
        <w:rPr>
          <w:rFonts w:ascii="Times New Roman" w:eastAsia="Times New Roman" w:hAnsi="Times New Roman" w:cs="Times New Roman"/>
          <w:sz w:val="24"/>
          <w:szCs w:val="24"/>
          <w:highlight w:val="white"/>
        </w:rPr>
        <w:t xml:space="preserve"> committee as a humane and efficient alternative to custodial punishments. </w:t>
      </w:r>
    </w:p>
    <w:p w14:paraId="00000022"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23"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Despite the lack of formal provisions for community service, the judiciary has played an active role in awarding community service sentences to offenders. In </w:t>
      </w:r>
      <w:r>
        <w:rPr>
          <w:rFonts w:ascii="Times New Roman" w:eastAsia="Times New Roman" w:hAnsi="Times New Roman" w:cs="Times New Roman"/>
          <w:i/>
          <w:sz w:val="24"/>
          <w:szCs w:val="24"/>
          <w:highlight w:val="white"/>
        </w:rPr>
        <w:t>Babu Singh vs State of Uttar Pradesh</w:t>
      </w:r>
      <w:r>
        <w:rPr>
          <w:rFonts w:ascii="Times New Roman" w:eastAsia="Times New Roman" w:hAnsi="Times New Roman" w:cs="Times New Roman"/>
          <w:sz w:val="24"/>
          <w:szCs w:val="24"/>
          <w:highlight w:val="white"/>
        </w:rPr>
        <w:t>,</w:t>
      </w:r>
      <w:r>
        <w:rPr>
          <w:rFonts w:ascii="Times New Roman" w:eastAsia="Times New Roman" w:hAnsi="Times New Roman" w:cs="Times New Roman"/>
          <w:i/>
          <w:sz w:val="24"/>
          <w:szCs w:val="24"/>
          <w:vertAlign w:val="superscript"/>
        </w:rPr>
        <w:footnoteReference w:id="11"/>
      </w:r>
      <w:r>
        <w:rPr>
          <w:rFonts w:ascii="Times New Roman" w:eastAsia="Times New Roman" w:hAnsi="Times New Roman" w:cs="Times New Roman"/>
          <w:sz w:val="24"/>
          <w:szCs w:val="24"/>
          <w:highlight w:val="white"/>
        </w:rPr>
        <w:t xml:space="preserve"> the Supreme court held:</w:t>
      </w:r>
    </w:p>
    <w:p w14:paraId="00000024"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25" w14:textId="77777777" w:rsidR="00FB1AB9" w:rsidRDefault="00000000" w:rsidP="00A504EE">
      <w:pPr>
        <w:spacing w:line="360" w:lineRule="auto"/>
        <w:ind w:left="7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“Fleeing justice must be forbidden but punitive harshness should be minimised. Restorative devices to redeem the man, even </w:t>
      </w:r>
      <w:proofErr w:type="spellStart"/>
      <w:r>
        <w:rPr>
          <w:rFonts w:ascii="Times New Roman" w:eastAsia="Times New Roman" w:hAnsi="Times New Roman" w:cs="Times New Roman"/>
          <w:i/>
          <w:sz w:val="24"/>
          <w:szCs w:val="24"/>
        </w:rPr>
        <w:t>through</w:t>
      </w:r>
      <w:proofErr w:type="spellEnd"/>
      <w:r>
        <w:rPr>
          <w:rFonts w:ascii="Times New Roman" w:eastAsia="Times New Roman" w:hAnsi="Times New Roman" w:cs="Times New Roman"/>
          <w:i/>
          <w:sz w:val="24"/>
          <w:szCs w:val="24"/>
        </w:rPr>
        <w:t xml:space="preserve"> community service, meditative drill, study classes or other resources should be innovated...”.</w:t>
      </w:r>
    </w:p>
    <w:p w14:paraId="00000026" w14:textId="77777777" w:rsidR="00FB1AB9" w:rsidRDefault="00FB1AB9" w:rsidP="00A504EE">
      <w:pPr>
        <w:spacing w:line="360" w:lineRule="auto"/>
        <w:ind w:left="720"/>
        <w:jc w:val="both"/>
        <w:rPr>
          <w:rFonts w:ascii="Times New Roman" w:eastAsia="Times New Roman" w:hAnsi="Times New Roman" w:cs="Times New Roman"/>
          <w:i/>
          <w:sz w:val="24"/>
          <w:szCs w:val="24"/>
        </w:rPr>
      </w:pPr>
    </w:p>
    <w:p w14:paraId="00000027" w14:textId="77777777" w:rsidR="00FB1AB9" w:rsidRDefault="00000000" w:rsidP="00A504EE">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Supreme Court in </w:t>
      </w:r>
      <w:r>
        <w:rPr>
          <w:rFonts w:ascii="Times New Roman" w:eastAsia="Times New Roman" w:hAnsi="Times New Roman" w:cs="Times New Roman"/>
          <w:i/>
          <w:sz w:val="24"/>
          <w:szCs w:val="24"/>
        </w:rPr>
        <w:t xml:space="preserve">State </w:t>
      </w:r>
      <w:proofErr w:type="spellStart"/>
      <w:r>
        <w:rPr>
          <w:rFonts w:ascii="Times New Roman" w:eastAsia="Times New Roman" w:hAnsi="Times New Roman" w:cs="Times New Roman"/>
          <w:i/>
          <w:sz w:val="24"/>
          <w:szCs w:val="24"/>
        </w:rPr>
        <w:t>Tr.P.S</w:t>
      </w:r>
      <w:proofErr w:type="spellEnd"/>
      <w:r>
        <w:rPr>
          <w:rFonts w:ascii="Times New Roman" w:eastAsia="Times New Roman" w:hAnsi="Times New Roman" w:cs="Times New Roman"/>
          <w:i/>
          <w:sz w:val="24"/>
          <w:szCs w:val="24"/>
        </w:rPr>
        <w:t>. Lodhi, New Delhi vs. Sanjeev Nanda</w:t>
      </w:r>
      <w:r>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footnoteReference w:id="12"/>
      </w:r>
      <w:r>
        <w:rPr>
          <w:rFonts w:ascii="Times New Roman" w:eastAsia="Times New Roman" w:hAnsi="Times New Roman" w:cs="Times New Roman"/>
          <w:sz w:val="24"/>
          <w:szCs w:val="24"/>
        </w:rPr>
        <w:t xml:space="preserve"> held </w:t>
      </w:r>
    </w:p>
    <w:p w14:paraId="00000028" w14:textId="77777777" w:rsidR="00FB1AB9" w:rsidRDefault="00000000" w:rsidP="00A504EE">
      <w:pPr>
        <w:spacing w:line="360" w:lineRule="auto"/>
        <w:ind w:left="7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“Conduct of the convicts will not only be appreciated by the community, it will also give a lot of solace to him, especially in a case where because of one’s action and inaction, human lives have been lost.”</w:t>
      </w:r>
    </w:p>
    <w:p w14:paraId="00000029" w14:textId="77777777" w:rsidR="00FB1AB9" w:rsidRDefault="00000000" w:rsidP="00A504EE">
      <w:pPr>
        <w:spacing w:line="360" w:lineRule="auto"/>
        <w:ind w:left="7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“The accused would do community service for two years which will be arranged by the Ministry of Social Justice and Empowerment within two months. On default, he will have to undergo simple imprisonment for two years.”</w:t>
      </w:r>
    </w:p>
    <w:p w14:paraId="0000002A" w14:textId="77777777" w:rsidR="00FB1AB9" w:rsidRDefault="00000000" w:rsidP="00A504EE">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w:t>
      </w:r>
      <w:r>
        <w:rPr>
          <w:rFonts w:ascii="Times New Roman" w:eastAsia="Times New Roman" w:hAnsi="Times New Roman" w:cs="Times New Roman"/>
          <w:i/>
          <w:sz w:val="24"/>
          <w:szCs w:val="24"/>
        </w:rPr>
        <w:t>Sunita Gandharva vs. State of Madhya Pradesh</w:t>
      </w:r>
      <w:r>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footnoteReference w:id="13"/>
      </w:r>
      <w:r>
        <w:rPr>
          <w:rFonts w:ascii="Times New Roman" w:eastAsia="Times New Roman" w:hAnsi="Times New Roman" w:cs="Times New Roman"/>
          <w:sz w:val="24"/>
          <w:szCs w:val="24"/>
        </w:rPr>
        <w:t xml:space="preserve"> the court reiterated the stance stating:</w:t>
      </w:r>
    </w:p>
    <w:p w14:paraId="0000002B" w14:textId="77777777" w:rsidR="00FB1AB9" w:rsidRDefault="00000000" w:rsidP="00A504EE">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
    <w:p w14:paraId="0000002C" w14:textId="77777777" w:rsidR="00FB1AB9" w:rsidRDefault="00000000" w:rsidP="00A504EE">
      <w:pPr>
        <w:spacing w:line="360" w:lineRule="auto"/>
        <w:ind w:left="720"/>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“...the social and the benefits and it can serve not only as an alternative to Post Trial but also to Pre Trial reforms and in fact inclusion of Service as Post Inquiry measure in the Section 18(1)(c)(2) of the Juvenile Justice (&amp; Care of Children) Act, 2015 indicates the importance of this concept.”</w:t>
      </w:r>
    </w:p>
    <w:p w14:paraId="0000002D" w14:textId="77777777" w:rsidR="00FB1AB9" w:rsidRDefault="00FB1AB9" w:rsidP="00A504EE">
      <w:pPr>
        <w:spacing w:line="360" w:lineRule="auto"/>
        <w:ind w:left="720"/>
        <w:jc w:val="both"/>
        <w:rPr>
          <w:rFonts w:ascii="Times New Roman" w:eastAsia="Times New Roman" w:hAnsi="Times New Roman" w:cs="Times New Roman"/>
          <w:i/>
          <w:sz w:val="24"/>
          <w:szCs w:val="24"/>
        </w:rPr>
      </w:pPr>
    </w:p>
    <w:p w14:paraId="0000002E" w14:textId="77777777" w:rsidR="00FB1AB9" w:rsidRDefault="00000000" w:rsidP="00A504EE">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2019, a doctor who attempted to commit murder at the age of 16 was ordered by the Supreme Court to plant 100 trees. The Delhi High Court ordered Swan Telecom promoter Shahid Usman </w:t>
      </w:r>
      <w:proofErr w:type="spellStart"/>
      <w:r>
        <w:rPr>
          <w:rFonts w:ascii="Times New Roman" w:eastAsia="Times New Roman" w:hAnsi="Times New Roman" w:cs="Times New Roman"/>
          <w:sz w:val="24"/>
          <w:szCs w:val="24"/>
        </w:rPr>
        <w:t>Balwa</w:t>
      </w:r>
      <w:proofErr w:type="spellEnd"/>
      <w:r>
        <w:rPr>
          <w:rFonts w:ascii="Times New Roman" w:eastAsia="Times New Roman" w:hAnsi="Times New Roman" w:cs="Times New Roman"/>
          <w:sz w:val="24"/>
          <w:szCs w:val="24"/>
        </w:rPr>
        <w:t xml:space="preserve"> and four other parties to plant 15,000 trees in February of the same year. The court noted that the parties had neglected to reply to an Enforcement Directorate appeal contesting their acquittal in the 2G case.</w:t>
      </w:r>
    </w:p>
    <w:p w14:paraId="0000002F" w14:textId="77777777" w:rsidR="00FB1AB9" w:rsidRDefault="00FB1AB9" w:rsidP="00A504EE">
      <w:pPr>
        <w:spacing w:line="360" w:lineRule="auto"/>
        <w:ind w:left="720"/>
        <w:jc w:val="both"/>
        <w:rPr>
          <w:rFonts w:ascii="Times New Roman" w:eastAsia="Times New Roman" w:hAnsi="Times New Roman" w:cs="Times New Roman"/>
          <w:sz w:val="24"/>
          <w:szCs w:val="24"/>
        </w:rPr>
      </w:pPr>
    </w:p>
    <w:p w14:paraId="00000030" w14:textId="77777777" w:rsidR="00FB1AB9" w:rsidRDefault="00000000" w:rsidP="00A504EE">
      <w:pPr>
        <w:spacing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Thus, community service as an alternative has been awarded at the discretion of the judges through the years and despite the lack of any formal provisions, is available when High courts exercise their powers under Section 482 of the Code of Criminal procedure to make any orders to meet the ends of justice.</w:t>
      </w:r>
      <w:r>
        <w:rPr>
          <w:rFonts w:ascii="Times New Roman" w:eastAsia="Times New Roman" w:hAnsi="Times New Roman" w:cs="Times New Roman"/>
          <w:sz w:val="24"/>
          <w:szCs w:val="24"/>
          <w:vertAlign w:val="superscript"/>
        </w:rPr>
        <w:footnoteReference w:id="14"/>
      </w:r>
    </w:p>
    <w:p w14:paraId="00000031" w14:textId="77777777" w:rsidR="00FB1AB9" w:rsidRDefault="00FB1AB9" w:rsidP="00A504EE">
      <w:pPr>
        <w:spacing w:line="360" w:lineRule="auto"/>
        <w:ind w:left="720"/>
        <w:jc w:val="both"/>
        <w:rPr>
          <w:rFonts w:ascii="Times New Roman" w:eastAsia="Times New Roman" w:hAnsi="Times New Roman" w:cs="Times New Roman"/>
          <w:sz w:val="24"/>
          <w:szCs w:val="24"/>
        </w:rPr>
      </w:pPr>
    </w:p>
    <w:p w14:paraId="00000032" w14:textId="77777777" w:rsidR="00FB1AB9" w:rsidRDefault="00000000" w:rsidP="00A504EE">
      <w:pPr>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OTHER COUNTRIES:</w:t>
      </w:r>
    </w:p>
    <w:p w14:paraId="00000033"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Community service has been an integral part of the Criminal justice system of numerous western jurisdictions. In the United States of America, under 18 U.S.C. § 3563(b)(12),</w:t>
      </w:r>
      <w:r>
        <w:rPr>
          <w:rFonts w:ascii="Times New Roman" w:eastAsia="Times New Roman" w:hAnsi="Times New Roman" w:cs="Times New Roman"/>
          <w:sz w:val="24"/>
          <w:szCs w:val="24"/>
          <w:vertAlign w:val="superscript"/>
        </w:rPr>
        <w:footnoteReference w:id="15"/>
      </w:r>
      <w:r>
        <w:rPr>
          <w:rFonts w:ascii="Times New Roman" w:eastAsia="Times New Roman" w:hAnsi="Times New Roman" w:cs="Times New Roman"/>
          <w:sz w:val="24"/>
          <w:szCs w:val="24"/>
        </w:rPr>
        <w:t xml:space="preserve"> the court may provide that the defendant “work in community service as directed by the </w:t>
      </w:r>
      <w:proofErr w:type="spellStart"/>
      <w:r>
        <w:rPr>
          <w:rFonts w:ascii="Times New Roman" w:eastAsia="Times New Roman" w:hAnsi="Times New Roman" w:cs="Times New Roman"/>
          <w:sz w:val="24"/>
          <w:szCs w:val="24"/>
        </w:rPr>
        <w:t>court</w:t>
      </w:r>
      <w:proofErr w:type="gramStart"/>
      <w:r>
        <w:rPr>
          <w:rFonts w:ascii="Times New Roman" w:eastAsia="Times New Roman" w:hAnsi="Times New Roman" w:cs="Times New Roman"/>
          <w:sz w:val="24"/>
          <w:szCs w:val="24"/>
        </w:rPr>
        <w:t>.”Community</w:t>
      </w:r>
      <w:proofErr w:type="spellEnd"/>
      <w:proofErr w:type="gramEnd"/>
      <w:r>
        <w:rPr>
          <w:rFonts w:ascii="Times New Roman" w:eastAsia="Times New Roman" w:hAnsi="Times New Roman" w:cs="Times New Roman"/>
          <w:sz w:val="24"/>
          <w:szCs w:val="24"/>
        </w:rPr>
        <w:t xml:space="preserve"> service orders issued by the court are frequently coupled with other alternative sentencing options like probation, suspended sentences, and fines. People with minimal or no criminal history and non-violent offenders are typically chosen for court-ordered community service. Judges have the discretion to order community service.</w:t>
      </w:r>
      <w:r>
        <w:rPr>
          <w:rFonts w:ascii="Times New Roman" w:eastAsia="Times New Roman" w:hAnsi="Times New Roman" w:cs="Times New Roman"/>
          <w:sz w:val="24"/>
          <w:szCs w:val="24"/>
          <w:highlight w:val="white"/>
          <w:vertAlign w:val="superscript"/>
        </w:rPr>
        <w:footnoteReference w:id="16"/>
      </w:r>
      <w:r>
        <w:rPr>
          <w:rFonts w:ascii="Times New Roman" w:eastAsia="Times New Roman" w:hAnsi="Times New Roman" w:cs="Times New Roman"/>
          <w:sz w:val="24"/>
          <w:szCs w:val="24"/>
          <w:highlight w:val="white"/>
        </w:rPr>
        <w:t xml:space="preserve"> </w:t>
      </w:r>
    </w:p>
    <w:p w14:paraId="00000034"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35"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The community service hours range from hundred to five hundred hours. Judges have used community service primarily as a sanction to add to probation.</w:t>
      </w:r>
      <w:r>
        <w:rPr>
          <w:rFonts w:ascii="Times New Roman" w:eastAsia="Times New Roman" w:hAnsi="Times New Roman" w:cs="Times New Roman"/>
          <w:sz w:val="24"/>
          <w:szCs w:val="24"/>
          <w:highlight w:val="white"/>
          <w:vertAlign w:val="superscript"/>
        </w:rPr>
        <w:footnoteReference w:id="17"/>
      </w:r>
      <w:r>
        <w:rPr>
          <w:rFonts w:ascii="Times New Roman" w:eastAsia="Times New Roman" w:hAnsi="Times New Roman" w:cs="Times New Roman"/>
          <w:sz w:val="24"/>
          <w:szCs w:val="24"/>
          <w:highlight w:val="white"/>
        </w:rPr>
        <w:t xml:space="preserve"> It is awarded to offenders who have committed traffic violations and petty property offences. Oftentimes, it is undertaken and performed by financially weak people who cannot afford to pay the fine. The work involves picking up trash and cleaning parks, washing municipal vehicles, clerical work such as stuffing envelopes and answering the telephones.</w:t>
      </w:r>
      <w:r>
        <w:rPr>
          <w:rFonts w:ascii="Times New Roman" w:eastAsia="Times New Roman" w:hAnsi="Times New Roman" w:cs="Times New Roman"/>
          <w:sz w:val="24"/>
          <w:szCs w:val="24"/>
          <w:highlight w:val="white"/>
          <w:vertAlign w:val="superscript"/>
        </w:rPr>
        <w:footnoteReference w:id="18"/>
      </w:r>
      <w:r>
        <w:rPr>
          <w:rFonts w:ascii="Times New Roman" w:eastAsia="Times New Roman" w:hAnsi="Times New Roman" w:cs="Times New Roman"/>
          <w:sz w:val="24"/>
          <w:szCs w:val="24"/>
          <w:highlight w:val="white"/>
        </w:rPr>
        <w:t xml:space="preserve"> Defendants also receive no payment for the community work they perform. The defendant's criminal background must always be disclosed by probation authorities so that the prospective placement agency can decide whether or not to accept the placement.</w:t>
      </w:r>
      <w:r>
        <w:rPr>
          <w:rFonts w:ascii="Times New Roman" w:eastAsia="Times New Roman" w:hAnsi="Times New Roman" w:cs="Times New Roman"/>
          <w:sz w:val="24"/>
          <w:szCs w:val="24"/>
          <w:highlight w:val="white"/>
          <w:vertAlign w:val="superscript"/>
        </w:rPr>
        <w:footnoteReference w:id="19"/>
      </w:r>
      <w:r>
        <w:rPr>
          <w:rFonts w:ascii="Times New Roman" w:eastAsia="Times New Roman" w:hAnsi="Times New Roman" w:cs="Times New Roman"/>
          <w:sz w:val="24"/>
          <w:szCs w:val="24"/>
          <w:highlight w:val="white"/>
        </w:rPr>
        <w:t xml:space="preserve"> </w:t>
      </w:r>
    </w:p>
    <w:p w14:paraId="00000036"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37"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In the United Kingdom. Community sentences are awarded when the offender is convicted of crime but is spared from imprisonment. The offences that entail community sentences include damaging property, theft, assault, among others. The sentences involve performing unpaid community work and will only be granted if the court is satisfied that the community sentence reforms the offender and ensures that the crime won’t be committed repeatedly or in the case of a </w:t>
      </w:r>
      <w:proofErr w:type="gramStart"/>
      <w:r>
        <w:rPr>
          <w:rFonts w:ascii="Times New Roman" w:eastAsia="Times New Roman" w:hAnsi="Times New Roman" w:cs="Times New Roman"/>
          <w:sz w:val="24"/>
          <w:szCs w:val="24"/>
          <w:highlight w:val="white"/>
        </w:rPr>
        <w:t>first time</w:t>
      </w:r>
      <w:proofErr w:type="gramEnd"/>
      <w:r>
        <w:rPr>
          <w:rFonts w:ascii="Times New Roman" w:eastAsia="Times New Roman" w:hAnsi="Times New Roman" w:cs="Times New Roman"/>
          <w:sz w:val="24"/>
          <w:szCs w:val="24"/>
          <w:highlight w:val="white"/>
        </w:rPr>
        <w:t xml:space="preserve"> offender or in the circumstances of any mental illnesses. The scope of community sentences ranges from forty to three hundred hours, house arrest, curfew requirements and restrictions on where offenders can go. </w:t>
      </w:r>
    </w:p>
    <w:p w14:paraId="00000038"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39"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United Arab Emirates was one of the first Arab countries to introduce community service as an alternative to short term </w:t>
      </w:r>
      <w:proofErr w:type="spellStart"/>
      <w:proofErr w:type="gramStart"/>
      <w:r>
        <w:rPr>
          <w:rFonts w:ascii="Times New Roman" w:eastAsia="Times New Roman" w:hAnsi="Times New Roman" w:cs="Times New Roman"/>
          <w:sz w:val="24"/>
          <w:szCs w:val="24"/>
          <w:highlight w:val="white"/>
        </w:rPr>
        <w:t>imprisonment.The</w:t>
      </w:r>
      <w:proofErr w:type="spellEnd"/>
      <w:proofErr w:type="gramEnd"/>
      <w:r>
        <w:rPr>
          <w:rFonts w:ascii="Times New Roman" w:eastAsia="Times New Roman" w:hAnsi="Times New Roman" w:cs="Times New Roman"/>
          <w:sz w:val="24"/>
          <w:szCs w:val="24"/>
          <w:highlight w:val="white"/>
        </w:rPr>
        <w:t xml:space="preserve"> United Arab Emirates' federal judicial system administers this penalty as part of legislative initiatives to humanise sentences that are covered by criminal law.</w:t>
      </w:r>
      <w:r>
        <w:rPr>
          <w:rFonts w:ascii="Times New Roman" w:eastAsia="Times New Roman" w:hAnsi="Times New Roman" w:cs="Times New Roman"/>
          <w:sz w:val="24"/>
          <w:szCs w:val="24"/>
          <w:highlight w:val="white"/>
          <w:vertAlign w:val="superscript"/>
        </w:rPr>
        <w:footnoteReference w:id="20"/>
      </w:r>
      <w:r>
        <w:rPr>
          <w:rFonts w:ascii="Times New Roman" w:eastAsia="Times New Roman" w:hAnsi="Times New Roman" w:cs="Times New Roman"/>
          <w:sz w:val="24"/>
          <w:szCs w:val="24"/>
          <w:highlight w:val="white"/>
        </w:rPr>
        <w:t xml:space="preserve"> Only misdemeanours are subject to the community service judgement as an alternative to a fine or a sentence of jail not to exceed six months, and for a maximum of three months. </w:t>
      </w:r>
    </w:p>
    <w:p w14:paraId="0000003A"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3B" w14:textId="77777777" w:rsidR="00FB1AB9" w:rsidRDefault="00000000" w:rsidP="00A504EE">
      <w:pPr>
        <w:numPr>
          <w:ilvl w:val="0"/>
          <w:numId w:val="1"/>
        </w:num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CONCLUSION:</w:t>
      </w:r>
    </w:p>
    <w:p w14:paraId="0000003C"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In conclusion, the passage of "The </w:t>
      </w:r>
      <w:proofErr w:type="spellStart"/>
      <w:r>
        <w:rPr>
          <w:rFonts w:ascii="Times New Roman" w:eastAsia="Times New Roman" w:hAnsi="Times New Roman" w:cs="Times New Roman"/>
          <w:sz w:val="24"/>
          <w:szCs w:val="24"/>
          <w:highlight w:val="white"/>
        </w:rPr>
        <w:t>Bharatiya</w:t>
      </w:r>
      <w:proofErr w:type="spellEnd"/>
      <w:r>
        <w:rPr>
          <w:rFonts w:ascii="Times New Roman" w:eastAsia="Times New Roman" w:hAnsi="Times New Roman" w:cs="Times New Roman"/>
          <w:sz w:val="24"/>
          <w:szCs w:val="24"/>
          <w:highlight w:val="white"/>
        </w:rPr>
        <w:t xml:space="preserve"> Nyaya Sanhita'' represents a significant milestone in India's legal landscape, signalling the departure from outdated colonial-era laws to a more modern and progressive criminal justice system. The comprehensive reform encapsulated in this legislation, reflects a paradigm shift towards justice, reformation, and societal well-being.</w:t>
      </w:r>
    </w:p>
    <w:p w14:paraId="0000003D"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3E"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The inclusion of community service as a reformative punishment is a groundbreaking step that aligns with global practices while addressing the specific needs of the Indian landscape. By introducing community service as an alternative for certain offences, the legislation seeks to rehabilitate offenders, reducing the burden on overcrowded prisons and minimising the detrimental impact of incarceration on individuals, especially those charged with minor offences.</w:t>
      </w:r>
    </w:p>
    <w:p w14:paraId="0000003F" w14:textId="77777777" w:rsidR="00FB1AB9" w:rsidRDefault="00FB1AB9" w:rsidP="00A504EE">
      <w:pPr>
        <w:spacing w:line="360" w:lineRule="auto"/>
        <w:jc w:val="both"/>
        <w:rPr>
          <w:rFonts w:ascii="Times New Roman" w:eastAsia="Times New Roman" w:hAnsi="Times New Roman" w:cs="Times New Roman"/>
          <w:sz w:val="24"/>
          <w:szCs w:val="24"/>
          <w:highlight w:val="white"/>
        </w:rPr>
      </w:pPr>
    </w:p>
    <w:p w14:paraId="00000040" w14:textId="77777777" w:rsidR="00FB1AB9"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Looking beyond borders, various countries, including the United States, the United Kingdom, and the United Arab Emirates, have successfully integrated community service into their criminal justice systems, highlighting its effectiveness as an alternative to traditional punitive measures. </w:t>
      </w:r>
    </w:p>
    <w:p w14:paraId="00000041" w14:textId="77777777" w:rsidR="00FB1AB9" w:rsidRDefault="00FB1AB9" w:rsidP="00A504EE">
      <w:pPr>
        <w:spacing w:line="360" w:lineRule="auto"/>
        <w:ind w:left="720"/>
        <w:jc w:val="both"/>
        <w:rPr>
          <w:rFonts w:ascii="Times New Roman" w:eastAsia="Times New Roman" w:hAnsi="Times New Roman" w:cs="Times New Roman"/>
          <w:sz w:val="24"/>
          <w:szCs w:val="24"/>
          <w:highlight w:val="white"/>
        </w:rPr>
      </w:pPr>
    </w:p>
    <w:p w14:paraId="00000045" w14:textId="67775909" w:rsidR="00FB1AB9" w:rsidRPr="00A504EE" w:rsidRDefault="00000000" w:rsidP="00A504EE">
      <w:pPr>
        <w:spacing w:line="360" w:lineRule="auto"/>
        <w:ind w:left="7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emphasis on community service in "The </w:t>
      </w:r>
      <w:proofErr w:type="spellStart"/>
      <w:r>
        <w:rPr>
          <w:rFonts w:ascii="Times New Roman" w:eastAsia="Times New Roman" w:hAnsi="Times New Roman" w:cs="Times New Roman"/>
          <w:sz w:val="24"/>
          <w:szCs w:val="24"/>
          <w:highlight w:val="white"/>
        </w:rPr>
        <w:t>Bharatiya</w:t>
      </w:r>
      <w:proofErr w:type="spellEnd"/>
      <w:r>
        <w:rPr>
          <w:rFonts w:ascii="Times New Roman" w:eastAsia="Times New Roman" w:hAnsi="Times New Roman" w:cs="Times New Roman"/>
          <w:sz w:val="24"/>
          <w:szCs w:val="24"/>
          <w:highlight w:val="white"/>
        </w:rPr>
        <w:t xml:space="preserve"> Nyaya Sanhita'' not only reflects a commitment to rehabilitation but also underscores the evolving nature of criminal justice, shifting from a punitive approach to one centred on accountability and societal benefits. As the legislation takes effect, it is crucial to monitor its implementation and assess the impact of community service in reshaping the Indian criminal justice landscape, fostering a system that balances justice, reformation, and societal harmony.</w:t>
      </w:r>
    </w:p>
    <w:sectPr w:rsidR="00FB1AB9" w:rsidRPr="00A504EE" w:rsidSect="005F561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C53F25" w14:textId="77777777" w:rsidR="005F5617" w:rsidRDefault="005F5617">
      <w:pPr>
        <w:spacing w:line="240" w:lineRule="auto"/>
      </w:pPr>
      <w:r>
        <w:separator/>
      </w:r>
    </w:p>
  </w:endnote>
  <w:endnote w:type="continuationSeparator" w:id="0">
    <w:p w14:paraId="723DF35D" w14:textId="77777777" w:rsidR="005F5617" w:rsidRDefault="005F56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045DB2" w14:textId="77777777" w:rsidR="005F5617" w:rsidRDefault="005F5617">
      <w:pPr>
        <w:spacing w:line="240" w:lineRule="auto"/>
      </w:pPr>
      <w:r>
        <w:separator/>
      </w:r>
    </w:p>
  </w:footnote>
  <w:footnote w:type="continuationSeparator" w:id="0">
    <w:p w14:paraId="0D3BAE29" w14:textId="77777777" w:rsidR="005F5617" w:rsidRDefault="005F5617">
      <w:pPr>
        <w:spacing w:line="240" w:lineRule="auto"/>
      </w:pPr>
      <w:r>
        <w:continuationSeparator/>
      </w:r>
    </w:p>
  </w:footnote>
  <w:footnote w:id="1">
    <w:p w14:paraId="00000050"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 xml:space="preserve">The </w:t>
      </w:r>
      <w:proofErr w:type="spellStart"/>
      <w:r>
        <w:rPr>
          <w:rFonts w:ascii="Times New Roman" w:eastAsia="Times New Roman" w:hAnsi="Times New Roman" w:cs="Times New Roman"/>
          <w:sz w:val="20"/>
          <w:szCs w:val="20"/>
        </w:rPr>
        <w:t>Bharatiya</w:t>
      </w:r>
      <w:proofErr w:type="spellEnd"/>
      <w:r>
        <w:rPr>
          <w:rFonts w:ascii="Times New Roman" w:eastAsia="Times New Roman" w:hAnsi="Times New Roman" w:cs="Times New Roman"/>
          <w:sz w:val="20"/>
          <w:szCs w:val="20"/>
        </w:rPr>
        <w:t xml:space="preserve"> Nyaya Sanhita, 2023, </w:t>
      </w:r>
      <w:r>
        <w:rPr>
          <w:rFonts w:ascii="Times New Roman" w:eastAsia="Times New Roman" w:hAnsi="Times New Roman" w:cs="Times New Roman"/>
          <w:i/>
          <w:sz w:val="20"/>
          <w:szCs w:val="20"/>
        </w:rPr>
        <w:t xml:space="preserve">Statement of Object &amp; Reasons, </w:t>
      </w:r>
      <w:r>
        <w:rPr>
          <w:rFonts w:ascii="Times New Roman" w:eastAsia="Times New Roman" w:hAnsi="Times New Roman" w:cs="Times New Roman"/>
          <w:sz w:val="20"/>
          <w:szCs w:val="20"/>
        </w:rPr>
        <w:t xml:space="preserve">No. 45, Acts of Parliament, </w:t>
      </w:r>
      <w:proofErr w:type="gramStart"/>
      <w:r>
        <w:rPr>
          <w:rFonts w:ascii="Times New Roman" w:eastAsia="Times New Roman" w:hAnsi="Times New Roman" w:cs="Times New Roman"/>
          <w:sz w:val="20"/>
          <w:szCs w:val="20"/>
        </w:rPr>
        <w:t>2023..</w:t>
      </w:r>
      <w:proofErr w:type="gramEnd"/>
    </w:p>
    <w:p w14:paraId="00000051" w14:textId="77777777" w:rsidR="00FB1AB9" w:rsidRDefault="00000000">
      <w:pPr>
        <w:spacing w:line="240" w:lineRule="auto"/>
        <w:rPr>
          <w:sz w:val="20"/>
          <w:szCs w:val="20"/>
        </w:rPr>
      </w:pPr>
      <w:r>
        <w:rPr>
          <w:sz w:val="20"/>
          <w:szCs w:val="20"/>
        </w:rPr>
        <w:t xml:space="preserve"> </w:t>
      </w:r>
    </w:p>
  </w:footnote>
  <w:footnote w:id="2">
    <w:p w14:paraId="00000046" w14:textId="77777777" w:rsidR="00FB1AB9" w:rsidRDefault="00000000">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 xml:space="preserve">The </w:t>
      </w:r>
      <w:proofErr w:type="spellStart"/>
      <w:r>
        <w:rPr>
          <w:rFonts w:ascii="Times New Roman" w:eastAsia="Times New Roman" w:hAnsi="Times New Roman" w:cs="Times New Roman"/>
          <w:sz w:val="20"/>
          <w:szCs w:val="20"/>
        </w:rPr>
        <w:t>Bharatiya</w:t>
      </w:r>
      <w:proofErr w:type="spellEnd"/>
      <w:r>
        <w:rPr>
          <w:rFonts w:ascii="Times New Roman" w:eastAsia="Times New Roman" w:hAnsi="Times New Roman" w:cs="Times New Roman"/>
          <w:sz w:val="20"/>
          <w:szCs w:val="20"/>
        </w:rPr>
        <w:t xml:space="preserve"> Nyaya Sanhita, 2023, § 4.</w:t>
      </w:r>
    </w:p>
  </w:footnote>
  <w:footnote w:id="3">
    <w:p w14:paraId="00000047" w14:textId="77777777" w:rsidR="00FB1AB9" w:rsidRDefault="00000000">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 xml:space="preserve">The </w:t>
      </w:r>
      <w:proofErr w:type="spellStart"/>
      <w:r>
        <w:rPr>
          <w:rFonts w:ascii="Times New Roman" w:eastAsia="Times New Roman" w:hAnsi="Times New Roman" w:cs="Times New Roman"/>
          <w:sz w:val="20"/>
          <w:szCs w:val="20"/>
        </w:rPr>
        <w:t>Bharatiya</w:t>
      </w:r>
      <w:proofErr w:type="spellEnd"/>
      <w:r>
        <w:rPr>
          <w:rFonts w:ascii="Times New Roman" w:eastAsia="Times New Roman" w:hAnsi="Times New Roman" w:cs="Times New Roman"/>
          <w:sz w:val="20"/>
          <w:szCs w:val="20"/>
        </w:rPr>
        <w:t xml:space="preserve"> Nyaya Sanhita, 2023, § 8.</w:t>
      </w:r>
    </w:p>
  </w:footnote>
  <w:footnote w:id="4">
    <w:p w14:paraId="00000052"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Lawrence Mugambi, Implementation of Community Service Orders Programme: The Kenyan Experience, May 2012.</w:t>
      </w:r>
    </w:p>
  </w:footnote>
  <w:footnote w:id="5">
    <w:p w14:paraId="00000048"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highlight w:val="white"/>
        </w:rPr>
        <w:t>Gupta, Priyanshi, Community Service: As a Part of Sentence in India (March 30, 2021).</w:t>
      </w:r>
    </w:p>
  </w:footnote>
  <w:footnote w:id="6">
    <w:p w14:paraId="00000049"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The Juvenile Justice (Care and Protection of Children) Act, 2015, No. 2, Acts of Parliament, 2016.</w:t>
      </w:r>
    </w:p>
  </w:footnote>
  <w:footnote w:id="7">
    <w:p w14:paraId="00000053" w14:textId="77777777" w:rsidR="00FB1AB9" w:rsidRDefault="00000000">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The Juvenile Justice (Care and Protection of Children) Act, 2015, § 18.</w:t>
      </w:r>
    </w:p>
  </w:footnote>
  <w:footnote w:id="8">
    <w:p w14:paraId="00000054"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Indian Penal Code (Amendment) Bill, 1978.</w:t>
      </w:r>
    </w:p>
  </w:footnote>
  <w:footnote w:id="9">
    <w:p w14:paraId="00000059"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Mitali Agarwal, Beyond the Prison Bars: Contemplating Community Sentencing in India, 12 NUJS </w:t>
      </w:r>
      <w:proofErr w:type="spellStart"/>
      <w:r>
        <w:rPr>
          <w:rFonts w:ascii="Times New Roman" w:eastAsia="Times New Roman" w:hAnsi="Times New Roman" w:cs="Times New Roman"/>
          <w:sz w:val="20"/>
          <w:szCs w:val="20"/>
        </w:rPr>
        <w:t>L.Rev</w:t>
      </w:r>
      <w:proofErr w:type="spellEnd"/>
      <w:r>
        <w:rPr>
          <w:rFonts w:ascii="Times New Roman" w:eastAsia="Times New Roman" w:hAnsi="Times New Roman" w:cs="Times New Roman"/>
          <w:sz w:val="20"/>
          <w:szCs w:val="20"/>
        </w:rPr>
        <w:t>. 119 (2019).</w:t>
      </w:r>
    </w:p>
  </w:footnote>
  <w:footnote w:id="10">
    <w:p w14:paraId="0000004A" w14:textId="77777777" w:rsidR="00FB1AB9" w:rsidRDefault="00000000">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highlight w:val="white"/>
        </w:rPr>
        <w:t>Gupta, Priyanshi, Community Service: As a Part of Sentence in India (March 30, 2021).</w:t>
      </w:r>
    </w:p>
  </w:footnote>
  <w:footnote w:id="11">
    <w:p w14:paraId="00000056"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 xml:space="preserve">Babu Singh &amp; </w:t>
      </w:r>
      <w:proofErr w:type="spellStart"/>
      <w:r>
        <w:rPr>
          <w:rFonts w:ascii="Times New Roman" w:eastAsia="Times New Roman" w:hAnsi="Times New Roman" w:cs="Times New Roman"/>
          <w:sz w:val="20"/>
          <w:szCs w:val="20"/>
        </w:rPr>
        <w:t>Ors</w:t>
      </w:r>
      <w:proofErr w:type="spellEnd"/>
      <w:r>
        <w:rPr>
          <w:rFonts w:ascii="Times New Roman" w:eastAsia="Times New Roman" w:hAnsi="Times New Roman" w:cs="Times New Roman"/>
          <w:sz w:val="20"/>
          <w:szCs w:val="20"/>
        </w:rPr>
        <w:t>. v. State of Uttar Pradesh, 1978 AIR SC 527.</w:t>
      </w:r>
    </w:p>
  </w:footnote>
  <w:footnote w:id="12">
    <w:p w14:paraId="00000055"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State Tr. P.S. Lodhi, New Delhi v. Sanjeev Nanda, 2012 AIR SC 3104.</w:t>
      </w:r>
    </w:p>
  </w:footnote>
  <w:footnote w:id="13">
    <w:p w14:paraId="00000057"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Sunita Gandharva vs. State of Madhya Pradesh, Misc. Criminal Case No. 22615/2020.</w:t>
      </w:r>
    </w:p>
  </w:footnote>
  <w:footnote w:id="14">
    <w:p w14:paraId="0000005A"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i/>
          <w:sz w:val="20"/>
          <w:szCs w:val="20"/>
        </w:rPr>
        <w:t>Id</w:t>
      </w:r>
      <w:r>
        <w:rPr>
          <w:rFonts w:ascii="Times New Roman" w:eastAsia="Times New Roman" w:hAnsi="Times New Roman" w:cs="Times New Roman"/>
          <w:sz w:val="20"/>
          <w:szCs w:val="20"/>
        </w:rPr>
        <w:t>, 9.</w:t>
      </w:r>
    </w:p>
  </w:footnote>
  <w:footnote w:id="15">
    <w:p w14:paraId="00000058" w14:textId="77777777" w:rsidR="00FB1AB9" w:rsidRDefault="00000000">
      <w:pPr>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United States Code. Title 18: CRIMES AND CRIMINAL PROCEDURE. SUBCHAPTER B: PROBATION. Edition 2022.</w:t>
      </w:r>
    </w:p>
  </w:footnote>
  <w:footnote w:id="16">
    <w:p w14:paraId="0000004B"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Charles W. Ostrom; Brian J. Ostrom; Matthew Kleiman, Judges and Discrimination: Assessing the Theory and Practice of Criminal Sentencing, February 2004.</w:t>
      </w:r>
    </w:p>
  </w:footnote>
  <w:footnote w:id="17">
    <w:p w14:paraId="0000004C" w14:textId="77777777" w:rsidR="00FB1AB9" w:rsidRDefault="00000000">
      <w:pPr>
        <w:spacing w:line="240" w:lineRule="auto"/>
        <w:rPr>
          <w:rFonts w:ascii="Times New Roman" w:eastAsia="Times New Roman" w:hAnsi="Times New Roman" w:cs="Times New Roman"/>
          <w:sz w:val="16"/>
          <w:szCs w:val="16"/>
        </w:rPr>
      </w:pPr>
      <w:r>
        <w:rPr>
          <w:vertAlign w:val="superscript"/>
        </w:rPr>
        <w:footnoteRef/>
      </w:r>
      <w:r>
        <w:rPr>
          <w:sz w:val="20"/>
          <w:szCs w:val="20"/>
        </w:rPr>
        <w:t xml:space="preserve"> </w:t>
      </w:r>
      <w:r>
        <w:rPr>
          <w:rFonts w:ascii="Times New Roman" w:eastAsia="Times New Roman" w:hAnsi="Times New Roman" w:cs="Times New Roman"/>
          <w:color w:val="1B1B1B"/>
          <w:sz w:val="20"/>
          <w:szCs w:val="20"/>
          <w:highlight w:val="white"/>
        </w:rPr>
        <w:t xml:space="preserve">K </w:t>
      </w:r>
      <w:proofErr w:type="spellStart"/>
      <w:r>
        <w:rPr>
          <w:rFonts w:ascii="Times New Roman" w:eastAsia="Times New Roman" w:hAnsi="Times New Roman" w:cs="Times New Roman"/>
          <w:color w:val="1B1B1B"/>
          <w:sz w:val="20"/>
          <w:szCs w:val="20"/>
          <w:highlight w:val="white"/>
        </w:rPr>
        <w:t>Krajick</w:t>
      </w:r>
      <w:proofErr w:type="spellEnd"/>
      <w:r>
        <w:rPr>
          <w:rFonts w:ascii="Times New Roman" w:eastAsia="Times New Roman" w:hAnsi="Times New Roman" w:cs="Times New Roman"/>
          <w:color w:val="1B1B1B"/>
          <w:sz w:val="20"/>
          <w:szCs w:val="20"/>
          <w:highlight w:val="white"/>
        </w:rPr>
        <w:t xml:space="preserve"> (1982). Community Service - The Work Ethic Approach to Punishment. </w:t>
      </w:r>
      <w:proofErr w:type="spellStart"/>
      <w:r>
        <w:rPr>
          <w:rFonts w:ascii="Times New Roman" w:eastAsia="Times New Roman" w:hAnsi="Times New Roman" w:cs="Times New Roman"/>
          <w:i/>
          <w:color w:val="1B1B1B"/>
          <w:sz w:val="20"/>
          <w:szCs w:val="20"/>
          <w:highlight w:val="white"/>
        </w:rPr>
        <w:t>Angolite</w:t>
      </w:r>
      <w:proofErr w:type="spellEnd"/>
      <w:r>
        <w:rPr>
          <w:rFonts w:ascii="Times New Roman" w:eastAsia="Times New Roman" w:hAnsi="Times New Roman" w:cs="Times New Roman"/>
          <w:i/>
          <w:color w:val="1B1B1B"/>
          <w:sz w:val="20"/>
          <w:szCs w:val="20"/>
          <w:highlight w:val="white"/>
        </w:rPr>
        <w:t xml:space="preserve">, </w:t>
      </w:r>
      <w:r>
        <w:rPr>
          <w:rFonts w:ascii="Times New Roman" w:eastAsia="Times New Roman" w:hAnsi="Times New Roman" w:cs="Times New Roman"/>
          <w:color w:val="1B1B1B"/>
          <w:sz w:val="20"/>
          <w:szCs w:val="20"/>
          <w:highlight w:val="white"/>
        </w:rPr>
        <w:t>Volume 7 (6), 70-81</w:t>
      </w:r>
    </w:p>
  </w:footnote>
  <w:footnote w:id="18">
    <w:p w14:paraId="0000004D" w14:textId="77777777" w:rsidR="00FB1AB9" w:rsidRDefault="00000000">
      <w:pPr>
        <w:spacing w:line="240" w:lineRule="auto"/>
        <w:rPr>
          <w:rFonts w:ascii="Times New Roman" w:eastAsia="Times New Roman" w:hAnsi="Times New Roman" w:cs="Times New Roman"/>
          <w:i/>
          <w:sz w:val="20"/>
          <w:szCs w:val="20"/>
        </w:rPr>
      </w:pPr>
      <w:r>
        <w:rPr>
          <w:vertAlign w:val="superscript"/>
        </w:rPr>
        <w:footnoteRef/>
      </w:r>
      <w:r>
        <w:rPr>
          <w:sz w:val="20"/>
          <w:szCs w:val="20"/>
        </w:rPr>
        <w:t xml:space="preserve"> </w:t>
      </w:r>
      <w:r>
        <w:rPr>
          <w:rFonts w:ascii="Times New Roman" w:eastAsia="Times New Roman" w:hAnsi="Times New Roman" w:cs="Times New Roman"/>
          <w:i/>
          <w:sz w:val="20"/>
          <w:szCs w:val="20"/>
        </w:rPr>
        <w:t>Idem</w:t>
      </w:r>
    </w:p>
  </w:footnote>
  <w:footnote w:id="19">
    <w:p w14:paraId="0000004E"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U.S. Courts, Chapter 3: Community Service (Probation and Supervised Release Conditions), Methods of Implementation.</w:t>
      </w:r>
    </w:p>
  </w:footnote>
  <w:footnote w:id="20">
    <w:p w14:paraId="0000004F" w14:textId="77777777" w:rsidR="00FB1AB9" w:rsidRDefault="00000000">
      <w:pPr>
        <w:spacing w:line="240" w:lineRule="auto"/>
        <w:rPr>
          <w:rFonts w:ascii="Times New Roman" w:eastAsia="Times New Roman" w:hAnsi="Times New Roman" w:cs="Times New Roman"/>
          <w:sz w:val="20"/>
          <w:szCs w:val="20"/>
        </w:rPr>
      </w:pPr>
      <w:r>
        <w:rPr>
          <w:vertAlign w:val="superscript"/>
        </w:rPr>
        <w:footnoteRef/>
      </w:r>
      <w:r>
        <w:rPr>
          <w:sz w:val="20"/>
          <w:szCs w:val="20"/>
        </w:rPr>
        <w:t xml:space="preserve"> </w:t>
      </w:r>
      <w:r>
        <w:rPr>
          <w:rFonts w:ascii="Times New Roman" w:eastAsia="Times New Roman" w:hAnsi="Times New Roman" w:cs="Times New Roman"/>
          <w:sz w:val="20"/>
          <w:szCs w:val="20"/>
        </w:rPr>
        <w:t xml:space="preserve">Raed S.A. Faqir, Ehab M.A. </w:t>
      </w:r>
      <w:proofErr w:type="spellStart"/>
      <w:r>
        <w:rPr>
          <w:rFonts w:ascii="Times New Roman" w:eastAsia="Times New Roman" w:hAnsi="Times New Roman" w:cs="Times New Roman"/>
          <w:sz w:val="20"/>
          <w:szCs w:val="20"/>
        </w:rPr>
        <w:t>Alrousan</w:t>
      </w:r>
      <w:proofErr w:type="spellEnd"/>
      <w:r>
        <w:rPr>
          <w:rFonts w:ascii="Times New Roman" w:eastAsia="Times New Roman" w:hAnsi="Times New Roman" w:cs="Times New Roman"/>
          <w:sz w:val="20"/>
          <w:szCs w:val="20"/>
        </w:rPr>
        <w:t>, Community Service as an alternative penalty to short-term imprisonment in the UAE and Malaysia: A Comparative Analysis, Issue 3, Volume XI, Russian Law Journal, 2023.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9156BC"/>
    <w:multiLevelType w:val="multilevel"/>
    <w:tmpl w:val="4CE679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1648604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AB9"/>
    <w:rsid w:val="005F5617"/>
    <w:rsid w:val="00A504EE"/>
    <w:rsid w:val="00FB1AB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DE282"/>
  <w15:docId w15:val="{D3266A31-D309-46C9-BDD4-5B1116ED6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18599F-3464-4866-90CA-5295A7D51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2276</Words>
  <Characters>12974</Characters>
  <Application>Microsoft Office Word</Application>
  <DocSecurity>0</DocSecurity>
  <Lines>108</Lines>
  <Paragraphs>30</Paragraphs>
  <ScaleCrop>false</ScaleCrop>
  <Company/>
  <LinksUpToDate>false</LinksUpToDate>
  <CharactersWithSpaces>15220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Abhineeth Saravanan</cp:lastModifiedBy>
  <cp:revision>2</cp:revision>
  <dcterms:created xsi:type="dcterms:W3CDTF">2024-01-25T16:27:00Z</dcterms:created>
  <dcterms:modified xsi:type="dcterms:W3CDTF">2024-01-25T16:28:00Z</dcterms:modified>
</cp:coreProperties>
</file>