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DD35D" w14:textId="77777777" w:rsidR="006A580B" w:rsidRPr="00110CD1" w:rsidRDefault="006A580B" w:rsidP="006A580B">
      <w:pPr>
        <w:jc w:val="center"/>
        <w:rPr>
          <w:rFonts w:ascii="Times New Roman" w:hAnsi="Times New Roman" w:cs="Times New Roman"/>
          <w:b/>
          <w:smallCaps/>
          <w:sz w:val="28"/>
          <w:szCs w:val="28"/>
          <w:u w:val="single"/>
        </w:rPr>
      </w:pPr>
      <w:r w:rsidRPr="00110CD1">
        <w:rPr>
          <w:rFonts w:ascii="Times New Roman" w:hAnsi="Times New Roman" w:cs="Times New Roman"/>
          <w:b/>
          <w:smallCaps/>
          <w:sz w:val="28"/>
          <w:szCs w:val="28"/>
          <w:u w:val="single"/>
        </w:rPr>
        <w:t>Cover Letter</w:t>
      </w:r>
    </w:p>
    <w:p w14:paraId="036292B8" w14:textId="77777777" w:rsidR="006A580B" w:rsidRDefault="006A580B" w:rsidP="006A580B">
      <w:pPr>
        <w:jc w:val="both"/>
        <w:rPr>
          <w:rFonts w:ascii="Times New Roman" w:hAnsi="Times New Roman" w:cs="Times New Roman"/>
          <w:b/>
          <w:smallCaps/>
          <w:sz w:val="28"/>
          <w:szCs w:val="28"/>
          <w:u w:val="single"/>
        </w:rPr>
      </w:pPr>
    </w:p>
    <w:p w14:paraId="77A3611A" w14:textId="77777777" w:rsidR="006A580B" w:rsidRPr="00110CD1" w:rsidRDefault="006A580B" w:rsidP="006A580B">
      <w:pPr>
        <w:jc w:val="both"/>
        <w:rPr>
          <w:rFonts w:ascii="Times New Roman" w:hAnsi="Times New Roman" w:cs="Times New Roman"/>
          <w:b/>
          <w:smallCaps/>
          <w:sz w:val="28"/>
          <w:szCs w:val="28"/>
          <w:u w:val="single"/>
        </w:rPr>
      </w:pPr>
    </w:p>
    <w:p w14:paraId="51D10E7E" w14:textId="160185E6" w:rsidR="006A580B" w:rsidRPr="00110CD1" w:rsidRDefault="006A580B" w:rsidP="006A580B">
      <w:pPr>
        <w:pStyle w:val="ListParagraph"/>
        <w:numPr>
          <w:ilvl w:val="0"/>
          <w:numId w:val="1"/>
        </w:numPr>
        <w:spacing w:after="0" w:line="276" w:lineRule="auto"/>
        <w:jc w:val="both"/>
        <w:rPr>
          <w:rFonts w:ascii="Times New Roman" w:hAnsi="Times New Roman" w:cs="Times New Roman"/>
          <w:b/>
          <w:smallCaps/>
          <w:sz w:val="28"/>
          <w:szCs w:val="28"/>
        </w:rPr>
      </w:pPr>
      <w:r>
        <w:rPr>
          <w:rFonts w:ascii="Times New Roman" w:hAnsi="Times New Roman" w:cs="Times New Roman"/>
          <w:b/>
          <w:smallCaps/>
          <w:sz w:val="28"/>
          <w:szCs w:val="28"/>
        </w:rPr>
        <w:t xml:space="preserve">Name of the Authors: </w:t>
      </w:r>
      <w:r w:rsidRPr="00110CD1">
        <w:rPr>
          <w:rFonts w:ascii="Times New Roman" w:hAnsi="Times New Roman" w:cs="Times New Roman"/>
          <w:bCs/>
          <w:smallCaps/>
          <w:sz w:val="28"/>
          <w:szCs w:val="28"/>
        </w:rPr>
        <w:t>Rhea L Vinay</w:t>
      </w:r>
      <w:r>
        <w:rPr>
          <w:rFonts w:ascii="Times New Roman" w:hAnsi="Times New Roman" w:cs="Times New Roman"/>
          <w:bCs/>
          <w:smallCaps/>
          <w:sz w:val="28"/>
          <w:szCs w:val="28"/>
        </w:rPr>
        <w:t xml:space="preserve"> </w:t>
      </w:r>
    </w:p>
    <w:p w14:paraId="5C25CEEA" w14:textId="77777777" w:rsidR="006A580B" w:rsidRDefault="006A580B" w:rsidP="006A580B">
      <w:pPr>
        <w:pStyle w:val="ListParagraph"/>
        <w:spacing w:after="0" w:line="276" w:lineRule="auto"/>
        <w:jc w:val="both"/>
        <w:rPr>
          <w:rFonts w:ascii="Times New Roman" w:hAnsi="Times New Roman" w:cs="Times New Roman"/>
          <w:b/>
          <w:smallCaps/>
          <w:sz w:val="28"/>
          <w:szCs w:val="28"/>
        </w:rPr>
      </w:pPr>
    </w:p>
    <w:p w14:paraId="317FCA5D" w14:textId="77777777" w:rsidR="006A580B" w:rsidRPr="00110CD1" w:rsidRDefault="006A580B" w:rsidP="006A580B">
      <w:pPr>
        <w:pStyle w:val="ListParagraph"/>
        <w:numPr>
          <w:ilvl w:val="0"/>
          <w:numId w:val="1"/>
        </w:numPr>
        <w:spacing w:after="0" w:line="276" w:lineRule="auto"/>
        <w:jc w:val="both"/>
        <w:rPr>
          <w:rFonts w:ascii="Times New Roman" w:hAnsi="Times New Roman" w:cs="Times New Roman"/>
          <w:b/>
          <w:smallCaps/>
          <w:sz w:val="28"/>
          <w:szCs w:val="28"/>
        </w:rPr>
      </w:pPr>
      <w:r>
        <w:rPr>
          <w:rFonts w:ascii="Times New Roman" w:hAnsi="Times New Roman" w:cs="Times New Roman"/>
          <w:b/>
          <w:smallCaps/>
          <w:sz w:val="28"/>
          <w:szCs w:val="28"/>
        </w:rPr>
        <w:t xml:space="preserve">Affiliation: </w:t>
      </w:r>
      <w:r w:rsidRPr="00110CD1">
        <w:rPr>
          <w:rFonts w:ascii="Times New Roman" w:hAnsi="Times New Roman" w:cs="Times New Roman"/>
          <w:bCs/>
          <w:smallCaps/>
          <w:sz w:val="28"/>
          <w:szCs w:val="28"/>
        </w:rPr>
        <w:t>School of Law, Christ University, India</w:t>
      </w:r>
    </w:p>
    <w:p w14:paraId="0E832615" w14:textId="77777777" w:rsidR="006A580B" w:rsidRPr="00110CD1" w:rsidRDefault="006A580B" w:rsidP="006A580B">
      <w:pPr>
        <w:jc w:val="both"/>
        <w:rPr>
          <w:rFonts w:ascii="Times New Roman" w:hAnsi="Times New Roman" w:cs="Times New Roman"/>
          <w:b/>
          <w:smallCaps/>
          <w:sz w:val="28"/>
          <w:szCs w:val="28"/>
        </w:rPr>
      </w:pPr>
    </w:p>
    <w:p w14:paraId="6BA6FAB1" w14:textId="29CC19AB" w:rsidR="006A580B" w:rsidRPr="006A580B" w:rsidRDefault="006A580B" w:rsidP="006A580B">
      <w:pPr>
        <w:pStyle w:val="ListParagraph"/>
        <w:numPr>
          <w:ilvl w:val="0"/>
          <w:numId w:val="1"/>
        </w:numPr>
        <w:spacing w:after="0" w:line="276" w:lineRule="auto"/>
        <w:jc w:val="both"/>
        <w:rPr>
          <w:rFonts w:ascii="Times New Roman" w:hAnsi="Times New Roman" w:cs="Times New Roman"/>
          <w:b/>
          <w:smallCaps/>
          <w:sz w:val="28"/>
          <w:szCs w:val="28"/>
        </w:rPr>
      </w:pPr>
      <w:r>
        <w:rPr>
          <w:rFonts w:ascii="Times New Roman" w:hAnsi="Times New Roman" w:cs="Times New Roman"/>
          <w:b/>
          <w:smallCaps/>
          <w:sz w:val="28"/>
          <w:szCs w:val="28"/>
        </w:rPr>
        <w:t xml:space="preserve">Designation: </w:t>
      </w:r>
      <w:r w:rsidRPr="00110CD1">
        <w:rPr>
          <w:rFonts w:ascii="Times New Roman" w:hAnsi="Times New Roman" w:cs="Times New Roman"/>
          <w:bCs/>
          <w:smallCaps/>
          <w:sz w:val="28"/>
          <w:szCs w:val="28"/>
        </w:rPr>
        <w:t>2</w:t>
      </w:r>
      <w:r w:rsidRPr="00110CD1">
        <w:rPr>
          <w:rFonts w:ascii="Times New Roman" w:hAnsi="Times New Roman" w:cs="Times New Roman"/>
          <w:bCs/>
          <w:smallCaps/>
          <w:sz w:val="28"/>
          <w:szCs w:val="28"/>
          <w:vertAlign w:val="superscript"/>
        </w:rPr>
        <w:t>nd</w:t>
      </w:r>
      <w:r w:rsidRPr="00110CD1">
        <w:rPr>
          <w:rFonts w:ascii="Times New Roman" w:hAnsi="Times New Roman" w:cs="Times New Roman"/>
          <w:bCs/>
          <w:smallCaps/>
          <w:sz w:val="28"/>
          <w:szCs w:val="28"/>
        </w:rPr>
        <w:t xml:space="preserve"> Year Law Student, BA LLB (Hons.)</w:t>
      </w:r>
    </w:p>
    <w:p w14:paraId="7FEC3EE0" w14:textId="77777777" w:rsidR="006A580B" w:rsidRPr="006A580B" w:rsidRDefault="006A580B" w:rsidP="006A580B">
      <w:pPr>
        <w:pStyle w:val="ListParagraph"/>
        <w:rPr>
          <w:rFonts w:ascii="Times New Roman" w:hAnsi="Times New Roman" w:cs="Times New Roman"/>
          <w:b/>
          <w:smallCaps/>
          <w:sz w:val="28"/>
          <w:szCs w:val="28"/>
        </w:rPr>
      </w:pPr>
    </w:p>
    <w:p w14:paraId="465FA6C9" w14:textId="122D3716" w:rsidR="006A580B" w:rsidRPr="006A580B" w:rsidRDefault="006A580B" w:rsidP="006A580B">
      <w:pPr>
        <w:pStyle w:val="ListParagraph"/>
        <w:numPr>
          <w:ilvl w:val="0"/>
          <w:numId w:val="1"/>
        </w:numPr>
        <w:spacing w:after="0" w:line="276" w:lineRule="auto"/>
        <w:jc w:val="both"/>
        <w:rPr>
          <w:rStyle w:val="Hyperlink"/>
          <w:rFonts w:ascii="Times New Roman" w:hAnsi="Times New Roman" w:cs="Times New Roman"/>
          <w:b/>
          <w:smallCaps/>
          <w:color w:val="auto"/>
          <w:sz w:val="28"/>
          <w:szCs w:val="28"/>
          <w:u w:val="none"/>
        </w:rPr>
      </w:pPr>
      <w:r w:rsidRPr="006A580B">
        <w:rPr>
          <w:rFonts w:ascii="Times New Roman" w:hAnsi="Times New Roman" w:cs="Times New Roman"/>
          <w:b/>
          <w:smallCaps/>
          <w:sz w:val="28"/>
          <w:szCs w:val="28"/>
        </w:rPr>
        <w:t xml:space="preserve">E-Mail ID: </w:t>
      </w:r>
      <w:hyperlink r:id="rId7" w:history="1">
        <w:r w:rsidRPr="006A580B">
          <w:rPr>
            <w:rStyle w:val="Hyperlink"/>
            <w:rFonts w:ascii="Times New Roman" w:hAnsi="Times New Roman" w:cs="Times New Roman"/>
            <w:bCs/>
            <w:sz w:val="28"/>
            <w:szCs w:val="28"/>
          </w:rPr>
          <w:t>rhea.vinay@law.christuniversity.in</w:t>
        </w:r>
      </w:hyperlink>
    </w:p>
    <w:p w14:paraId="62C76329" w14:textId="77777777" w:rsidR="006A580B" w:rsidRPr="006A580B" w:rsidRDefault="006A580B" w:rsidP="006A580B">
      <w:pPr>
        <w:pStyle w:val="ListParagraph"/>
        <w:rPr>
          <w:rStyle w:val="Hyperlink"/>
          <w:rFonts w:ascii="Times New Roman" w:hAnsi="Times New Roman" w:cs="Times New Roman"/>
          <w:b/>
          <w:smallCaps/>
          <w:color w:val="auto"/>
          <w:sz w:val="28"/>
          <w:szCs w:val="28"/>
          <w:u w:val="none"/>
        </w:rPr>
      </w:pPr>
    </w:p>
    <w:p w14:paraId="6D8A03F9" w14:textId="57FC6D52" w:rsidR="006A580B" w:rsidRPr="006A580B" w:rsidRDefault="006A580B" w:rsidP="006A580B">
      <w:pPr>
        <w:pStyle w:val="ListParagraph"/>
        <w:numPr>
          <w:ilvl w:val="0"/>
          <w:numId w:val="1"/>
        </w:numPr>
        <w:spacing w:after="0" w:line="276" w:lineRule="auto"/>
        <w:jc w:val="both"/>
        <w:rPr>
          <w:rStyle w:val="Hyperlink"/>
          <w:rFonts w:ascii="Times New Roman" w:hAnsi="Times New Roman" w:cs="Times New Roman"/>
          <w:b/>
          <w:smallCaps/>
          <w:color w:val="auto"/>
          <w:sz w:val="28"/>
          <w:szCs w:val="28"/>
          <w:u w:val="none"/>
        </w:rPr>
      </w:pPr>
      <w:r>
        <w:rPr>
          <w:rStyle w:val="Hyperlink"/>
          <w:rFonts w:ascii="Times New Roman" w:hAnsi="Times New Roman" w:cs="Times New Roman"/>
          <w:b/>
          <w:smallCaps/>
          <w:color w:val="auto"/>
          <w:sz w:val="28"/>
          <w:szCs w:val="28"/>
          <w:u w:val="none"/>
        </w:rPr>
        <w:t xml:space="preserve">Title: </w:t>
      </w:r>
      <w:r w:rsidRPr="006A580B">
        <w:rPr>
          <w:rStyle w:val="Hyperlink"/>
          <w:rFonts w:ascii="Times New Roman" w:hAnsi="Times New Roman" w:cs="Times New Roman"/>
          <w:bCs/>
          <w:smallCaps/>
          <w:color w:val="auto"/>
          <w:sz w:val="28"/>
          <w:szCs w:val="28"/>
          <w:u w:val="none"/>
        </w:rPr>
        <w:t>‘</w:t>
      </w:r>
      <w:r w:rsidRPr="00222DED">
        <w:rPr>
          <w:rFonts w:ascii="Times New Roman" w:hAnsi="Times New Roman" w:cs="Times New Roman"/>
          <w:bCs/>
          <w:i/>
          <w:iCs/>
          <w:smallCaps/>
          <w:sz w:val="28"/>
          <w:szCs w:val="28"/>
          <w:lang w:val="en"/>
        </w:rPr>
        <w:t>Rose and Frank Co v. Crompton and Brother Ltd</w:t>
      </w:r>
      <w:r w:rsidR="00222DED">
        <w:rPr>
          <w:rFonts w:ascii="Times New Roman" w:hAnsi="Times New Roman" w:cs="Times New Roman"/>
          <w:bCs/>
          <w:i/>
          <w:iCs/>
          <w:smallCaps/>
          <w:sz w:val="28"/>
          <w:szCs w:val="28"/>
          <w:lang w:val="en"/>
        </w:rPr>
        <w:t xml:space="preserve"> </w:t>
      </w:r>
      <w:r w:rsidR="00222DED">
        <w:rPr>
          <w:rFonts w:ascii="Times New Roman" w:hAnsi="Times New Roman" w:cs="Times New Roman"/>
          <w:bCs/>
          <w:smallCaps/>
          <w:sz w:val="28"/>
          <w:szCs w:val="28"/>
          <w:lang w:val="en"/>
        </w:rPr>
        <w:t>and the Law of Contracts: A Comprehensive Case Analysis’</w:t>
      </w:r>
    </w:p>
    <w:p w14:paraId="1546A051" w14:textId="77777777" w:rsidR="006A580B" w:rsidRDefault="006A580B" w:rsidP="006A580B">
      <w:pPr>
        <w:jc w:val="center"/>
        <w:rPr>
          <w:rStyle w:val="Hyperlink"/>
          <w:rFonts w:ascii="Times New Roman" w:hAnsi="Times New Roman" w:cs="Times New Roman"/>
          <w:bCs/>
          <w:sz w:val="28"/>
          <w:szCs w:val="28"/>
        </w:rPr>
      </w:pPr>
    </w:p>
    <w:p w14:paraId="5F4CE265" w14:textId="77777777" w:rsidR="006A580B" w:rsidRDefault="006A580B" w:rsidP="006A580B">
      <w:pPr>
        <w:jc w:val="center"/>
        <w:rPr>
          <w:rStyle w:val="Hyperlink"/>
          <w:rFonts w:ascii="Times New Roman" w:hAnsi="Times New Roman" w:cs="Times New Roman"/>
          <w:bCs/>
          <w:sz w:val="28"/>
          <w:szCs w:val="28"/>
        </w:rPr>
      </w:pPr>
    </w:p>
    <w:p w14:paraId="508C29D6" w14:textId="77777777" w:rsidR="006A580B" w:rsidRDefault="006A580B" w:rsidP="006A580B">
      <w:pPr>
        <w:jc w:val="center"/>
        <w:rPr>
          <w:rStyle w:val="Hyperlink"/>
          <w:rFonts w:ascii="Times New Roman" w:hAnsi="Times New Roman" w:cs="Times New Roman"/>
          <w:bCs/>
          <w:sz w:val="28"/>
          <w:szCs w:val="28"/>
        </w:rPr>
      </w:pPr>
    </w:p>
    <w:p w14:paraId="747F779C" w14:textId="77777777" w:rsidR="006A580B" w:rsidRDefault="006A580B" w:rsidP="006A580B">
      <w:pPr>
        <w:jc w:val="center"/>
        <w:rPr>
          <w:rStyle w:val="Hyperlink"/>
          <w:rFonts w:ascii="Times New Roman" w:hAnsi="Times New Roman" w:cs="Times New Roman"/>
          <w:bCs/>
          <w:sz w:val="28"/>
          <w:szCs w:val="28"/>
        </w:rPr>
      </w:pPr>
    </w:p>
    <w:p w14:paraId="36A953BF" w14:textId="77777777" w:rsidR="006A580B" w:rsidRDefault="006A580B" w:rsidP="006A580B">
      <w:pPr>
        <w:jc w:val="center"/>
        <w:rPr>
          <w:rStyle w:val="Hyperlink"/>
          <w:rFonts w:ascii="Times New Roman" w:hAnsi="Times New Roman" w:cs="Times New Roman"/>
          <w:bCs/>
          <w:sz w:val="28"/>
          <w:szCs w:val="28"/>
        </w:rPr>
      </w:pPr>
    </w:p>
    <w:p w14:paraId="7BE83C25" w14:textId="77777777" w:rsidR="006A580B" w:rsidRDefault="006A580B" w:rsidP="006A580B">
      <w:pPr>
        <w:jc w:val="center"/>
        <w:rPr>
          <w:rStyle w:val="Hyperlink"/>
          <w:rFonts w:ascii="Times New Roman" w:hAnsi="Times New Roman" w:cs="Times New Roman"/>
          <w:bCs/>
          <w:sz w:val="28"/>
          <w:szCs w:val="28"/>
        </w:rPr>
      </w:pPr>
    </w:p>
    <w:p w14:paraId="3055A713" w14:textId="77777777" w:rsidR="006A580B" w:rsidRDefault="006A580B" w:rsidP="006A580B">
      <w:pPr>
        <w:jc w:val="center"/>
        <w:rPr>
          <w:rStyle w:val="Hyperlink"/>
          <w:rFonts w:ascii="Times New Roman" w:hAnsi="Times New Roman" w:cs="Times New Roman"/>
          <w:bCs/>
          <w:sz w:val="28"/>
          <w:szCs w:val="28"/>
        </w:rPr>
      </w:pPr>
    </w:p>
    <w:p w14:paraId="0C8C36EF" w14:textId="77777777" w:rsidR="006A580B" w:rsidRDefault="006A580B" w:rsidP="006A580B">
      <w:pPr>
        <w:jc w:val="center"/>
        <w:rPr>
          <w:rStyle w:val="Hyperlink"/>
          <w:rFonts w:ascii="Times New Roman" w:hAnsi="Times New Roman" w:cs="Times New Roman"/>
          <w:bCs/>
          <w:sz w:val="28"/>
          <w:szCs w:val="28"/>
        </w:rPr>
      </w:pPr>
    </w:p>
    <w:p w14:paraId="5564AB3E" w14:textId="77777777" w:rsidR="006A580B" w:rsidRDefault="006A580B" w:rsidP="006A580B">
      <w:pPr>
        <w:jc w:val="center"/>
        <w:rPr>
          <w:rStyle w:val="Hyperlink"/>
          <w:rFonts w:ascii="Times New Roman" w:hAnsi="Times New Roman" w:cs="Times New Roman"/>
          <w:bCs/>
          <w:sz w:val="28"/>
          <w:szCs w:val="28"/>
        </w:rPr>
      </w:pPr>
    </w:p>
    <w:p w14:paraId="2E5F9D1D" w14:textId="77777777" w:rsidR="006A580B" w:rsidRDefault="006A580B" w:rsidP="006A580B">
      <w:pPr>
        <w:jc w:val="center"/>
        <w:rPr>
          <w:rStyle w:val="Hyperlink"/>
          <w:rFonts w:ascii="Times New Roman" w:hAnsi="Times New Roman" w:cs="Times New Roman"/>
          <w:bCs/>
          <w:sz w:val="28"/>
          <w:szCs w:val="28"/>
        </w:rPr>
      </w:pPr>
    </w:p>
    <w:p w14:paraId="1FECED1F" w14:textId="77777777" w:rsidR="006A580B" w:rsidRDefault="006A580B" w:rsidP="006A580B">
      <w:pPr>
        <w:jc w:val="center"/>
        <w:rPr>
          <w:rStyle w:val="Hyperlink"/>
          <w:rFonts w:ascii="Times New Roman" w:hAnsi="Times New Roman" w:cs="Times New Roman"/>
          <w:bCs/>
          <w:sz w:val="28"/>
          <w:szCs w:val="28"/>
        </w:rPr>
      </w:pPr>
    </w:p>
    <w:p w14:paraId="52293578" w14:textId="77777777" w:rsidR="006A580B" w:rsidRDefault="006A580B" w:rsidP="006A580B">
      <w:pPr>
        <w:jc w:val="center"/>
        <w:rPr>
          <w:rStyle w:val="Hyperlink"/>
          <w:rFonts w:ascii="Times New Roman" w:hAnsi="Times New Roman" w:cs="Times New Roman"/>
          <w:bCs/>
          <w:sz w:val="28"/>
          <w:szCs w:val="28"/>
        </w:rPr>
      </w:pPr>
    </w:p>
    <w:p w14:paraId="04DD15CF" w14:textId="77777777" w:rsidR="006A580B" w:rsidRDefault="006A580B" w:rsidP="006A580B">
      <w:pPr>
        <w:jc w:val="center"/>
        <w:rPr>
          <w:rStyle w:val="Hyperlink"/>
          <w:rFonts w:ascii="Times New Roman" w:hAnsi="Times New Roman" w:cs="Times New Roman"/>
          <w:bCs/>
          <w:sz w:val="28"/>
          <w:szCs w:val="28"/>
        </w:rPr>
      </w:pPr>
    </w:p>
    <w:p w14:paraId="29F6AFF9" w14:textId="77777777" w:rsidR="006A580B" w:rsidRDefault="006A580B" w:rsidP="006A580B">
      <w:pPr>
        <w:jc w:val="center"/>
        <w:rPr>
          <w:rStyle w:val="Hyperlink"/>
          <w:rFonts w:ascii="Times New Roman" w:hAnsi="Times New Roman" w:cs="Times New Roman"/>
          <w:bCs/>
          <w:sz w:val="28"/>
          <w:szCs w:val="28"/>
        </w:rPr>
      </w:pPr>
    </w:p>
    <w:p w14:paraId="0F423760" w14:textId="77777777" w:rsidR="006A580B" w:rsidRDefault="006A580B" w:rsidP="006A580B">
      <w:pPr>
        <w:jc w:val="center"/>
        <w:rPr>
          <w:rStyle w:val="Hyperlink"/>
          <w:rFonts w:ascii="Times New Roman" w:hAnsi="Times New Roman" w:cs="Times New Roman"/>
          <w:bCs/>
          <w:sz w:val="28"/>
          <w:szCs w:val="28"/>
        </w:rPr>
      </w:pPr>
    </w:p>
    <w:p w14:paraId="5ED086BF" w14:textId="77777777" w:rsidR="006A580B" w:rsidRDefault="006A580B" w:rsidP="006A580B">
      <w:pPr>
        <w:jc w:val="center"/>
        <w:rPr>
          <w:rStyle w:val="Hyperlink"/>
          <w:rFonts w:ascii="Times New Roman" w:hAnsi="Times New Roman" w:cs="Times New Roman"/>
          <w:bCs/>
          <w:sz w:val="28"/>
          <w:szCs w:val="28"/>
        </w:rPr>
      </w:pPr>
    </w:p>
    <w:p w14:paraId="02531043" w14:textId="77777777" w:rsidR="006A580B" w:rsidRDefault="006A580B" w:rsidP="006A580B">
      <w:pPr>
        <w:jc w:val="center"/>
        <w:rPr>
          <w:rStyle w:val="Hyperlink"/>
          <w:rFonts w:ascii="Times New Roman" w:hAnsi="Times New Roman" w:cs="Times New Roman"/>
          <w:bCs/>
          <w:sz w:val="28"/>
          <w:szCs w:val="28"/>
        </w:rPr>
      </w:pPr>
    </w:p>
    <w:p w14:paraId="659EC976" w14:textId="77777777" w:rsidR="006A580B" w:rsidRDefault="006A580B" w:rsidP="006A580B">
      <w:pPr>
        <w:jc w:val="center"/>
        <w:rPr>
          <w:rStyle w:val="Hyperlink"/>
          <w:rFonts w:ascii="Times New Roman" w:hAnsi="Times New Roman" w:cs="Times New Roman"/>
          <w:bCs/>
          <w:sz w:val="28"/>
          <w:szCs w:val="28"/>
        </w:rPr>
      </w:pPr>
    </w:p>
    <w:p w14:paraId="579B409C" w14:textId="77777777" w:rsidR="006A580B" w:rsidRDefault="006A580B" w:rsidP="006A580B">
      <w:pPr>
        <w:rPr>
          <w:rStyle w:val="Hyperlink"/>
          <w:rFonts w:ascii="Times New Roman" w:hAnsi="Times New Roman" w:cs="Times New Roman"/>
          <w:bCs/>
          <w:sz w:val="28"/>
          <w:szCs w:val="28"/>
        </w:rPr>
      </w:pPr>
    </w:p>
    <w:p w14:paraId="1BDB5D41" w14:textId="77777777" w:rsidR="006A580B" w:rsidRDefault="006A580B" w:rsidP="006A580B">
      <w:pPr>
        <w:rPr>
          <w:rStyle w:val="Hyperlink"/>
          <w:rFonts w:ascii="Times New Roman" w:hAnsi="Times New Roman" w:cs="Times New Roman"/>
          <w:bCs/>
          <w:sz w:val="28"/>
          <w:szCs w:val="28"/>
        </w:rPr>
      </w:pPr>
    </w:p>
    <w:p w14:paraId="50CCA873" w14:textId="06CF8323" w:rsidR="00222DED" w:rsidRPr="00222DED" w:rsidRDefault="00222DED" w:rsidP="00222DED">
      <w:pPr>
        <w:ind w:left="360"/>
        <w:jc w:val="center"/>
        <w:rPr>
          <w:rStyle w:val="Hyperlink"/>
          <w:rFonts w:ascii="Times New Roman" w:hAnsi="Times New Roman" w:cs="Times New Roman"/>
          <w:b/>
          <w:smallCaps/>
          <w:color w:val="auto"/>
          <w:sz w:val="30"/>
          <w:szCs w:val="30"/>
        </w:rPr>
      </w:pPr>
      <w:bookmarkStart w:id="0" w:name="_Hlk158915607"/>
      <w:r>
        <w:rPr>
          <w:rFonts w:ascii="Times New Roman" w:eastAsia="Times New Roman" w:hAnsi="Times New Roman" w:cs="Times New Roman"/>
          <w:b/>
          <w:i/>
          <w:iCs/>
          <w:smallCaps/>
          <w:color w:val="1F1F1F"/>
          <w:sz w:val="30"/>
          <w:szCs w:val="30"/>
          <w:highlight w:val="white"/>
          <w:u w:val="single"/>
        </w:rPr>
        <w:lastRenderedPageBreak/>
        <w:t>‘</w:t>
      </w:r>
      <w:r w:rsidR="00000000" w:rsidRPr="00222DED">
        <w:rPr>
          <w:rFonts w:ascii="Times New Roman" w:eastAsia="Times New Roman" w:hAnsi="Times New Roman" w:cs="Times New Roman"/>
          <w:b/>
          <w:i/>
          <w:iCs/>
          <w:smallCaps/>
          <w:color w:val="1F1F1F"/>
          <w:sz w:val="30"/>
          <w:szCs w:val="30"/>
          <w:highlight w:val="white"/>
          <w:u w:val="single"/>
        </w:rPr>
        <w:t>Rose and Frank Co v. Crompton and Brother Ltd</w:t>
      </w:r>
      <w:bookmarkEnd w:id="0"/>
      <w:r w:rsidR="00000000" w:rsidRPr="00222DED">
        <w:rPr>
          <w:rFonts w:ascii="Times New Roman" w:eastAsia="Times New Roman" w:hAnsi="Times New Roman" w:cs="Times New Roman"/>
          <w:b/>
          <w:color w:val="1F1F1F"/>
          <w:sz w:val="30"/>
          <w:szCs w:val="30"/>
          <w:highlight w:val="white"/>
          <w:u w:val="single"/>
          <w:vertAlign w:val="superscript"/>
        </w:rPr>
        <w:footnoteReference w:id="1"/>
      </w:r>
      <w:r w:rsidRPr="00222DED">
        <w:rPr>
          <w:rFonts w:ascii="Times New Roman" w:hAnsi="Times New Roman" w:cs="Times New Roman"/>
          <w:b/>
          <w:smallCaps/>
          <w:sz w:val="30"/>
          <w:szCs w:val="30"/>
          <w:u w:val="single"/>
        </w:rPr>
        <w:t xml:space="preserve"> </w:t>
      </w:r>
      <w:r w:rsidRPr="00222DED">
        <w:rPr>
          <w:rFonts w:ascii="Times New Roman" w:hAnsi="Times New Roman" w:cs="Times New Roman"/>
          <w:b/>
          <w:smallCaps/>
          <w:sz w:val="30"/>
          <w:szCs w:val="30"/>
          <w:u w:val="single"/>
        </w:rPr>
        <w:t>and the Law of Contracts: A Comprehensive Case Analysis’</w:t>
      </w:r>
    </w:p>
    <w:p w14:paraId="76DF329A" w14:textId="72EF6A88" w:rsidR="00524810" w:rsidRPr="006A580B" w:rsidRDefault="00524810">
      <w:pPr>
        <w:jc w:val="both"/>
        <w:rPr>
          <w:rFonts w:ascii="Times New Roman" w:eastAsia="Times New Roman" w:hAnsi="Times New Roman" w:cs="Times New Roman"/>
          <w:b/>
          <w:color w:val="1F1F1F"/>
          <w:sz w:val="32"/>
          <w:szCs w:val="32"/>
          <w:highlight w:val="white"/>
          <w:u w:val="single"/>
        </w:rPr>
      </w:pPr>
    </w:p>
    <w:p w14:paraId="0C599F8C" w14:textId="77777777" w:rsidR="006A580B" w:rsidRDefault="006A580B">
      <w:pPr>
        <w:jc w:val="both"/>
        <w:rPr>
          <w:rFonts w:ascii="Times New Roman" w:eastAsia="Times New Roman" w:hAnsi="Times New Roman" w:cs="Times New Roman"/>
          <w:b/>
          <w:color w:val="1F1F1F"/>
          <w:sz w:val="28"/>
          <w:szCs w:val="28"/>
          <w:highlight w:val="white"/>
          <w:u w:val="single"/>
        </w:rPr>
      </w:pPr>
    </w:p>
    <w:p w14:paraId="6BA538E6" w14:textId="5E870F46" w:rsidR="00524810" w:rsidRPr="006A580B" w:rsidRDefault="006A580B" w:rsidP="006A580B">
      <w:pPr>
        <w:jc w:val="center"/>
        <w:rPr>
          <w:rFonts w:ascii="Times New Roman" w:eastAsia="Times New Roman" w:hAnsi="Times New Roman" w:cs="Times New Roman"/>
          <w:b/>
          <w:smallCaps/>
          <w:color w:val="1F1F1F"/>
          <w:sz w:val="30"/>
          <w:szCs w:val="30"/>
          <w:highlight w:val="white"/>
        </w:rPr>
      </w:pPr>
      <w:r w:rsidRPr="006A580B">
        <w:rPr>
          <w:rFonts w:ascii="Times New Roman" w:eastAsia="Times New Roman" w:hAnsi="Times New Roman" w:cs="Times New Roman"/>
          <w:b/>
          <w:smallCaps/>
          <w:color w:val="1F1F1F"/>
          <w:sz w:val="30"/>
          <w:szCs w:val="30"/>
          <w:highlight w:val="white"/>
        </w:rPr>
        <w:t>Introduction</w:t>
      </w:r>
    </w:p>
    <w:p w14:paraId="6F4DB34F" w14:textId="77777777" w:rsidR="006A580B" w:rsidRPr="006A580B" w:rsidRDefault="006A580B" w:rsidP="006A580B">
      <w:pPr>
        <w:jc w:val="center"/>
        <w:rPr>
          <w:rFonts w:ascii="Times New Roman" w:eastAsia="Times New Roman" w:hAnsi="Times New Roman" w:cs="Times New Roman"/>
          <w:b/>
          <w:smallCaps/>
          <w:color w:val="1F1F1F"/>
          <w:sz w:val="28"/>
          <w:szCs w:val="28"/>
          <w:highlight w:val="white"/>
        </w:rPr>
      </w:pPr>
    </w:p>
    <w:p w14:paraId="3C84D29B"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English contract law's leading ruling on the ‘intention to create legal relations’ in business agreements is Rose &amp; Frank Co v. JR Crompton &amp; Bros Ltd (1924). It even highlights agreements that have been classified as legally binding. Atkin LJ provided a significant dissenting opinion in the Court of Appeal, and the House of Lords upheld it. The situation serves as an illustration of how the Blue Pencil Rule might be used. According to the "blue pencil" doctrine, the remainder of the legal and enforceable portion of a contract can still be enforceable and valid after the illegal, unenforceable, or unneeded portions have been removed. The goal is to strike out with a blue pencil any clause in a contract that is invalid, unenforceable, or superfluous while keeping the remainder of the clause that is still logical and legally binding. This rule is synonymous with the ‘Doctrine of Severability’ that we follow in Indian Law and is applicable in severing contracts. </w:t>
      </w:r>
    </w:p>
    <w:p w14:paraId="4E90524F"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11B27DEA"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It becomes important to understand the relevant factual matrix of the case. Rose Frank and Co., a US-based company, imports </w:t>
      </w:r>
      <w:proofErr w:type="spellStart"/>
      <w:r>
        <w:rPr>
          <w:rFonts w:ascii="Times New Roman" w:eastAsia="Times New Roman" w:hAnsi="Times New Roman" w:cs="Times New Roman"/>
          <w:color w:val="1F1F1F"/>
          <w:sz w:val="24"/>
          <w:szCs w:val="24"/>
          <w:highlight w:val="white"/>
        </w:rPr>
        <w:t>carbonising</w:t>
      </w:r>
      <w:proofErr w:type="spellEnd"/>
      <w:r>
        <w:rPr>
          <w:rFonts w:ascii="Times New Roman" w:eastAsia="Times New Roman" w:hAnsi="Times New Roman" w:cs="Times New Roman"/>
          <w:color w:val="1F1F1F"/>
          <w:sz w:val="24"/>
          <w:szCs w:val="24"/>
          <w:highlight w:val="white"/>
        </w:rPr>
        <w:t xml:space="preserve"> tissue paper from England and polishes it before reselling it in perfect condition. Beginning in 1905, they began working with JR Crompton and Bros Limited. Later, agreements between the parties gave Rose and Frank Company the sole and nearly sole right to market Crompton Bros </w:t>
      </w:r>
      <w:proofErr w:type="spellStart"/>
      <w:r>
        <w:rPr>
          <w:rFonts w:ascii="Times New Roman" w:eastAsia="Times New Roman" w:hAnsi="Times New Roman" w:cs="Times New Roman"/>
          <w:color w:val="1F1F1F"/>
          <w:sz w:val="24"/>
          <w:szCs w:val="24"/>
          <w:highlight w:val="white"/>
        </w:rPr>
        <w:t>carbonising</w:t>
      </w:r>
      <w:proofErr w:type="spellEnd"/>
      <w:r>
        <w:rPr>
          <w:rFonts w:ascii="Times New Roman" w:eastAsia="Times New Roman" w:hAnsi="Times New Roman" w:cs="Times New Roman"/>
          <w:color w:val="1F1F1F"/>
          <w:sz w:val="24"/>
          <w:szCs w:val="24"/>
          <w:highlight w:val="white"/>
        </w:rPr>
        <w:t xml:space="preserve"> tissue, with a 12-month notice</w:t>
      </w:r>
      <w:r>
        <w:rPr>
          <w:rFonts w:ascii="Times New Roman" w:eastAsia="Times New Roman" w:hAnsi="Times New Roman" w:cs="Times New Roman"/>
          <w:color w:val="1F1F1F"/>
          <w:sz w:val="24"/>
          <w:szCs w:val="24"/>
          <w:highlight w:val="white"/>
          <w:vertAlign w:val="superscript"/>
        </w:rPr>
        <w:footnoteReference w:id="2"/>
      </w:r>
      <w:r>
        <w:rPr>
          <w:rFonts w:ascii="Times New Roman" w:eastAsia="Times New Roman" w:hAnsi="Times New Roman" w:cs="Times New Roman"/>
          <w:color w:val="1F1F1F"/>
          <w:sz w:val="24"/>
          <w:szCs w:val="24"/>
          <w:highlight w:val="white"/>
        </w:rPr>
        <w:t xml:space="preserve"> obligation. In 1913, the relationships between the parties were being reevaluated. Following a modification to the agreement in 1913, JR Crompton and Bros. and another manufacturer, </w:t>
      </w:r>
      <w:proofErr w:type="spellStart"/>
      <w:r>
        <w:rPr>
          <w:rFonts w:ascii="Times New Roman" w:eastAsia="Times New Roman" w:hAnsi="Times New Roman" w:cs="Times New Roman"/>
          <w:color w:val="1F1F1F"/>
          <w:sz w:val="24"/>
          <w:szCs w:val="24"/>
          <w:highlight w:val="white"/>
        </w:rPr>
        <w:t>Brittains</w:t>
      </w:r>
      <w:proofErr w:type="spellEnd"/>
      <w:r>
        <w:rPr>
          <w:rFonts w:ascii="Times New Roman" w:eastAsia="Times New Roman" w:hAnsi="Times New Roman" w:cs="Times New Roman"/>
          <w:color w:val="1F1F1F"/>
          <w:sz w:val="24"/>
          <w:szCs w:val="24"/>
          <w:highlight w:val="white"/>
        </w:rPr>
        <w:t xml:space="preserve"> Ltd. (referred to as "</w:t>
      </w:r>
      <w:proofErr w:type="spellStart"/>
      <w:r>
        <w:rPr>
          <w:rFonts w:ascii="Times New Roman" w:eastAsia="Times New Roman" w:hAnsi="Times New Roman" w:cs="Times New Roman"/>
          <w:color w:val="1F1F1F"/>
          <w:sz w:val="24"/>
          <w:szCs w:val="24"/>
          <w:highlight w:val="white"/>
        </w:rPr>
        <w:t>Brittains</w:t>
      </w:r>
      <w:proofErr w:type="spellEnd"/>
      <w:r>
        <w:rPr>
          <w:rFonts w:ascii="Times New Roman" w:eastAsia="Times New Roman" w:hAnsi="Times New Roman" w:cs="Times New Roman"/>
          <w:color w:val="1F1F1F"/>
          <w:sz w:val="24"/>
          <w:szCs w:val="24"/>
          <w:highlight w:val="white"/>
        </w:rPr>
        <w:t xml:space="preserve">"), began supplying </w:t>
      </w:r>
      <w:proofErr w:type="spellStart"/>
      <w:r>
        <w:rPr>
          <w:rFonts w:ascii="Times New Roman" w:eastAsia="Times New Roman" w:hAnsi="Times New Roman" w:cs="Times New Roman"/>
          <w:color w:val="1F1F1F"/>
          <w:sz w:val="24"/>
          <w:szCs w:val="24"/>
          <w:highlight w:val="white"/>
        </w:rPr>
        <w:t>carbonising</w:t>
      </w:r>
      <w:proofErr w:type="spellEnd"/>
      <w:r>
        <w:rPr>
          <w:rFonts w:ascii="Times New Roman" w:eastAsia="Times New Roman" w:hAnsi="Times New Roman" w:cs="Times New Roman"/>
          <w:color w:val="1F1F1F"/>
          <w:sz w:val="24"/>
          <w:szCs w:val="24"/>
          <w:highlight w:val="white"/>
        </w:rPr>
        <w:t xml:space="preserve"> paper to Rose Frank and Co. The parties agreed that tissue paper would be provided. Near the end of the document, there was an intriguing sentence that stated: "This agreement is neither formal nor legally binding and is not contained in this </w:t>
      </w:r>
      <w:r>
        <w:rPr>
          <w:rFonts w:ascii="Times New Roman" w:eastAsia="Times New Roman" w:hAnsi="Times New Roman" w:cs="Times New Roman"/>
          <w:color w:val="1F1F1F"/>
          <w:sz w:val="24"/>
          <w:szCs w:val="24"/>
          <w:highlight w:val="white"/>
        </w:rPr>
        <w:lastRenderedPageBreak/>
        <w:t xml:space="preserve">memorandum, which means that it is not enforceable in court." The agreement was for three years, but it could be ended earlier with a six-month notice. In August 1918, the agreement was extended for a further three years under the same conditions. Early in 1919, soon before the second term was due to end in 1920, a dispute regarding Rose Frank and Co.'s performance broke out. Because Rose Frank and Co. </w:t>
      </w:r>
      <w:proofErr w:type="gramStart"/>
      <w:r>
        <w:rPr>
          <w:rFonts w:ascii="Times New Roman" w:eastAsia="Times New Roman" w:hAnsi="Times New Roman" w:cs="Times New Roman"/>
          <w:color w:val="1F1F1F"/>
          <w:sz w:val="24"/>
          <w:szCs w:val="24"/>
          <w:highlight w:val="white"/>
        </w:rPr>
        <w:t>weren't</w:t>
      </w:r>
      <w:proofErr w:type="gramEnd"/>
      <w:r>
        <w:rPr>
          <w:rFonts w:ascii="Times New Roman" w:eastAsia="Times New Roman" w:hAnsi="Times New Roman" w:cs="Times New Roman"/>
          <w:color w:val="1F1F1F"/>
          <w:sz w:val="24"/>
          <w:szCs w:val="24"/>
          <w:highlight w:val="white"/>
        </w:rPr>
        <w:t xml:space="preserve"> stocking as much variety as they ought to, Crompton &amp; Bros believed that their business was suffering and they. The breakdown of the two parties' relationship was caused by JR Crompton's refusal to fulfil several of the plaintiff's instructions. Rose &amp; Frank Co. filed a lawsuit to have the agreement enforced. After the occurrence of these instances, the main issue that arose is whether a contract can include information stating that it is not enforceable, or is there really a contract.</w:t>
      </w:r>
    </w:p>
    <w:p w14:paraId="07952BFD"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12DDBAF9" w14:textId="61E68930"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Regarding the judgement in the case, The House of Lords ruled that the written agreement was not a contract. The "binding in </w:t>
      </w:r>
      <w:proofErr w:type="spellStart"/>
      <w:r>
        <w:rPr>
          <w:rFonts w:ascii="Times New Roman" w:eastAsia="Times New Roman" w:hAnsi="Times New Roman" w:cs="Times New Roman"/>
          <w:color w:val="1F1F1F"/>
          <w:sz w:val="24"/>
          <w:szCs w:val="24"/>
          <w:highlight w:val="white"/>
        </w:rPr>
        <w:t>honour</w:t>
      </w:r>
      <w:proofErr w:type="spellEnd"/>
      <w:r>
        <w:rPr>
          <w:rFonts w:ascii="Times New Roman" w:eastAsia="Times New Roman" w:hAnsi="Times New Roman" w:cs="Times New Roman"/>
          <w:color w:val="1F1F1F"/>
          <w:sz w:val="24"/>
          <w:szCs w:val="24"/>
          <w:highlight w:val="white"/>
        </w:rPr>
        <w:t xml:space="preserve"> only" phrase was included </w:t>
      </w:r>
      <w:proofErr w:type="gramStart"/>
      <w:r>
        <w:rPr>
          <w:rFonts w:ascii="Times New Roman" w:eastAsia="Times New Roman" w:hAnsi="Times New Roman" w:cs="Times New Roman"/>
          <w:color w:val="1F1F1F"/>
          <w:sz w:val="24"/>
          <w:szCs w:val="24"/>
          <w:highlight w:val="white"/>
        </w:rPr>
        <w:t>in order to</w:t>
      </w:r>
      <w:proofErr w:type="gramEnd"/>
      <w:r>
        <w:rPr>
          <w:rFonts w:ascii="Times New Roman" w:eastAsia="Times New Roman" w:hAnsi="Times New Roman" w:cs="Times New Roman"/>
          <w:color w:val="1F1F1F"/>
          <w:sz w:val="24"/>
          <w:szCs w:val="24"/>
          <w:highlight w:val="white"/>
        </w:rPr>
        <w:t xml:space="preserve"> make it clear that the parties did not wish to be bound by its legal requirements. However, a second, binding contract for the delivery of the goods was established as soon as the claimant placed an order and it was accepted. It was further held that the High Court would conduct the trial on the issues of whether there was a breach and if the defendant has a </w:t>
      </w:r>
      <w:proofErr w:type="spellStart"/>
      <w:r>
        <w:rPr>
          <w:rFonts w:ascii="Times New Roman" w:eastAsia="Times New Roman" w:hAnsi="Times New Roman" w:cs="Times New Roman"/>
          <w:color w:val="1F1F1F"/>
          <w:sz w:val="24"/>
          <w:szCs w:val="24"/>
          <w:highlight w:val="white"/>
        </w:rPr>
        <w:t>defence</w:t>
      </w:r>
      <w:proofErr w:type="spellEnd"/>
      <w:r>
        <w:rPr>
          <w:rFonts w:ascii="Times New Roman" w:eastAsia="Times New Roman" w:hAnsi="Times New Roman" w:cs="Times New Roman"/>
          <w:color w:val="1F1F1F"/>
          <w:sz w:val="24"/>
          <w:szCs w:val="24"/>
          <w:highlight w:val="white"/>
        </w:rPr>
        <w:t xml:space="preserve">, it was further stated in the opinion. In furtherance, the Court ruled that the orders and acceptances could still be considered legally enforceable contracts </w:t>
      </w:r>
      <w:proofErr w:type="gramStart"/>
      <w:r>
        <w:rPr>
          <w:rFonts w:ascii="Times New Roman" w:eastAsia="Times New Roman" w:hAnsi="Times New Roman" w:cs="Times New Roman"/>
          <w:color w:val="1F1F1F"/>
          <w:sz w:val="24"/>
          <w:szCs w:val="24"/>
          <w:highlight w:val="white"/>
        </w:rPr>
        <w:t>despite the fact that</w:t>
      </w:r>
      <w:proofErr w:type="gramEnd"/>
      <w:r>
        <w:rPr>
          <w:rFonts w:ascii="Times New Roman" w:eastAsia="Times New Roman" w:hAnsi="Times New Roman" w:cs="Times New Roman"/>
          <w:color w:val="1F1F1F"/>
          <w:sz w:val="24"/>
          <w:szCs w:val="24"/>
          <w:highlight w:val="white"/>
        </w:rPr>
        <w:t xml:space="preserve"> the agreement between the parties to the case did not amount to a formal contract. Therefore, legal transactions are not prohibited by the lack of enforceability of a legal arrangement represented in an agency agreement. It was conclusively held that the </w:t>
      </w:r>
      <w:proofErr w:type="spellStart"/>
      <w:r>
        <w:rPr>
          <w:rFonts w:ascii="Times New Roman" w:eastAsia="Times New Roman" w:hAnsi="Times New Roman" w:cs="Times New Roman"/>
          <w:color w:val="1F1F1F"/>
          <w:sz w:val="24"/>
          <w:szCs w:val="24"/>
          <w:highlight w:val="white"/>
        </w:rPr>
        <w:t>honourable</w:t>
      </w:r>
      <w:proofErr w:type="spellEnd"/>
      <w:r>
        <w:rPr>
          <w:rFonts w:ascii="Times New Roman" w:eastAsia="Times New Roman" w:hAnsi="Times New Roman" w:cs="Times New Roman"/>
          <w:color w:val="1F1F1F"/>
          <w:sz w:val="24"/>
          <w:szCs w:val="24"/>
          <w:highlight w:val="white"/>
        </w:rPr>
        <w:t xml:space="preserve"> vow was against the remainder of the document's objective and that it was also against public policy to be able to enforce such a clause. The impugned language had no effect, according to Bailhache J.'s reasoning, and the agreement was a valid contract that could be enforced in court.</w:t>
      </w:r>
    </w:p>
    <w:p w14:paraId="37AE7159" w14:textId="77777777" w:rsidR="00222DED" w:rsidRDefault="00222DED" w:rsidP="006A580B">
      <w:pPr>
        <w:spacing w:line="360" w:lineRule="auto"/>
        <w:jc w:val="both"/>
        <w:rPr>
          <w:rFonts w:ascii="Times New Roman" w:eastAsia="Times New Roman" w:hAnsi="Times New Roman" w:cs="Times New Roman"/>
          <w:color w:val="1F1F1F"/>
          <w:sz w:val="24"/>
          <w:szCs w:val="24"/>
          <w:highlight w:val="white"/>
        </w:rPr>
      </w:pPr>
    </w:p>
    <w:p w14:paraId="3963B8BD" w14:textId="77777777" w:rsidR="006A580B" w:rsidRDefault="006A580B" w:rsidP="006A580B">
      <w:pPr>
        <w:spacing w:line="360" w:lineRule="auto"/>
        <w:jc w:val="both"/>
        <w:rPr>
          <w:rFonts w:ascii="Times New Roman" w:eastAsia="Times New Roman" w:hAnsi="Times New Roman" w:cs="Times New Roman"/>
          <w:color w:val="1F1F1F"/>
          <w:sz w:val="24"/>
          <w:szCs w:val="24"/>
          <w:highlight w:val="white"/>
        </w:rPr>
      </w:pPr>
    </w:p>
    <w:p w14:paraId="6AFC7EEF" w14:textId="3EF0CE2C" w:rsidR="006A580B" w:rsidRPr="006A580B" w:rsidRDefault="006A580B" w:rsidP="006A580B">
      <w:pPr>
        <w:spacing w:line="360" w:lineRule="auto"/>
        <w:jc w:val="center"/>
        <w:rPr>
          <w:rFonts w:ascii="Times New Roman" w:eastAsia="Times New Roman" w:hAnsi="Times New Roman" w:cs="Times New Roman"/>
          <w:b/>
          <w:smallCaps/>
          <w:color w:val="1F1F1F"/>
          <w:sz w:val="32"/>
          <w:szCs w:val="32"/>
          <w:highlight w:val="white"/>
        </w:rPr>
      </w:pPr>
      <w:r w:rsidRPr="006A580B">
        <w:rPr>
          <w:rFonts w:ascii="Times New Roman" w:eastAsia="Times New Roman" w:hAnsi="Times New Roman" w:cs="Times New Roman"/>
          <w:b/>
          <w:smallCaps/>
          <w:color w:val="1F1F1F"/>
          <w:sz w:val="32"/>
          <w:szCs w:val="32"/>
          <w:highlight w:val="white"/>
        </w:rPr>
        <w:t>Background</w:t>
      </w:r>
    </w:p>
    <w:p w14:paraId="2FE222D3"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The case was an important one with respect to the ‘intention to enter into a legal relationship</w:t>
      </w:r>
      <w:proofErr w:type="gramStart"/>
      <w:r>
        <w:rPr>
          <w:rFonts w:ascii="Times New Roman" w:eastAsia="Times New Roman" w:hAnsi="Times New Roman" w:cs="Times New Roman"/>
          <w:color w:val="1F1F1F"/>
          <w:sz w:val="24"/>
          <w:szCs w:val="24"/>
          <w:highlight w:val="white"/>
        </w:rPr>
        <w:t>’.</w:t>
      </w:r>
      <w:proofErr w:type="gramEnd"/>
      <w:r>
        <w:rPr>
          <w:rFonts w:ascii="Times New Roman" w:eastAsia="Times New Roman" w:hAnsi="Times New Roman" w:cs="Times New Roman"/>
          <w:color w:val="1F1F1F"/>
          <w:sz w:val="24"/>
          <w:szCs w:val="24"/>
          <w:highlight w:val="white"/>
        </w:rPr>
        <w:t xml:space="preserve"> One of the key components of a contract is the intent to establish legal relations. To engage into a legally binding contract or agreement is to have the intention to establish legal ties. This might be </w:t>
      </w:r>
      <w:r>
        <w:rPr>
          <w:rFonts w:ascii="Times New Roman" w:eastAsia="Times New Roman" w:hAnsi="Times New Roman" w:cs="Times New Roman"/>
          <w:color w:val="1F1F1F"/>
          <w:sz w:val="24"/>
          <w:szCs w:val="24"/>
          <w:highlight w:val="white"/>
        </w:rPr>
        <w:lastRenderedPageBreak/>
        <w:t xml:space="preserve">seen as one of the components required for the creation of a contract. because it demonstrates the parties' willingness to embrace the ramifications of their agreement's legal terms. Each contractual party shall make the motion to enter into a legally enforceable agreement. There is no explicit definition of the phrase "intention to create legal relationships" between the parties in the Indian Contracts Act of 1872. However, numerous national and international judgements have held throughout the years that parties must have the intention to establish a legal relationship </w:t>
      </w:r>
      <w:proofErr w:type="gramStart"/>
      <w:r>
        <w:rPr>
          <w:rFonts w:ascii="Times New Roman" w:eastAsia="Times New Roman" w:hAnsi="Times New Roman" w:cs="Times New Roman"/>
          <w:color w:val="1F1F1F"/>
          <w:sz w:val="24"/>
          <w:szCs w:val="24"/>
          <w:highlight w:val="white"/>
        </w:rPr>
        <w:t>in order for</w:t>
      </w:r>
      <w:proofErr w:type="gramEnd"/>
      <w:r>
        <w:rPr>
          <w:rFonts w:ascii="Times New Roman" w:eastAsia="Times New Roman" w:hAnsi="Times New Roman" w:cs="Times New Roman"/>
          <w:color w:val="1F1F1F"/>
          <w:sz w:val="24"/>
          <w:szCs w:val="24"/>
          <w:highlight w:val="white"/>
        </w:rPr>
        <w:t xml:space="preserve"> a contract to have a binding effect. The key principles that govern the concept of intention are as follows: if there is no intention to establish a legal relationship, the parties cannot bring legal action against one another; if there is no intention to establish a legal relationship, the contract is merely a promise; and if there is no intention to establish a legal relationship, the contract has no legal force. </w:t>
      </w:r>
    </w:p>
    <w:p w14:paraId="115EB473"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793D514D"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In the case of </w:t>
      </w:r>
      <w:r>
        <w:rPr>
          <w:rFonts w:ascii="Times New Roman" w:eastAsia="Times New Roman" w:hAnsi="Times New Roman" w:cs="Times New Roman"/>
          <w:b/>
          <w:i/>
          <w:color w:val="1F1F1F"/>
          <w:sz w:val="24"/>
          <w:szCs w:val="24"/>
          <w:highlight w:val="white"/>
        </w:rPr>
        <w:t>Balfour v. Balfour (1919)</w:t>
      </w:r>
      <w:r>
        <w:rPr>
          <w:rFonts w:ascii="Times New Roman" w:eastAsia="Times New Roman" w:hAnsi="Times New Roman" w:cs="Times New Roman"/>
          <w:color w:val="1F1F1F"/>
          <w:sz w:val="24"/>
          <w:szCs w:val="24"/>
          <w:highlight w:val="white"/>
        </w:rPr>
        <w:t>,</w:t>
      </w:r>
      <w:r>
        <w:rPr>
          <w:rFonts w:ascii="Times New Roman" w:eastAsia="Times New Roman" w:hAnsi="Times New Roman" w:cs="Times New Roman"/>
          <w:color w:val="1F1F1F"/>
          <w:sz w:val="24"/>
          <w:szCs w:val="24"/>
          <w:highlight w:val="white"/>
          <w:vertAlign w:val="superscript"/>
        </w:rPr>
        <w:footnoteReference w:id="3"/>
      </w:r>
      <w:r>
        <w:rPr>
          <w:rFonts w:ascii="Times New Roman" w:eastAsia="Times New Roman" w:hAnsi="Times New Roman" w:cs="Times New Roman"/>
          <w:color w:val="1F1F1F"/>
          <w:sz w:val="24"/>
          <w:szCs w:val="24"/>
          <w:highlight w:val="white"/>
        </w:rPr>
        <w:t xml:space="preserve"> Lord Atkin provided the following explanation of the idea of intention to create a contractual relationship. The authors of contract law have established two tests to ascertain if an intention to establish a legal relationship exists. </w:t>
      </w:r>
      <w:r>
        <w:rPr>
          <w:rFonts w:ascii="Times New Roman" w:eastAsia="Times New Roman" w:hAnsi="Times New Roman" w:cs="Times New Roman"/>
          <w:i/>
          <w:color w:val="1F1F1F"/>
          <w:sz w:val="24"/>
          <w:szCs w:val="24"/>
          <w:highlight w:val="white"/>
        </w:rPr>
        <w:t>(1) Objective Test</w:t>
      </w:r>
      <w:r>
        <w:rPr>
          <w:rFonts w:ascii="Times New Roman" w:eastAsia="Times New Roman" w:hAnsi="Times New Roman" w:cs="Times New Roman"/>
          <w:color w:val="1F1F1F"/>
          <w:sz w:val="24"/>
          <w:szCs w:val="24"/>
          <w:highlight w:val="white"/>
        </w:rPr>
        <w:t xml:space="preserve"> - In this case, the court will reach a decision based on what a reasonable person would consider, the relevant facts at the time, and the parties’ intentions. According to this, contractual relationships should always be judged objectively rather than subjectively. The objective test considers what a reasonable man would have believed at the time the contract was being created, not what the parties intended. Instead of considering the parties' intentions, the court will consider the viewpoint of a reasonable man. An important case in this regard is that of </w:t>
      </w:r>
      <w:r>
        <w:rPr>
          <w:rFonts w:ascii="Times New Roman" w:eastAsia="Times New Roman" w:hAnsi="Times New Roman" w:cs="Times New Roman"/>
          <w:b/>
          <w:i/>
          <w:color w:val="1F1F1F"/>
          <w:sz w:val="24"/>
          <w:szCs w:val="24"/>
          <w:highlight w:val="white"/>
        </w:rPr>
        <w:t>Carlill v. Carbolic Smoke Ball Company (1893</w:t>
      </w:r>
      <w:r>
        <w:rPr>
          <w:rFonts w:ascii="Times New Roman" w:eastAsia="Times New Roman" w:hAnsi="Times New Roman" w:cs="Times New Roman"/>
          <w:b/>
          <w:i/>
          <w:color w:val="222222"/>
          <w:sz w:val="24"/>
          <w:szCs w:val="24"/>
          <w:highlight w:val="white"/>
        </w:rPr>
        <w:t>)</w:t>
      </w:r>
      <w:r>
        <w:rPr>
          <w:rFonts w:ascii="Times New Roman" w:eastAsia="Times New Roman" w:hAnsi="Times New Roman" w:cs="Times New Roman"/>
          <w:b/>
          <w:color w:val="222222"/>
          <w:sz w:val="24"/>
          <w:szCs w:val="24"/>
          <w:highlight w:val="white"/>
          <w:vertAlign w:val="superscript"/>
        </w:rPr>
        <w:footnoteReference w:id="4"/>
      </w:r>
      <w:r>
        <w:rPr>
          <w:rFonts w:ascii="Times New Roman" w:eastAsia="Times New Roman" w:hAnsi="Times New Roman" w:cs="Times New Roman"/>
          <w:color w:val="222222"/>
          <w:sz w:val="24"/>
          <w:szCs w:val="24"/>
          <w:highlight w:val="white"/>
        </w:rPr>
        <w:t xml:space="preserve"> (shall be elaborated upon later).</w:t>
      </w:r>
      <w:r>
        <w:rPr>
          <w:rFonts w:ascii="Times New Roman" w:eastAsia="Times New Roman" w:hAnsi="Times New Roman" w:cs="Times New Roman"/>
          <w:color w:val="1F1F1F"/>
          <w:sz w:val="24"/>
          <w:szCs w:val="24"/>
          <w:highlight w:val="white"/>
        </w:rPr>
        <w:t xml:space="preserve"> (</w:t>
      </w:r>
      <w:r>
        <w:rPr>
          <w:rFonts w:ascii="Times New Roman" w:eastAsia="Times New Roman" w:hAnsi="Times New Roman" w:cs="Times New Roman"/>
          <w:i/>
          <w:color w:val="1F1F1F"/>
          <w:sz w:val="24"/>
          <w:szCs w:val="24"/>
          <w:highlight w:val="white"/>
        </w:rPr>
        <w:t xml:space="preserve">2) Rebuttable presumption - </w:t>
      </w:r>
      <w:r>
        <w:rPr>
          <w:rFonts w:ascii="Times New Roman" w:eastAsia="Times New Roman" w:hAnsi="Times New Roman" w:cs="Times New Roman"/>
          <w:color w:val="1F1F1F"/>
          <w:sz w:val="24"/>
          <w:szCs w:val="24"/>
          <w:highlight w:val="white"/>
        </w:rPr>
        <w:t xml:space="preserve">In </w:t>
      </w:r>
      <w:proofErr w:type="gramStart"/>
      <w:r>
        <w:rPr>
          <w:rFonts w:ascii="Times New Roman" w:eastAsia="Times New Roman" w:hAnsi="Times New Roman" w:cs="Times New Roman"/>
          <w:color w:val="1F1F1F"/>
          <w:sz w:val="24"/>
          <w:szCs w:val="24"/>
          <w:highlight w:val="white"/>
        </w:rPr>
        <w:t>a number of</w:t>
      </w:r>
      <w:proofErr w:type="gramEnd"/>
      <w:r>
        <w:rPr>
          <w:rFonts w:ascii="Times New Roman" w:eastAsia="Times New Roman" w:hAnsi="Times New Roman" w:cs="Times New Roman"/>
          <w:color w:val="1F1F1F"/>
          <w:sz w:val="24"/>
          <w:szCs w:val="24"/>
          <w:highlight w:val="white"/>
        </w:rPr>
        <w:t xml:space="preserve"> situations, such as family/social agreements, the court will presume that the parties intended to establish a legal relationship. However, this assumption may be disproven </w:t>
      </w:r>
      <w:proofErr w:type="gramStart"/>
      <w:r>
        <w:rPr>
          <w:rFonts w:ascii="Times New Roman" w:eastAsia="Times New Roman" w:hAnsi="Times New Roman" w:cs="Times New Roman"/>
          <w:color w:val="1F1F1F"/>
          <w:sz w:val="24"/>
          <w:szCs w:val="24"/>
          <w:highlight w:val="white"/>
        </w:rPr>
        <w:t>on the basis of</w:t>
      </w:r>
      <w:proofErr w:type="gramEnd"/>
      <w:r>
        <w:rPr>
          <w:rFonts w:ascii="Times New Roman" w:eastAsia="Times New Roman" w:hAnsi="Times New Roman" w:cs="Times New Roman"/>
          <w:color w:val="1F1F1F"/>
          <w:sz w:val="24"/>
          <w:szCs w:val="24"/>
          <w:highlight w:val="white"/>
        </w:rPr>
        <w:t xml:space="preserve"> relevant facts and circumstances.</w:t>
      </w:r>
    </w:p>
    <w:p w14:paraId="4064F9A6"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2505C7BC" w14:textId="7F0F04C5" w:rsidR="006A580B"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Further, The Crompton Case is important for </w:t>
      </w:r>
      <w:proofErr w:type="gramStart"/>
      <w:r>
        <w:rPr>
          <w:rFonts w:ascii="Times New Roman" w:eastAsia="Times New Roman" w:hAnsi="Times New Roman" w:cs="Times New Roman"/>
          <w:color w:val="1F1F1F"/>
          <w:sz w:val="24"/>
          <w:szCs w:val="24"/>
          <w:highlight w:val="white"/>
        </w:rPr>
        <w:t>a number of</w:t>
      </w:r>
      <w:proofErr w:type="gramEnd"/>
      <w:r>
        <w:rPr>
          <w:rFonts w:ascii="Times New Roman" w:eastAsia="Times New Roman" w:hAnsi="Times New Roman" w:cs="Times New Roman"/>
          <w:color w:val="1F1F1F"/>
          <w:sz w:val="24"/>
          <w:szCs w:val="24"/>
          <w:highlight w:val="white"/>
        </w:rPr>
        <w:t xml:space="preserve"> causes. It established the rule that an agreement to agree is not legally binding in the absence of sufficient clarity. The ruling made it </w:t>
      </w:r>
      <w:r>
        <w:rPr>
          <w:rFonts w:ascii="Times New Roman" w:eastAsia="Times New Roman" w:hAnsi="Times New Roman" w:cs="Times New Roman"/>
          <w:color w:val="1F1F1F"/>
          <w:sz w:val="24"/>
          <w:szCs w:val="24"/>
          <w:highlight w:val="white"/>
        </w:rPr>
        <w:lastRenderedPageBreak/>
        <w:t xml:space="preserve">clear what constitutes a genuine arbitration agreement and when the court can get involved. Additionally, the decision helped shape the idea of the separability of arbitration provisions. According to this philosophy, an arbitration clause is treated apart from the main contract and can continue to be enforceable even if the main contract is judged to be unenforceable. The House of Lords acknowledged this idea and stated that the arbitration clause might still be acceptable even if the contract itself was invalid because of ambiguity. Contract law and arbitration </w:t>
      </w:r>
      <w:proofErr w:type="spellStart"/>
      <w:r>
        <w:rPr>
          <w:rFonts w:ascii="Times New Roman" w:eastAsia="Times New Roman" w:hAnsi="Times New Roman" w:cs="Times New Roman"/>
          <w:color w:val="1F1F1F"/>
          <w:sz w:val="24"/>
          <w:szCs w:val="24"/>
          <w:highlight w:val="white"/>
        </w:rPr>
        <w:t>practise</w:t>
      </w:r>
      <w:proofErr w:type="spellEnd"/>
      <w:r>
        <w:rPr>
          <w:rFonts w:ascii="Times New Roman" w:eastAsia="Times New Roman" w:hAnsi="Times New Roman" w:cs="Times New Roman"/>
          <w:color w:val="1F1F1F"/>
          <w:sz w:val="24"/>
          <w:szCs w:val="24"/>
          <w:highlight w:val="white"/>
        </w:rPr>
        <w:t xml:space="preserve"> in England and other common law jurisdictions have been affected significantly by the decision in Rose and Frank Co. v. Crompton &amp; Brothers Ltd. It helped establish the separability of arbitration clauses and defined the conditions for enforceable arbitration agreements. </w:t>
      </w:r>
    </w:p>
    <w:p w14:paraId="3C2E8E52"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28ED9EC6" w14:textId="77777777" w:rsidR="006A580B" w:rsidRDefault="006A580B" w:rsidP="006A580B">
      <w:pPr>
        <w:spacing w:line="360" w:lineRule="auto"/>
        <w:jc w:val="both"/>
        <w:rPr>
          <w:rFonts w:ascii="Times New Roman" w:eastAsia="Times New Roman" w:hAnsi="Times New Roman" w:cs="Times New Roman"/>
          <w:color w:val="1F1F1F"/>
          <w:sz w:val="24"/>
          <w:szCs w:val="24"/>
          <w:highlight w:val="white"/>
        </w:rPr>
      </w:pPr>
    </w:p>
    <w:p w14:paraId="24D12E8C" w14:textId="7E36EDED" w:rsidR="006A580B" w:rsidRPr="006A580B" w:rsidRDefault="00000000" w:rsidP="006A580B">
      <w:pPr>
        <w:spacing w:line="360" w:lineRule="auto"/>
        <w:jc w:val="center"/>
        <w:rPr>
          <w:rFonts w:ascii="Times New Roman" w:eastAsia="Times New Roman" w:hAnsi="Times New Roman" w:cs="Times New Roman"/>
          <w:b/>
          <w:smallCaps/>
          <w:color w:val="1F1F1F"/>
          <w:sz w:val="32"/>
          <w:szCs w:val="32"/>
          <w:highlight w:val="white"/>
        </w:rPr>
      </w:pPr>
      <w:r w:rsidRPr="006A580B">
        <w:rPr>
          <w:rFonts w:ascii="Times New Roman" w:eastAsia="Times New Roman" w:hAnsi="Times New Roman" w:cs="Times New Roman"/>
          <w:b/>
          <w:smallCaps/>
          <w:color w:val="1F1F1F"/>
          <w:sz w:val="32"/>
          <w:szCs w:val="32"/>
          <w:highlight w:val="white"/>
        </w:rPr>
        <w:t>A</w:t>
      </w:r>
      <w:r w:rsidR="006A580B" w:rsidRPr="006A580B">
        <w:rPr>
          <w:rFonts w:ascii="Times New Roman" w:eastAsia="Times New Roman" w:hAnsi="Times New Roman" w:cs="Times New Roman"/>
          <w:b/>
          <w:smallCaps/>
          <w:color w:val="1F1F1F"/>
          <w:sz w:val="32"/>
          <w:szCs w:val="32"/>
          <w:highlight w:val="white"/>
        </w:rPr>
        <w:t>nalysis</w:t>
      </w:r>
    </w:p>
    <w:p w14:paraId="3FAE293B"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The case highlights the intention to create a legal relationship which has been followed in subsequent and preceding cases. </w:t>
      </w:r>
      <w:r>
        <w:rPr>
          <w:rFonts w:ascii="Times New Roman" w:eastAsia="Times New Roman" w:hAnsi="Times New Roman" w:cs="Times New Roman"/>
          <w:b/>
          <w:i/>
          <w:color w:val="1F1F1F"/>
          <w:sz w:val="24"/>
          <w:szCs w:val="24"/>
          <w:highlight w:val="white"/>
        </w:rPr>
        <w:t>Balfour v. Balfour (1919)</w:t>
      </w:r>
      <w:r>
        <w:rPr>
          <w:rFonts w:ascii="Times New Roman" w:eastAsia="Times New Roman" w:hAnsi="Times New Roman" w:cs="Times New Roman"/>
          <w:b/>
          <w:color w:val="1F1F1F"/>
          <w:sz w:val="24"/>
          <w:szCs w:val="24"/>
          <w:highlight w:val="white"/>
          <w:vertAlign w:val="superscript"/>
        </w:rPr>
        <w:footnoteReference w:id="5"/>
      </w:r>
      <w:r>
        <w:rPr>
          <w:rFonts w:ascii="Times New Roman" w:eastAsia="Times New Roman" w:hAnsi="Times New Roman" w:cs="Times New Roman"/>
          <w:color w:val="1F1F1F"/>
          <w:sz w:val="24"/>
          <w:szCs w:val="24"/>
          <w:highlight w:val="white"/>
        </w:rPr>
        <w:t xml:space="preserve"> was a leading case that also highlighted and elucidated upon the notion of the intention to create a legal relationship. Here, Lord Atkin provided the following explanation of the idea of an intention to create a contractual relationship: "Not every agreement between the </w:t>
      </w:r>
      <w:proofErr w:type="gramStart"/>
      <w:r>
        <w:rPr>
          <w:rFonts w:ascii="Times New Roman" w:eastAsia="Times New Roman" w:hAnsi="Times New Roman" w:cs="Times New Roman"/>
          <w:color w:val="1F1F1F"/>
          <w:sz w:val="24"/>
          <w:szCs w:val="24"/>
          <w:highlight w:val="white"/>
        </w:rPr>
        <w:t>parties</w:t>
      </w:r>
      <w:proofErr w:type="gramEnd"/>
      <w:r>
        <w:rPr>
          <w:rFonts w:ascii="Times New Roman" w:eastAsia="Times New Roman" w:hAnsi="Times New Roman" w:cs="Times New Roman"/>
          <w:color w:val="1F1F1F"/>
          <w:sz w:val="24"/>
          <w:szCs w:val="24"/>
          <w:highlight w:val="white"/>
        </w:rPr>
        <w:t xml:space="preserve"> results in a contract because their meaning is not </w:t>
      </w:r>
      <w:proofErr w:type="spellStart"/>
      <w:r>
        <w:rPr>
          <w:rFonts w:ascii="Times New Roman" w:eastAsia="Times New Roman" w:hAnsi="Times New Roman" w:cs="Times New Roman"/>
          <w:color w:val="1F1F1F"/>
          <w:sz w:val="24"/>
          <w:szCs w:val="24"/>
          <w:highlight w:val="white"/>
        </w:rPr>
        <w:t>characterised</w:t>
      </w:r>
      <w:proofErr w:type="spellEnd"/>
      <w:r>
        <w:rPr>
          <w:rFonts w:ascii="Times New Roman" w:eastAsia="Times New Roman" w:hAnsi="Times New Roman" w:cs="Times New Roman"/>
          <w:color w:val="1F1F1F"/>
          <w:sz w:val="24"/>
          <w:szCs w:val="24"/>
          <w:highlight w:val="white"/>
        </w:rPr>
        <w:t xml:space="preserve"> by law. Nobody can say </w:t>
      </w:r>
      <w:proofErr w:type="gramStart"/>
      <w:r>
        <w:rPr>
          <w:rFonts w:ascii="Times New Roman" w:eastAsia="Times New Roman" w:hAnsi="Times New Roman" w:cs="Times New Roman"/>
          <w:color w:val="1F1F1F"/>
          <w:sz w:val="24"/>
          <w:szCs w:val="24"/>
          <w:highlight w:val="white"/>
        </w:rPr>
        <w:t>whether or not</w:t>
      </w:r>
      <w:proofErr w:type="gramEnd"/>
      <w:r>
        <w:rPr>
          <w:rFonts w:ascii="Times New Roman" w:eastAsia="Times New Roman" w:hAnsi="Times New Roman" w:cs="Times New Roman"/>
          <w:color w:val="1F1F1F"/>
          <w:sz w:val="24"/>
          <w:szCs w:val="24"/>
          <w:highlight w:val="white"/>
        </w:rPr>
        <w:t xml:space="preserve"> there is a legally binding agreement in these circumstances, but one of the most frequent types is an agreement between a husband and wife or an agreement inside the family. Even though there is a consideration, this form of arrangement can never be considered a contract because the parties do not intend to be held liable. In </w:t>
      </w:r>
      <w:r>
        <w:rPr>
          <w:rFonts w:ascii="Times New Roman" w:eastAsia="Times New Roman" w:hAnsi="Times New Roman" w:cs="Times New Roman"/>
          <w:b/>
          <w:i/>
          <w:color w:val="1F1F1F"/>
          <w:sz w:val="24"/>
          <w:szCs w:val="24"/>
          <w:highlight w:val="white"/>
        </w:rPr>
        <w:t>Simpkins v. Pays (1955)</w:t>
      </w:r>
      <w:r>
        <w:rPr>
          <w:rFonts w:ascii="Times New Roman" w:eastAsia="Times New Roman" w:hAnsi="Times New Roman" w:cs="Times New Roman"/>
          <w:color w:val="1F1F1F"/>
          <w:sz w:val="24"/>
          <w:szCs w:val="24"/>
          <w:highlight w:val="white"/>
        </w:rPr>
        <w:t>,</w:t>
      </w:r>
      <w:r>
        <w:rPr>
          <w:rFonts w:ascii="Times New Roman" w:eastAsia="Times New Roman" w:hAnsi="Times New Roman" w:cs="Times New Roman"/>
          <w:color w:val="1F1F1F"/>
          <w:sz w:val="24"/>
          <w:szCs w:val="24"/>
          <w:highlight w:val="white"/>
          <w:vertAlign w:val="superscript"/>
        </w:rPr>
        <w:footnoteReference w:id="6"/>
      </w:r>
      <w:r>
        <w:rPr>
          <w:rFonts w:ascii="Times New Roman" w:eastAsia="Times New Roman" w:hAnsi="Times New Roman" w:cs="Times New Roman"/>
          <w:color w:val="1F1F1F"/>
          <w:sz w:val="24"/>
          <w:szCs w:val="24"/>
          <w:highlight w:val="white"/>
        </w:rPr>
        <w:t xml:space="preserve"> An English contract law precedent case on the intention to establish legal relations wherein the reasoning was found to be quite consistent with that of the case at hand. In </w:t>
      </w:r>
      <w:r>
        <w:rPr>
          <w:rFonts w:ascii="Times New Roman" w:eastAsia="Times New Roman" w:hAnsi="Times New Roman" w:cs="Times New Roman"/>
          <w:i/>
          <w:color w:val="1F1F1F"/>
          <w:sz w:val="24"/>
          <w:szCs w:val="24"/>
          <w:highlight w:val="white"/>
        </w:rPr>
        <w:t xml:space="preserve">Simpkins v. Pays, </w:t>
      </w:r>
      <w:proofErr w:type="spellStart"/>
      <w:r>
        <w:rPr>
          <w:rFonts w:ascii="Times New Roman" w:eastAsia="Times New Roman" w:hAnsi="Times New Roman" w:cs="Times New Roman"/>
          <w:color w:val="1F1F1F"/>
          <w:sz w:val="24"/>
          <w:szCs w:val="24"/>
          <w:highlight w:val="white"/>
        </w:rPr>
        <w:t>Ms</w:t>
      </w:r>
      <w:proofErr w:type="spellEnd"/>
      <w:r>
        <w:rPr>
          <w:rFonts w:ascii="Times New Roman" w:eastAsia="Times New Roman" w:hAnsi="Times New Roman" w:cs="Times New Roman"/>
          <w:color w:val="1F1F1F"/>
          <w:sz w:val="24"/>
          <w:szCs w:val="24"/>
          <w:highlight w:val="white"/>
        </w:rPr>
        <w:t xml:space="preserve"> Simpkins, a person with a penchant for entering newspaper contests, was one of </w:t>
      </w:r>
      <w:proofErr w:type="spellStart"/>
      <w:r>
        <w:rPr>
          <w:rFonts w:ascii="Times New Roman" w:eastAsia="Times New Roman" w:hAnsi="Times New Roman" w:cs="Times New Roman"/>
          <w:color w:val="1F1F1F"/>
          <w:sz w:val="24"/>
          <w:szCs w:val="24"/>
          <w:highlight w:val="white"/>
        </w:rPr>
        <w:t>Mrs</w:t>
      </w:r>
      <w:proofErr w:type="spellEnd"/>
      <w:r>
        <w:rPr>
          <w:rFonts w:ascii="Times New Roman" w:eastAsia="Times New Roman" w:hAnsi="Times New Roman" w:cs="Times New Roman"/>
          <w:color w:val="1F1F1F"/>
          <w:sz w:val="24"/>
          <w:szCs w:val="24"/>
          <w:highlight w:val="white"/>
        </w:rPr>
        <w:t xml:space="preserve"> Pays' tenants. The same home was occupied by Ms. Simpkins, Ms. Pays, and her granddaughter. They all three made the decision to enter this </w:t>
      </w:r>
      <w:proofErr w:type="gramStart"/>
      <w:r>
        <w:rPr>
          <w:rFonts w:ascii="Times New Roman" w:eastAsia="Times New Roman" w:hAnsi="Times New Roman" w:cs="Times New Roman"/>
          <w:color w:val="1F1F1F"/>
          <w:sz w:val="24"/>
          <w:szCs w:val="24"/>
          <w:highlight w:val="white"/>
        </w:rPr>
        <w:t>particular newspaper</w:t>
      </w:r>
      <w:proofErr w:type="gramEnd"/>
      <w:r>
        <w:rPr>
          <w:rFonts w:ascii="Times New Roman" w:eastAsia="Times New Roman" w:hAnsi="Times New Roman" w:cs="Times New Roman"/>
          <w:color w:val="1F1F1F"/>
          <w:sz w:val="24"/>
          <w:szCs w:val="24"/>
          <w:highlight w:val="white"/>
        </w:rPr>
        <w:t xml:space="preserve"> contest under </w:t>
      </w:r>
      <w:proofErr w:type="spellStart"/>
      <w:r>
        <w:rPr>
          <w:rFonts w:ascii="Times New Roman" w:eastAsia="Times New Roman" w:hAnsi="Times New Roman" w:cs="Times New Roman"/>
          <w:color w:val="1F1F1F"/>
          <w:sz w:val="24"/>
          <w:szCs w:val="24"/>
          <w:highlight w:val="white"/>
        </w:rPr>
        <w:t>Mrs</w:t>
      </w:r>
      <w:proofErr w:type="spellEnd"/>
      <w:r>
        <w:rPr>
          <w:rFonts w:ascii="Times New Roman" w:eastAsia="Times New Roman" w:hAnsi="Times New Roman" w:cs="Times New Roman"/>
          <w:color w:val="1F1F1F"/>
          <w:sz w:val="24"/>
          <w:szCs w:val="24"/>
          <w:highlight w:val="white"/>
        </w:rPr>
        <w:t xml:space="preserve"> Pays' name. </w:t>
      </w:r>
      <w:proofErr w:type="gramStart"/>
      <w:r>
        <w:rPr>
          <w:rFonts w:ascii="Times New Roman" w:eastAsia="Times New Roman" w:hAnsi="Times New Roman" w:cs="Times New Roman"/>
          <w:color w:val="1F1F1F"/>
          <w:sz w:val="24"/>
          <w:szCs w:val="24"/>
          <w:highlight w:val="white"/>
        </w:rPr>
        <w:t>In the event that</w:t>
      </w:r>
      <w:proofErr w:type="gramEnd"/>
      <w:r>
        <w:rPr>
          <w:rFonts w:ascii="Times New Roman" w:eastAsia="Times New Roman" w:hAnsi="Times New Roman" w:cs="Times New Roman"/>
          <w:color w:val="1F1F1F"/>
          <w:sz w:val="24"/>
          <w:szCs w:val="24"/>
          <w:highlight w:val="white"/>
        </w:rPr>
        <w:t xml:space="preserve"> they did win, they chose to divide the award. The granddaughter's entry was chosen, and they were given a monetary prize of 750 GBP. However, when the reward </w:t>
      </w:r>
      <w:r>
        <w:rPr>
          <w:rFonts w:ascii="Times New Roman" w:eastAsia="Times New Roman" w:hAnsi="Times New Roman" w:cs="Times New Roman"/>
          <w:color w:val="1F1F1F"/>
          <w:sz w:val="24"/>
          <w:szCs w:val="24"/>
          <w:highlight w:val="white"/>
        </w:rPr>
        <w:lastRenderedPageBreak/>
        <w:t xml:space="preserve">money finally arrived, Mrs. Pays refused to give it out. Ms. Simpkins then filed a lawsuit against Mrs. Pays to recover her third of the award. </w:t>
      </w:r>
      <w:proofErr w:type="gramStart"/>
      <w:r>
        <w:rPr>
          <w:rFonts w:ascii="Times New Roman" w:eastAsia="Times New Roman" w:hAnsi="Times New Roman" w:cs="Times New Roman"/>
          <w:color w:val="1F1F1F"/>
          <w:sz w:val="24"/>
          <w:szCs w:val="24"/>
          <w:highlight w:val="white"/>
        </w:rPr>
        <w:t>Despite the fact that</w:t>
      </w:r>
      <w:proofErr w:type="gramEnd"/>
      <w:r>
        <w:rPr>
          <w:rFonts w:ascii="Times New Roman" w:eastAsia="Times New Roman" w:hAnsi="Times New Roman" w:cs="Times New Roman"/>
          <w:color w:val="1F1F1F"/>
          <w:sz w:val="24"/>
          <w:szCs w:val="24"/>
          <w:highlight w:val="white"/>
        </w:rPr>
        <w:t xml:space="preserve"> the arrangement was made between family members, it was decided that </w:t>
      </w:r>
      <w:proofErr w:type="spellStart"/>
      <w:r>
        <w:rPr>
          <w:rFonts w:ascii="Times New Roman" w:eastAsia="Times New Roman" w:hAnsi="Times New Roman" w:cs="Times New Roman"/>
          <w:color w:val="1F1F1F"/>
          <w:sz w:val="24"/>
          <w:szCs w:val="24"/>
          <w:highlight w:val="white"/>
        </w:rPr>
        <w:t>Mrs</w:t>
      </w:r>
      <w:proofErr w:type="spellEnd"/>
      <w:r>
        <w:rPr>
          <w:rFonts w:ascii="Times New Roman" w:eastAsia="Times New Roman" w:hAnsi="Times New Roman" w:cs="Times New Roman"/>
          <w:color w:val="1F1F1F"/>
          <w:sz w:val="24"/>
          <w:szCs w:val="24"/>
          <w:highlight w:val="white"/>
        </w:rPr>
        <w:t xml:space="preserve"> Pays must give </w:t>
      </w:r>
      <w:proofErr w:type="spellStart"/>
      <w:r>
        <w:rPr>
          <w:rFonts w:ascii="Times New Roman" w:eastAsia="Times New Roman" w:hAnsi="Times New Roman" w:cs="Times New Roman"/>
          <w:color w:val="1F1F1F"/>
          <w:sz w:val="24"/>
          <w:szCs w:val="24"/>
          <w:highlight w:val="white"/>
        </w:rPr>
        <w:t>Ms</w:t>
      </w:r>
      <w:proofErr w:type="spellEnd"/>
      <w:r>
        <w:rPr>
          <w:rFonts w:ascii="Times New Roman" w:eastAsia="Times New Roman" w:hAnsi="Times New Roman" w:cs="Times New Roman"/>
          <w:color w:val="1F1F1F"/>
          <w:sz w:val="24"/>
          <w:szCs w:val="24"/>
          <w:highlight w:val="white"/>
        </w:rPr>
        <w:t xml:space="preserve"> Simpkins the correct sum. This was </w:t>
      </w:r>
      <w:proofErr w:type="gramStart"/>
      <w:r>
        <w:rPr>
          <w:rFonts w:ascii="Times New Roman" w:eastAsia="Times New Roman" w:hAnsi="Times New Roman" w:cs="Times New Roman"/>
          <w:color w:val="1F1F1F"/>
          <w:sz w:val="24"/>
          <w:szCs w:val="24"/>
          <w:highlight w:val="white"/>
        </w:rPr>
        <w:t>due to the fact that</w:t>
      </w:r>
      <w:proofErr w:type="gramEnd"/>
      <w:r>
        <w:rPr>
          <w:rFonts w:ascii="Times New Roman" w:eastAsia="Times New Roman" w:hAnsi="Times New Roman" w:cs="Times New Roman"/>
          <w:color w:val="1F1F1F"/>
          <w:sz w:val="24"/>
          <w:szCs w:val="24"/>
          <w:highlight w:val="white"/>
        </w:rPr>
        <w:t xml:space="preserve"> </w:t>
      </w:r>
      <w:proofErr w:type="spellStart"/>
      <w:r>
        <w:rPr>
          <w:rFonts w:ascii="Times New Roman" w:eastAsia="Times New Roman" w:hAnsi="Times New Roman" w:cs="Times New Roman"/>
          <w:color w:val="1F1F1F"/>
          <w:sz w:val="24"/>
          <w:szCs w:val="24"/>
          <w:highlight w:val="white"/>
        </w:rPr>
        <w:t>Ms</w:t>
      </w:r>
      <w:proofErr w:type="spellEnd"/>
      <w:r>
        <w:rPr>
          <w:rFonts w:ascii="Times New Roman" w:eastAsia="Times New Roman" w:hAnsi="Times New Roman" w:cs="Times New Roman"/>
          <w:color w:val="1F1F1F"/>
          <w:sz w:val="24"/>
          <w:szCs w:val="24"/>
          <w:highlight w:val="white"/>
        </w:rPr>
        <w:t xml:space="preserve"> Simpkins entered the competition primarily with the goal of splitting the prize money (in the event she won), which amply demonstrated her desire to establish a legal relationship. Additionally, the fact that </w:t>
      </w:r>
      <w:proofErr w:type="spellStart"/>
      <w:r>
        <w:rPr>
          <w:rFonts w:ascii="Times New Roman" w:eastAsia="Times New Roman" w:hAnsi="Times New Roman" w:cs="Times New Roman"/>
          <w:color w:val="1F1F1F"/>
          <w:sz w:val="24"/>
          <w:szCs w:val="24"/>
          <w:highlight w:val="white"/>
        </w:rPr>
        <w:t>Ms</w:t>
      </w:r>
      <w:proofErr w:type="spellEnd"/>
      <w:r>
        <w:rPr>
          <w:rFonts w:ascii="Times New Roman" w:eastAsia="Times New Roman" w:hAnsi="Times New Roman" w:cs="Times New Roman"/>
          <w:color w:val="1F1F1F"/>
          <w:sz w:val="24"/>
          <w:szCs w:val="24"/>
          <w:highlight w:val="white"/>
        </w:rPr>
        <w:t xml:space="preserve"> Simpkins was an outsider to the granddaughter and grandmother's family makes it clear that there should have been an intention to establish a legal relationship, even though the case of Balfour v. Balfour was not cited. As a result, </w:t>
      </w:r>
      <w:proofErr w:type="gramStart"/>
      <w:r>
        <w:rPr>
          <w:rFonts w:ascii="Times New Roman" w:eastAsia="Times New Roman" w:hAnsi="Times New Roman" w:cs="Times New Roman"/>
          <w:color w:val="1F1F1F"/>
          <w:sz w:val="24"/>
          <w:szCs w:val="24"/>
          <w:highlight w:val="white"/>
        </w:rPr>
        <w:t>it is clear that the</w:t>
      </w:r>
      <w:proofErr w:type="gramEnd"/>
      <w:r>
        <w:rPr>
          <w:rFonts w:ascii="Times New Roman" w:eastAsia="Times New Roman" w:hAnsi="Times New Roman" w:cs="Times New Roman"/>
          <w:color w:val="1F1F1F"/>
          <w:sz w:val="24"/>
          <w:szCs w:val="24"/>
          <w:highlight w:val="white"/>
        </w:rPr>
        <w:t xml:space="preserve"> principle of Balfour v. Balfour cannot be applied in this situation. Such cases exemplified the meaning, scope, and application of the legal concept of ‘intention to create a legal relationship</w:t>
      </w:r>
    </w:p>
    <w:p w14:paraId="17708B09"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5392A080" w14:textId="77777777"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The Court was partially justified in holding in the judgment that there was no legally binding contract, however, it can be agreed by many that be that as it may, the contract still qualifies as a contract of sale. This is the dissenting view held by Lord Atkin. He continued by saying that the first question in this case is whether the document that the defendants and plaintiffs both signed on July 11, 1913, coupled with a counterpart, constituted a contract between the parties. A common purpose of the parties to </w:t>
      </w:r>
      <w:proofErr w:type="gramStart"/>
      <w:r>
        <w:rPr>
          <w:rFonts w:ascii="Times New Roman" w:eastAsia="Times New Roman" w:hAnsi="Times New Roman" w:cs="Times New Roman"/>
          <w:color w:val="1F1F1F"/>
          <w:sz w:val="24"/>
          <w:szCs w:val="24"/>
          <w:highlight w:val="white"/>
        </w:rPr>
        <w:t>enter into</w:t>
      </w:r>
      <w:proofErr w:type="gramEnd"/>
      <w:r>
        <w:rPr>
          <w:rFonts w:ascii="Times New Roman" w:eastAsia="Times New Roman" w:hAnsi="Times New Roman" w:cs="Times New Roman"/>
          <w:color w:val="1F1F1F"/>
          <w:sz w:val="24"/>
          <w:szCs w:val="24"/>
          <w:highlight w:val="white"/>
        </w:rPr>
        <w:t xml:space="preserve"> legal duties, expressed or inferred, is necessary for the formation of a contract. Normally, when parties sign into an agreement that otherwise complies with the law's regulations for the creation of contracts, such an intention will be assumed. It may be impliedly negated by the nature of the agreed-upon promise or promises, as in the instance of an offer and acceptance of hospitality, or by certain agreements established between family members </w:t>
      </w:r>
      <w:proofErr w:type="gramStart"/>
      <w:r>
        <w:rPr>
          <w:rFonts w:ascii="Times New Roman" w:eastAsia="Times New Roman" w:hAnsi="Times New Roman" w:cs="Times New Roman"/>
          <w:color w:val="1F1F1F"/>
          <w:sz w:val="24"/>
          <w:szCs w:val="24"/>
          <w:highlight w:val="white"/>
        </w:rPr>
        <w:t>during the course of</w:t>
      </w:r>
      <w:proofErr w:type="gramEnd"/>
      <w:r>
        <w:rPr>
          <w:rFonts w:ascii="Times New Roman" w:eastAsia="Times New Roman" w:hAnsi="Times New Roman" w:cs="Times New Roman"/>
          <w:color w:val="1F1F1F"/>
          <w:sz w:val="24"/>
          <w:szCs w:val="24"/>
          <w:highlight w:val="white"/>
        </w:rPr>
        <w:t xml:space="preserve"> family life, as in the case of Balfour v. Balfour. If the aim can be formally negated, it can also be negated implicitly. </w:t>
      </w:r>
      <w:proofErr w:type="gramStart"/>
      <w:r>
        <w:rPr>
          <w:rFonts w:ascii="Times New Roman" w:eastAsia="Times New Roman" w:hAnsi="Times New Roman" w:cs="Times New Roman"/>
          <w:color w:val="1F1F1F"/>
          <w:sz w:val="24"/>
          <w:szCs w:val="24"/>
          <w:highlight w:val="white"/>
        </w:rPr>
        <w:t>I'm</w:t>
      </w:r>
      <w:proofErr w:type="gramEnd"/>
      <w:r>
        <w:rPr>
          <w:rFonts w:ascii="Times New Roman" w:eastAsia="Times New Roman" w:hAnsi="Times New Roman" w:cs="Times New Roman"/>
          <w:color w:val="1F1F1F"/>
          <w:sz w:val="24"/>
          <w:szCs w:val="24"/>
          <w:highlight w:val="white"/>
        </w:rPr>
        <w:t xml:space="preserve"> persuaded by this document's overall interpretation to come to the judgement that the disputed clause communicates in no uncertain terms the parties' shared desire to avoid being bound by legal responsibilities with regard to the topics covered by the agreement it records. It was also stated by Lord Atkin and agreed by many including myself that </w:t>
      </w:r>
      <w:proofErr w:type="gramStart"/>
      <w:r>
        <w:rPr>
          <w:rFonts w:ascii="Times New Roman" w:eastAsia="Times New Roman" w:hAnsi="Times New Roman" w:cs="Times New Roman"/>
          <w:color w:val="1F1F1F"/>
          <w:sz w:val="24"/>
          <w:szCs w:val="24"/>
          <w:highlight w:val="white"/>
        </w:rPr>
        <w:t>In</w:t>
      </w:r>
      <w:proofErr w:type="gramEnd"/>
      <w:r>
        <w:rPr>
          <w:rFonts w:ascii="Times New Roman" w:eastAsia="Times New Roman" w:hAnsi="Times New Roman" w:cs="Times New Roman"/>
          <w:color w:val="1F1F1F"/>
          <w:sz w:val="24"/>
          <w:szCs w:val="24"/>
          <w:highlight w:val="white"/>
        </w:rPr>
        <w:t xml:space="preserve"> situations when parties agree to all the provisions of an agreement for purchase and sale but are subject to a contract being drawn up, the effect is often given in law to the express intention of the parties not to be bound in law. Although the preliminary agreement's language may be appropriate and sufficient to establish an open contract in other ways, if the parties explicitly state that they do not intend to be bound by any other document than the one they have already signed, they are still </w:t>
      </w:r>
      <w:r>
        <w:rPr>
          <w:rFonts w:ascii="Times New Roman" w:eastAsia="Times New Roman" w:hAnsi="Times New Roman" w:cs="Times New Roman"/>
          <w:color w:val="1F1F1F"/>
          <w:sz w:val="24"/>
          <w:szCs w:val="24"/>
          <w:highlight w:val="white"/>
        </w:rPr>
        <w:lastRenderedPageBreak/>
        <w:t>free to reject any further negotiations. Although the case is entirely based on the concept of ‘intention</w:t>
      </w:r>
      <w:proofErr w:type="gramStart"/>
      <w:r>
        <w:rPr>
          <w:rFonts w:ascii="Times New Roman" w:eastAsia="Times New Roman" w:hAnsi="Times New Roman" w:cs="Times New Roman"/>
          <w:color w:val="1F1F1F"/>
          <w:sz w:val="24"/>
          <w:szCs w:val="24"/>
          <w:highlight w:val="white"/>
        </w:rPr>
        <w:t>’,</w:t>
      </w:r>
      <w:proofErr w:type="gramEnd"/>
      <w:r>
        <w:rPr>
          <w:rFonts w:ascii="Times New Roman" w:eastAsia="Times New Roman" w:hAnsi="Times New Roman" w:cs="Times New Roman"/>
          <w:color w:val="1F1F1F"/>
          <w:sz w:val="24"/>
          <w:szCs w:val="24"/>
          <w:highlight w:val="white"/>
        </w:rPr>
        <w:t xml:space="preserve"> an issue raised was that of the concept of ‘contract of sale’. </w:t>
      </w:r>
    </w:p>
    <w:p w14:paraId="3B242C3C"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75C1DC8D" w14:textId="1D5FADF5"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 xml:space="preserve">An analysis of the case reveals that the intention to </w:t>
      </w:r>
      <w:proofErr w:type="gramStart"/>
      <w:r>
        <w:rPr>
          <w:rFonts w:ascii="Times New Roman" w:eastAsia="Times New Roman" w:hAnsi="Times New Roman" w:cs="Times New Roman"/>
          <w:color w:val="1F1F1F"/>
          <w:sz w:val="24"/>
          <w:szCs w:val="24"/>
          <w:highlight w:val="white"/>
        </w:rPr>
        <w:t>enter into</w:t>
      </w:r>
      <w:proofErr w:type="gramEnd"/>
      <w:r>
        <w:rPr>
          <w:rFonts w:ascii="Times New Roman" w:eastAsia="Times New Roman" w:hAnsi="Times New Roman" w:cs="Times New Roman"/>
          <w:color w:val="1F1F1F"/>
          <w:sz w:val="24"/>
          <w:szCs w:val="24"/>
          <w:highlight w:val="white"/>
        </w:rPr>
        <w:t xml:space="preserve"> a legal relationship is one of the most important elements of a contract. A legal partnership is what is intended when two parties seek to enter into a legally enforceable contract or agreement. It might be considered one of the elements needed to form a contract. It clearly shows that the parties are ready to accept the consequences of having reached such an agreement in terms of the law. </w:t>
      </w:r>
      <w:proofErr w:type="gramStart"/>
      <w:r>
        <w:rPr>
          <w:rFonts w:ascii="Times New Roman" w:eastAsia="Times New Roman" w:hAnsi="Times New Roman" w:cs="Times New Roman"/>
          <w:color w:val="1F1F1F"/>
          <w:sz w:val="24"/>
          <w:szCs w:val="24"/>
          <w:highlight w:val="white"/>
        </w:rPr>
        <w:t>In order for</w:t>
      </w:r>
      <w:proofErr w:type="gramEnd"/>
      <w:r>
        <w:rPr>
          <w:rFonts w:ascii="Times New Roman" w:eastAsia="Times New Roman" w:hAnsi="Times New Roman" w:cs="Times New Roman"/>
          <w:color w:val="1F1F1F"/>
          <w:sz w:val="24"/>
          <w:szCs w:val="24"/>
          <w:highlight w:val="white"/>
        </w:rPr>
        <w:t xml:space="preserve"> a contract to be regarded as binding, each party must have the desire to create a legal relationship. My analysis of the case along with considering the opinions of Lord Atkin and Lord </w:t>
      </w:r>
      <w:proofErr w:type="spellStart"/>
      <w:r>
        <w:rPr>
          <w:rFonts w:ascii="Times New Roman" w:eastAsia="Times New Roman" w:hAnsi="Times New Roman" w:cs="Times New Roman"/>
          <w:color w:val="1F1F1F"/>
          <w:sz w:val="24"/>
          <w:szCs w:val="24"/>
          <w:highlight w:val="white"/>
        </w:rPr>
        <w:t>Scrutton</w:t>
      </w:r>
      <w:proofErr w:type="spellEnd"/>
      <w:r>
        <w:rPr>
          <w:rFonts w:ascii="Times New Roman" w:eastAsia="Times New Roman" w:hAnsi="Times New Roman" w:cs="Times New Roman"/>
          <w:color w:val="1F1F1F"/>
          <w:sz w:val="24"/>
          <w:szCs w:val="24"/>
          <w:highlight w:val="white"/>
        </w:rPr>
        <w:t xml:space="preserve"> reveals that </w:t>
      </w:r>
      <w:proofErr w:type="gramStart"/>
      <w:r>
        <w:rPr>
          <w:rFonts w:ascii="Times New Roman" w:eastAsia="Times New Roman" w:hAnsi="Times New Roman" w:cs="Times New Roman"/>
          <w:color w:val="1F1F1F"/>
          <w:sz w:val="24"/>
          <w:szCs w:val="24"/>
          <w:highlight w:val="white"/>
        </w:rPr>
        <w:t>The</w:t>
      </w:r>
      <w:proofErr w:type="gramEnd"/>
      <w:r>
        <w:rPr>
          <w:rFonts w:ascii="Times New Roman" w:eastAsia="Times New Roman" w:hAnsi="Times New Roman" w:cs="Times New Roman"/>
          <w:color w:val="1F1F1F"/>
          <w:sz w:val="24"/>
          <w:szCs w:val="24"/>
          <w:highlight w:val="white"/>
        </w:rPr>
        <w:t xml:space="preserve"> following elements can be considered when determining the intent to establish a legal connection: Firstly the parties to the agreement must be of sound mind to enter into a binding agreement. Because of their "intention," which serves as the consenting mind, both parties must agree. The contract may become void if neither side can come to an agreement. Therefore, as soon as both parties sign it, it will be deemed to be a binding contract. Secondly, </w:t>
      </w:r>
      <w:proofErr w:type="gramStart"/>
      <w:r>
        <w:rPr>
          <w:rFonts w:ascii="Times New Roman" w:eastAsia="Times New Roman" w:hAnsi="Times New Roman" w:cs="Times New Roman"/>
          <w:color w:val="1F1F1F"/>
          <w:sz w:val="24"/>
          <w:szCs w:val="24"/>
          <w:highlight w:val="white"/>
        </w:rPr>
        <w:t>For</w:t>
      </w:r>
      <w:proofErr w:type="gramEnd"/>
      <w:r>
        <w:rPr>
          <w:rFonts w:ascii="Times New Roman" w:eastAsia="Times New Roman" w:hAnsi="Times New Roman" w:cs="Times New Roman"/>
          <w:color w:val="1F1F1F"/>
          <w:sz w:val="24"/>
          <w:szCs w:val="24"/>
          <w:highlight w:val="white"/>
        </w:rPr>
        <w:t xml:space="preserve"> a contract to be legitimate, enforceable, and binding, there must be an intention to create legal relations. The intent to create a legal relationship is one of a contract's essential elements. If there is no intent to create a legal relationship, it might be assumed that the contract is not a legal one. The contract will not be enforceable since the parties did not intend to </w:t>
      </w:r>
      <w:proofErr w:type="gramStart"/>
      <w:r>
        <w:rPr>
          <w:rFonts w:ascii="Times New Roman" w:eastAsia="Times New Roman" w:hAnsi="Times New Roman" w:cs="Times New Roman"/>
          <w:color w:val="1F1F1F"/>
          <w:sz w:val="24"/>
          <w:szCs w:val="24"/>
          <w:highlight w:val="white"/>
        </w:rPr>
        <w:t>enter into</w:t>
      </w:r>
      <w:proofErr w:type="gramEnd"/>
      <w:r>
        <w:rPr>
          <w:rFonts w:ascii="Times New Roman" w:eastAsia="Times New Roman" w:hAnsi="Times New Roman" w:cs="Times New Roman"/>
          <w:color w:val="1F1F1F"/>
          <w:sz w:val="24"/>
          <w:szCs w:val="24"/>
          <w:highlight w:val="white"/>
        </w:rPr>
        <w:t xml:space="preserve"> a legal relationship at the outset, preventing them from having a relationship that is enforceable by law. Thirdly, </w:t>
      </w:r>
      <w:proofErr w:type="gramStart"/>
      <w:r>
        <w:rPr>
          <w:rFonts w:ascii="Times New Roman" w:eastAsia="Times New Roman" w:hAnsi="Times New Roman" w:cs="Times New Roman"/>
          <w:color w:val="1F1F1F"/>
          <w:sz w:val="24"/>
          <w:szCs w:val="24"/>
          <w:highlight w:val="white"/>
        </w:rPr>
        <w:t>If</w:t>
      </w:r>
      <w:proofErr w:type="gramEnd"/>
      <w:r>
        <w:rPr>
          <w:rFonts w:ascii="Times New Roman" w:eastAsia="Times New Roman" w:hAnsi="Times New Roman" w:cs="Times New Roman"/>
          <w:color w:val="1F1F1F"/>
          <w:sz w:val="24"/>
          <w:szCs w:val="24"/>
          <w:highlight w:val="white"/>
        </w:rPr>
        <w:t xml:space="preserve"> neither party intended to file a lawsuit against the other, it cannot be done. If there is no intention to create a legal connection, it is possible that the contracting parties are not legally binding, in which case the agreement will be null and void.  Therefore, when a contract is enforceable, the parties involved have the right to file a lawsuit to have the agreement upheld. Fourth, </w:t>
      </w:r>
      <w:proofErr w:type="gramStart"/>
      <w:r>
        <w:rPr>
          <w:rFonts w:ascii="Times New Roman" w:eastAsia="Times New Roman" w:hAnsi="Times New Roman" w:cs="Times New Roman"/>
          <w:color w:val="1F1F1F"/>
          <w:sz w:val="24"/>
          <w:szCs w:val="24"/>
          <w:highlight w:val="white"/>
        </w:rPr>
        <w:t>If</w:t>
      </w:r>
      <w:proofErr w:type="gramEnd"/>
      <w:r>
        <w:rPr>
          <w:rFonts w:ascii="Times New Roman" w:eastAsia="Times New Roman" w:hAnsi="Times New Roman" w:cs="Times New Roman"/>
          <w:color w:val="1F1F1F"/>
          <w:sz w:val="24"/>
          <w:szCs w:val="24"/>
          <w:highlight w:val="white"/>
        </w:rPr>
        <w:t xml:space="preserve"> there is no desire to establish a legal relationship, the contract may become nothing more than a promise. The contract will become little more than a promise if neither party intends to </w:t>
      </w:r>
      <w:proofErr w:type="gramStart"/>
      <w:r>
        <w:rPr>
          <w:rFonts w:ascii="Times New Roman" w:eastAsia="Times New Roman" w:hAnsi="Times New Roman" w:cs="Times New Roman"/>
          <w:color w:val="1F1F1F"/>
          <w:sz w:val="24"/>
          <w:szCs w:val="24"/>
          <w:highlight w:val="white"/>
        </w:rPr>
        <w:t>enter into</w:t>
      </w:r>
      <w:proofErr w:type="gramEnd"/>
      <w:r>
        <w:rPr>
          <w:rFonts w:ascii="Times New Roman" w:eastAsia="Times New Roman" w:hAnsi="Times New Roman" w:cs="Times New Roman"/>
          <w:color w:val="1F1F1F"/>
          <w:sz w:val="24"/>
          <w:szCs w:val="24"/>
          <w:highlight w:val="white"/>
        </w:rPr>
        <w:t xml:space="preserve"> a legal relationship. Simply promising anything is equivalent to a simple promise that develops when there is no desire on the part of the parties to establish legal connections, that is, if a legal connection is not desired, the contract may end up being nothing more than a promise. If neither side intends to establish a legal connection, the contract will amount to little more than a promise. Lastly, </w:t>
      </w:r>
      <w:r w:rsidR="006A580B">
        <w:rPr>
          <w:rFonts w:ascii="Times New Roman" w:eastAsia="Times New Roman" w:hAnsi="Times New Roman" w:cs="Times New Roman"/>
          <w:color w:val="1F1F1F"/>
          <w:sz w:val="24"/>
          <w:szCs w:val="24"/>
          <w:highlight w:val="white"/>
        </w:rPr>
        <w:t>t</w:t>
      </w:r>
      <w:r>
        <w:rPr>
          <w:rFonts w:ascii="Times New Roman" w:eastAsia="Times New Roman" w:hAnsi="Times New Roman" w:cs="Times New Roman"/>
          <w:color w:val="1F1F1F"/>
          <w:sz w:val="24"/>
          <w:szCs w:val="24"/>
          <w:highlight w:val="white"/>
        </w:rPr>
        <w:t xml:space="preserve">he agreement might not </w:t>
      </w:r>
      <w:r>
        <w:rPr>
          <w:rFonts w:ascii="Times New Roman" w:eastAsia="Times New Roman" w:hAnsi="Times New Roman" w:cs="Times New Roman"/>
          <w:color w:val="1F1F1F"/>
          <w:sz w:val="24"/>
          <w:szCs w:val="24"/>
          <w:highlight w:val="white"/>
        </w:rPr>
        <w:lastRenderedPageBreak/>
        <w:t>be enforceable if its goal is not to create a legally binding relationship. If there is no intent to create a legal relationship, the contract will not be enforceable.</w:t>
      </w:r>
    </w:p>
    <w:p w14:paraId="3C9B47EB" w14:textId="77777777" w:rsidR="00524810" w:rsidRDefault="00524810" w:rsidP="006A580B">
      <w:pPr>
        <w:spacing w:line="360" w:lineRule="auto"/>
        <w:jc w:val="both"/>
        <w:rPr>
          <w:rFonts w:ascii="Times New Roman" w:eastAsia="Times New Roman" w:hAnsi="Times New Roman" w:cs="Times New Roman"/>
          <w:color w:val="1F1F1F"/>
          <w:sz w:val="24"/>
          <w:szCs w:val="24"/>
          <w:highlight w:val="white"/>
        </w:rPr>
      </w:pPr>
    </w:p>
    <w:p w14:paraId="5DD6E87E" w14:textId="77777777" w:rsidR="006A580B" w:rsidRDefault="006A580B" w:rsidP="006A580B">
      <w:pPr>
        <w:spacing w:line="360" w:lineRule="auto"/>
        <w:jc w:val="both"/>
        <w:rPr>
          <w:rFonts w:ascii="Times New Roman" w:eastAsia="Times New Roman" w:hAnsi="Times New Roman" w:cs="Times New Roman"/>
          <w:color w:val="1F1F1F"/>
          <w:sz w:val="24"/>
          <w:szCs w:val="24"/>
          <w:highlight w:val="white"/>
        </w:rPr>
      </w:pPr>
    </w:p>
    <w:p w14:paraId="3764D5D0" w14:textId="132B4BFE" w:rsidR="006A580B" w:rsidRPr="006A580B" w:rsidRDefault="006A580B" w:rsidP="006A580B">
      <w:pPr>
        <w:spacing w:line="360" w:lineRule="auto"/>
        <w:jc w:val="center"/>
        <w:rPr>
          <w:rFonts w:ascii="Times New Roman" w:eastAsia="Times New Roman" w:hAnsi="Times New Roman" w:cs="Times New Roman"/>
          <w:b/>
          <w:smallCaps/>
          <w:color w:val="1F1F1F"/>
          <w:sz w:val="30"/>
          <w:szCs w:val="28"/>
          <w:highlight w:val="white"/>
        </w:rPr>
      </w:pPr>
      <w:r w:rsidRPr="006A580B">
        <w:rPr>
          <w:rFonts w:ascii="Times New Roman" w:eastAsia="Times New Roman" w:hAnsi="Times New Roman" w:cs="Times New Roman"/>
          <w:b/>
          <w:smallCaps/>
          <w:color w:val="1F1F1F"/>
          <w:sz w:val="30"/>
          <w:szCs w:val="28"/>
          <w:highlight w:val="white"/>
        </w:rPr>
        <w:t>Conclusion</w:t>
      </w:r>
    </w:p>
    <w:p w14:paraId="50A33293" w14:textId="47FBAFCE" w:rsidR="00524810" w:rsidRDefault="00000000" w:rsidP="006A580B">
      <w:pPr>
        <w:spacing w:line="360" w:lineRule="auto"/>
        <w:jc w:val="both"/>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The nineteenth century saw the invention of this idea. Any agreement that is made with the goal to avoid any legal repercussions during the performance of the agreement cannot be said to as a contract. A contract is not something that has consideration but is not enforceable. By looking at the situation from the perspective of a reasonable person, an objective test can be utili</w:t>
      </w:r>
      <w:r w:rsidR="006A580B">
        <w:rPr>
          <w:rFonts w:ascii="Times New Roman" w:eastAsia="Times New Roman" w:hAnsi="Times New Roman" w:cs="Times New Roman"/>
          <w:color w:val="1F1F1F"/>
          <w:sz w:val="24"/>
          <w:szCs w:val="24"/>
          <w:highlight w:val="white"/>
        </w:rPr>
        <w:t>z</w:t>
      </w:r>
      <w:r>
        <w:rPr>
          <w:rFonts w:ascii="Times New Roman" w:eastAsia="Times New Roman" w:hAnsi="Times New Roman" w:cs="Times New Roman"/>
          <w:color w:val="1F1F1F"/>
          <w:sz w:val="24"/>
          <w:szCs w:val="24"/>
          <w:highlight w:val="white"/>
        </w:rPr>
        <w:t xml:space="preserve">ed to establish </w:t>
      </w:r>
      <w:proofErr w:type="gramStart"/>
      <w:r>
        <w:rPr>
          <w:rFonts w:ascii="Times New Roman" w:eastAsia="Times New Roman" w:hAnsi="Times New Roman" w:cs="Times New Roman"/>
          <w:color w:val="1F1F1F"/>
          <w:sz w:val="24"/>
          <w:szCs w:val="24"/>
          <w:highlight w:val="white"/>
        </w:rPr>
        <w:t>whether or not</w:t>
      </w:r>
      <w:proofErr w:type="gramEnd"/>
      <w:r>
        <w:rPr>
          <w:rFonts w:ascii="Times New Roman" w:eastAsia="Times New Roman" w:hAnsi="Times New Roman" w:cs="Times New Roman"/>
          <w:color w:val="1F1F1F"/>
          <w:sz w:val="24"/>
          <w:szCs w:val="24"/>
          <w:highlight w:val="white"/>
        </w:rPr>
        <w:t xml:space="preserve"> the aforementioned agreement should have been recogni</w:t>
      </w:r>
      <w:r w:rsidR="006A580B">
        <w:rPr>
          <w:rFonts w:ascii="Times New Roman" w:eastAsia="Times New Roman" w:hAnsi="Times New Roman" w:cs="Times New Roman"/>
          <w:color w:val="1F1F1F"/>
          <w:sz w:val="24"/>
          <w:szCs w:val="24"/>
          <w:highlight w:val="white"/>
        </w:rPr>
        <w:t>z</w:t>
      </w:r>
      <w:r>
        <w:rPr>
          <w:rFonts w:ascii="Times New Roman" w:eastAsia="Times New Roman" w:hAnsi="Times New Roman" w:cs="Times New Roman"/>
          <w:color w:val="1F1F1F"/>
          <w:sz w:val="24"/>
          <w:szCs w:val="24"/>
          <w:highlight w:val="white"/>
        </w:rPr>
        <w:t>ed as legally binding. This concept was most prevalent in the case of Balfour v. Balfour (elaborated previously). This idea has been investigated in family law situations (in this project), where it is necessary to demonstrate that any agreement the parties may have made was contractual in nature. Along with offer, acceptance, and deliberation, the English legal system considers the idea of purpose to establish legal ties to be essential. This viewpoint is regarded as conventional. In the said concept, two presumptions are made: first, that domestic agreements do not have the intent to establish legal relations unless specifically stated to do so (as in Parker v. Clark); and second, that commercial agreements are generally considered contracts unless the facts of the case indicate otherwise. It is thus conclusively stated that the case was a landmark one and has had similar reasoning and ratio decidendi in other cases as well as stated hereinabove. It has also gone on to have major policy implications and has a great significance concerning policy matters in India.</w:t>
      </w:r>
    </w:p>
    <w:p w14:paraId="1FD800FA" w14:textId="77777777" w:rsidR="00524810" w:rsidRDefault="00524810">
      <w:pPr>
        <w:jc w:val="both"/>
        <w:rPr>
          <w:rFonts w:ascii="Times New Roman" w:eastAsia="Times New Roman" w:hAnsi="Times New Roman" w:cs="Times New Roman"/>
          <w:color w:val="1F1F1F"/>
          <w:sz w:val="24"/>
          <w:szCs w:val="24"/>
          <w:highlight w:val="white"/>
        </w:rPr>
      </w:pPr>
    </w:p>
    <w:p w14:paraId="3CAA4CEA" w14:textId="77777777" w:rsidR="00524810" w:rsidRDefault="00524810">
      <w:pPr>
        <w:jc w:val="both"/>
        <w:rPr>
          <w:rFonts w:ascii="Times New Roman" w:eastAsia="Times New Roman" w:hAnsi="Times New Roman" w:cs="Times New Roman"/>
          <w:color w:val="1F1F1F"/>
          <w:sz w:val="24"/>
          <w:szCs w:val="24"/>
          <w:highlight w:val="white"/>
        </w:rPr>
      </w:pPr>
    </w:p>
    <w:p w14:paraId="6C557B88" w14:textId="77777777" w:rsidR="00524810" w:rsidRDefault="00524810">
      <w:pPr>
        <w:jc w:val="both"/>
        <w:rPr>
          <w:rFonts w:ascii="Times New Roman" w:eastAsia="Times New Roman" w:hAnsi="Times New Roman" w:cs="Times New Roman"/>
          <w:color w:val="1F1F1F"/>
          <w:sz w:val="24"/>
          <w:szCs w:val="24"/>
          <w:highlight w:val="white"/>
        </w:rPr>
      </w:pPr>
    </w:p>
    <w:p w14:paraId="2670F809" w14:textId="77777777" w:rsidR="00524810" w:rsidRDefault="00524810">
      <w:pPr>
        <w:jc w:val="both"/>
        <w:rPr>
          <w:rFonts w:ascii="Times New Roman" w:eastAsia="Times New Roman" w:hAnsi="Times New Roman" w:cs="Times New Roman"/>
          <w:color w:val="1F1F1F"/>
          <w:sz w:val="24"/>
          <w:szCs w:val="24"/>
          <w:highlight w:val="white"/>
        </w:rPr>
      </w:pPr>
    </w:p>
    <w:p w14:paraId="56E82CD6" w14:textId="77777777" w:rsidR="00524810" w:rsidRDefault="00524810">
      <w:pPr>
        <w:jc w:val="both"/>
        <w:rPr>
          <w:rFonts w:ascii="Times New Roman" w:eastAsia="Times New Roman" w:hAnsi="Times New Roman" w:cs="Times New Roman"/>
          <w:color w:val="1F1F1F"/>
          <w:sz w:val="24"/>
          <w:szCs w:val="24"/>
          <w:highlight w:val="white"/>
        </w:rPr>
      </w:pPr>
    </w:p>
    <w:p w14:paraId="240CF718" w14:textId="77777777" w:rsidR="00524810" w:rsidRDefault="00524810">
      <w:pPr>
        <w:jc w:val="both"/>
        <w:rPr>
          <w:rFonts w:ascii="Times New Roman" w:eastAsia="Times New Roman" w:hAnsi="Times New Roman" w:cs="Times New Roman"/>
          <w:color w:val="1F1F1F"/>
          <w:sz w:val="24"/>
          <w:szCs w:val="24"/>
          <w:highlight w:val="white"/>
        </w:rPr>
      </w:pPr>
    </w:p>
    <w:p w14:paraId="20701608" w14:textId="77777777" w:rsidR="00524810" w:rsidRDefault="00524810">
      <w:pPr>
        <w:jc w:val="both"/>
        <w:rPr>
          <w:rFonts w:ascii="Times New Roman" w:eastAsia="Times New Roman" w:hAnsi="Times New Roman" w:cs="Times New Roman"/>
          <w:color w:val="1F1F1F"/>
          <w:sz w:val="24"/>
          <w:szCs w:val="24"/>
          <w:highlight w:val="white"/>
        </w:rPr>
      </w:pPr>
    </w:p>
    <w:p w14:paraId="070A013C" w14:textId="77777777" w:rsidR="00524810" w:rsidRDefault="00524810">
      <w:pPr>
        <w:jc w:val="both"/>
        <w:rPr>
          <w:rFonts w:ascii="Times New Roman" w:eastAsia="Times New Roman" w:hAnsi="Times New Roman" w:cs="Times New Roman"/>
          <w:color w:val="1F1F1F"/>
          <w:sz w:val="24"/>
          <w:szCs w:val="24"/>
          <w:highlight w:val="white"/>
        </w:rPr>
      </w:pPr>
    </w:p>
    <w:p w14:paraId="25DE037C" w14:textId="77777777" w:rsidR="00524810" w:rsidRDefault="00524810">
      <w:pPr>
        <w:jc w:val="both"/>
        <w:rPr>
          <w:rFonts w:ascii="Times New Roman" w:eastAsia="Times New Roman" w:hAnsi="Times New Roman" w:cs="Times New Roman"/>
          <w:color w:val="1F1F1F"/>
          <w:sz w:val="24"/>
          <w:szCs w:val="24"/>
          <w:highlight w:val="white"/>
        </w:rPr>
      </w:pPr>
    </w:p>
    <w:p w14:paraId="513877B9" w14:textId="77777777" w:rsidR="00524810" w:rsidRDefault="00524810">
      <w:pPr>
        <w:jc w:val="both"/>
        <w:rPr>
          <w:rFonts w:ascii="Times New Roman" w:eastAsia="Times New Roman" w:hAnsi="Times New Roman" w:cs="Times New Roman"/>
          <w:color w:val="1F1F1F"/>
          <w:sz w:val="24"/>
          <w:szCs w:val="24"/>
          <w:highlight w:val="white"/>
        </w:rPr>
      </w:pPr>
    </w:p>
    <w:p w14:paraId="7E55DF93" w14:textId="77777777" w:rsidR="00524810" w:rsidRDefault="00524810">
      <w:pPr>
        <w:jc w:val="both"/>
        <w:rPr>
          <w:rFonts w:ascii="Times New Roman" w:eastAsia="Times New Roman" w:hAnsi="Times New Roman" w:cs="Times New Roman"/>
          <w:color w:val="1F1F1F"/>
          <w:sz w:val="24"/>
          <w:szCs w:val="24"/>
          <w:highlight w:val="white"/>
        </w:rPr>
      </w:pPr>
    </w:p>
    <w:p w14:paraId="3F6F15C5" w14:textId="77777777" w:rsidR="00524810" w:rsidRDefault="00524810">
      <w:pPr>
        <w:jc w:val="both"/>
        <w:rPr>
          <w:rFonts w:ascii="Times New Roman" w:eastAsia="Times New Roman" w:hAnsi="Times New Roman" w:cs="Times New Roman"/>
          <w:color w:val="1F1F1F"/>
          <w:sz w:val="24"/>
          <w:szCs w:val="24"/>
          <w:highlight w:val="white"/>
        </w:rPr>
      </w:pPr>
    </w:p>
    <w:p w14:paraId="3593F645" w14:textId="77777777" w:rsidR="00524810" w:rsidRDefault="00524810"/>
    <w:sectPr w:rsidR="00524810" w:rsidSect="004457CE">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90F6F" w14:textId="77777777" w:rsidR="004457CE" w:rsidRDefault="004457CE">
      <w:pPr>
        <w:spacing w:line="240" w:lineRule="auto"/>
      </w:pPr>
      <w:r>
        <w:separator/>
      </w:r>
    </w:p>
  </w:endnote>
  <w:endnote w:type="continuationSeparator" w:id="0">
    <w:p w14:paraId="0478F20F" w14:textId="77777777" w:rsidR="004457CE" w:rsidRDefault="004457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B11F4" w14:textId="77777777" w:rsidR="004457CE" w:rsidRDefault="004457CE">
      <w:pPr>
        <w:spacing w:line="240" w:lineRule="auto"/>
      </w:pPr>
      <w:r>
        <w:separator/>
      </w:r>
    </w:p>
  </w:footnote>
  <w:footnote w:type="continuationSeparator" w:id="0">
    <w:p w14:paraId="294ED5DE" w14:textId="77777777" w:rsidR="004457CE" w:rsidRDefault="004457CE">
      <w:pPr>
        <w:spacing w:line="240" w:lineRule="auto"/>
      </w:pPr>
      <w:r>
        <w:continuationSeparator/>
      </w:r>
    </w:p>
  </w:footnote>
  <w:footnote w:id="1">
    <w:p w14:paraId="26D0BA19" w14:textId="77777777" w:rsidR="00524810" w:rsidRPr="006A580B" w:rsidRDefault="00000000" w:rsidP="006A580B">
      <w:pPr>
        <w:spacing w:line="360" w:lineRule="auto"/>
        <w:rPr>
          <w:rFonts w:ascii="Times New Roman" w:eastAsia="Times New Roman" w:hAnsi="Times New Roman" w:cs="Times New Roman"/>
          <w:sz w:val="20"/>
          <w:szCs w:val="20"/>
        </w:rPr>
      </w:pPr>
      <w:r w:rsidRPr="006A580B">
        <w:rPr>
          <w:rFonts w:ascii="Times New Roman" w:hAnsi="Times New Roman" w:cs="Times New Roman"/>
          <w:vertAlign w:val="superscript"/>
        </w:rPr>
        <w:footnoteRef/>
      </w:r>
      <w:r w:rsidRPr="006A580B">
        <w:rPr>
          <w:rFonts w:ascii="Times New Roman" w:eastAsia="Times New Roman" w:hAnsi="Times New Roman" w:cs="Times New Roman"/>
          <w:sz w:val="20"/>
          <w:szCs w:val="20"/>
        </w:rPr>
        <w:t xml:space="preserve"> </w:t>
      </w:r>
      <w:r w:rsidRPr="006A580B">
        <w:rPr>
          <w:rFonts w:ascii="Times New Roman" w:eastAsia="Times New Roman" w:hAnsi="Times New Roman" w:cs="Times New Roman"/>
          <w:color w:val="212529"/>
          <w:sz w:val="20"/>
          <w:szCs w:val="20"/>
          <w:highlight w:val="white"/>
        </w:rPr>
        <w:t>Rose and Frank Co v JR Crompton and Bros Ltd, [1925] AC 445</w:t>
      </w:r>
    </w:p>
  </w:footnote>
  <w:footnote w:id="2">
    <w:p w14:paraId="30801472" w14:textId="77777777" w:rsidR="00524810" w:rsidRPr="006A580B" w:rsidRDefault="00000000" w:rsidP="006A580B">
      <w:pPr>
        <w:spacing w:line="360" w:lineRule="auto"/>
        <w:rPr>
          <w:rFonts w:ascii="Times New Roman" w:eastAsia="Times New Roman" w:hAnsi="Times New Roman" w:cs="Times New Roman"/>
          <w:color w:val="1F1F1F"/>
          <w:sz w:val="20"/>
          <w:szCs w:val="20"/>
          <w:highlight w:val="white"/>
        </w:rPr>
      </w:pPr>
      <w:r w:rsidRPr="006A580B">
        <w:rPr>
          <w:rFonts w:ascii="Times New Roman" w:hAnsi="Times New Roman" w:cs="Times New Roman"/>
          <w:vertAlign w:val="superscript"/>
        </w:rPr>
        <w:footnoteRef/>
      </w:r>
      <w:r w:rsidRPr="006A580B">
        <w:rPr>
          <w:rFonts w:ascii="Times New Roman" w:hAnsi="Times New Roman" w:cs="Times New Roman"/>
          <w:sz w:val="20"/>
          <w:szCs w:val="20"/>
        </w:rPr>
        <w:t xml:space="preserve"> </w:t>
      </w:r>
      <w:r w:rsidRPr="006A580B">
        <w:rPr>
          <w:rFonts w:ascii="Times New Roman" w:eastAsia="Times New Roman" w:hAnsi="Times New Roman" w:cs="Times New Roman"/>
          <w:sz w:val="20"/>
          <w:szCs w:val="20"/>
        </w:rPr>
        <w:t xml:space="preserve">Admin, </w:t>
      </w:r>
      <w:proofErr w:type="gramStart"/>
      <w:r w:rsidRPr="006A580B">
        <w:rPr>
          <w:rFonts w:ascii="Times New Roman" w:eastAsia="Times New Roman" w:hAnsi="Times New Roman" w:cs="Times New Roman"/>
          <w:color w:val="1F1F1F"/>
          <w:sz w:val="20"/>
          <w:szCs w:val="20"/>
          <w:highlight w:val="white"/>
        </w:rPr>
        <w:t>Rose</w:t>
      </w:r>
      <w:proofErr w:type="gramEnd"/>
      <w:r w:rsidRPr="006A580B">
        <w:rPr>
          <w:rFonts w:ascii="Times New Roman" w:eastAsia="Times New Roman" w:hAnsi="Times New Roman" w:cs="Times New Roman"/>
          <w:color w:val="1F1F1F"/>
          <w:sz w:val="20"/>
          <w:szCs w:val="20"/>
          <w:highlight w:val="white"/>
        </w:rPr>
        <w:t xml:space="preserve"> and Frank Co v. Crompton and Brother Ltd (1925), Legal Vidhiya, 24 September 2023, </w:t>
      </w:r>
      <w:hyperlink r:id="rId1">
        <w:r w:rsidRPr="006A580B">
          <w:rPr>
            <w:rFonts w:ascii="Times New Roman" w:eastAsia="Times New Roman" w:hAnsi="Times New Roman" w:cs="Times New Roman"/>
            <w:color w:val="1155CC"/>
            <w:sz w:val="20"/>
            <w:szCs w:val="20"/>
            <w:highlight w:val="white"/>
            <w:u w:val="single"/>
          </w:rPr>
          <w:t>https://legalvidhiya.com/rose-and-frank-co-v-crompton-and-brother-ltd-1925/</w:t>
        </w:r>
      </w:hyperlink>
    </w:p>
    <w:p w14:paraId="3C9D1834" w14:textId="77777777" w:rsidR="00524810" w:rsidRDefault="00524810">
      <w:pPr>
        <w:spacing w:line="240" w:lineRule="auto"/>
        <w:rPr>
          <w:rFonts w:ascii="Times New Roman" w:eastAsia="Times New Roman" w:hAnsi="Times New Roman" w:cs="Times New Roman"/>
          <w:color w:val="1F1F1F"/>
          <w:sz w:val="20"/>
          <w:szCs w:val="20"/>
          <w:highlight w:val="white"/>
        </w:rPr>
      </w:pPr>
    </w:p>
  </w:footnote>
  <w:footnote w:id="3">
    <w:p w14:paraId="71B664F8" w14:textId="77777777" w:rsidR="00524810" w:rsidRDefault="00000000" w:rsidP="006A580B">
      <w:pPr>
        <w:spacing w:line="36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color w:val="202124"/>
          <w:sz w:val="20"/>
          <w:szCs w:val="20"/>
          <w:highlight w:val="white"/>
        </w:rPr>
        <w:t xml:space="preserve">Balfour v Balfour </w:t>
      </w:r>
      <w:r>
        <w:rPr>
          <w:rFonts w:ascii="Times New Roman" w:eastAsia="Times New Roman" w:hAnsi="Times New Roman" w:cs="Times New Roman"/>
          <w:color w:val="040C28"/>
          <w:sz w:val="20"/>
          <w:szCs w:val="20"/>
        </w:rPr>
        <w:t>[1919] 2 KB 571</w:t>
      </w:r>
    </w:p>
  </w:footnote>
  <w:footnote w:id="4">
    <w:p w14:paraId="7D4C7560" w14:textId="77777777" w:rsidR="00524810" w:rsidRDefault="00000000" w:rsidP="006A580B">
      <w:pPr>
        <w:spacing w:line="36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color w:val="202124"/>
          <w:sz w:val="20"/>
          <w:szCs w:val="20"/>
          <w:highlight w:val="white"/>
        </w:rPr>
        <w:t>Carlill v Carbolic Smoke Ball Co [1892] EWCA Civ 1, [1893] 1 QB 256 (CA)</w:t>
      </w:r>
    </w:p>
  </w:footnote>
  <w:footnote w:id="5">
    <w:p w14:paraId="793FEAAB" w14:textId="77777777" w:rsidR="00524810" w:rsidRDefault="00000000" w:rsidP="006A580B">
      <w:pPr>
        <w:spacing w:line="360" w:lineRule="auto"/>
        <w:rPr>
          <w:rFonts w:ascii="Times New Roman" w:eastAsia="Times New Roman" w:hAnsi="Times New Roman" w:cs="Times New Roman"/>
          <w:i/>
          <w:sz w:val="20"/>
          <w:szCs w:val="20"/>
        </w:rPr>
      </w:pPr>
      <w:r>
        <w:rPr>
          <w:vertAlign w:val="superscript"/>
        </w:rPr>
        <w:footnoteRef/>
      </w:r>
      <w:r>
        <w:rPr>
          <w:sz w:val="20"/>
          <w:szCs w:val="20"/>
        </w:rPr>
        <w:t xml:space="preserve"> </w:t>
      </w:r>
      <w:r>
        <w:rPr>
          <w:rFonts w:ascii="Times New Roman" w:eastAsia="Times New Roman" w:hAnsi="Times New Roman" w:cs="Times New Roman"/>
          <w:i/>
          <w:sz w:val="20"/>
          <w:szCs w:val="20"/>
        </w:rPr>
        <w:t>Supra. Note. 5</w:t>
      </w:r>
    </w:p>
  </w:footnote>
  <w:footnote w:id="6">
    <w:p w14:paraId="241A99A2" w14:textId="77777777" w:rsidR="00524810" w:rsidRDefault="00000000" w:rsidP="006A580B">
      <w:pPr>
        <w:spacing w:line="36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color w:val="202124"/>
          <w:sz w:val="20"/>
          <w:szCs w:val="20"/>
          <w:highlight w:val="white"/>
        </w:rPr>
        <w:t xml:space="preserve">Simpkins v Pays </w:t>
      </w:r>
      <w:r>
        <w:rPr>
          <w:rFonts w:ascii="Times New Roman" w:eastAsia="Times New Roman" w:hAnsi="Times New Roman" w:cs="Times New Roman"/>
          <w:color w:val="040C28"/>
          <w:sz w:val="20"/>
          <w:szCs w:val="20"/>
        </w:rPr>
        <w:t>[1955] 1 WLR 975</w:t>
      </w:r>
      <w:r>
        <w:rPr>
          <w:rFonts w:ascii="Times New Roman" w:eastAsia="Times New Roman" w:hAnsi="Times New Roman" w:cs="Times New Roman"/>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F66D6"/>
    <w:multiLevelType w:val="hybridMultilevel"/>
    <w:tmpl w:val="B0BEFBD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71787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810"/>
    <w:rsid w:val="00222DED"/>
    <w:rsid w:val="004457CE"/>
    <w:rsid w:val="00524810"/>
    <w:rsid w:val="006A580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CF2DD"/>
  <w15:docId w15:val="{B70536A2-C6B3-4371-A678-73F71D77D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A580B"/>
    <w:rPr>
      <w:color w:val="0000FF" w:themeColor="hyperlink"/>
      <w:u w:val="single"/>
    </w:rPr>
  </w:style>
  <w:style w:type="paragraph" w:styleId="ListParagraph">
    <w:name w:val="List Paragraph"/>
    <w:basedOn w:val="Normal"/>
    <w:uiPriority w:val="34"/>
    <w:qFormat/>
    <w:rsid w:val="006A580B"/>
    <w:pPr>
      <w:spacing w:after="160" w:line="259" w:lineRule="auto"/>
      <w:ind w:left="720"/>
      <w:contextualSpacing/>
    </w:pPr>
    <w:rPr>
      <w:rFonts w:asciiTheme="minorHAnsi" w:eastAsiaTheme="minorHAnsi" w:hAnsiTheme="minorHAnsi" w:cstheme="minorBid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hea.vinay@law.christuniversity.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legalvidhiya.com/rose-and-frank-co-v-crompton-and-brother-ltd-19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2580</Words>
  <Characters>14707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Rhea L Vinay</dc:creator>
  <cp:lastModifiedBy>TeamD</cp:lastModifiedBy>
  <cp:revision>2</cp:revision>
  <dcterms:created xsi:type="dcterms:W3CDTF">2024-02-15T13:27:00Z</dcterms:created>
  <dcterms:modified xsi:type="dcterms:W3CDTF">2024-02-15T13:27:00Z</dcterms:modified>
</cp:coreProperties>
</file>