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6833F9" w14:textId="49A39EFF" w:rsidR="00867BFD" w:rsidRPr="0001398B" w:rsidRDefault="00DF166E" w:rsidP="005B0FF0">
      <w:pPr>
        <w:spacing w:line="360" w:lineRule="auto"/>
        <w:jc w:val="center"/>
        <w:rPr>
          <w:rFonts w:ascii="Times New Roman" w:hAnsi="Times New Roman" w:cs="Times New Roman"/>
          <w:b/>
          <w:bCs/>
          <w:sz w:val="24"/>
          <w:szCs w:val="24"/>
        </w:rPr>
      </w:pPr>
      <w:r w:rsidRPr="0001398B">
        <w:rPr>
          <w:rFonts w:ascii="Times New Roman" w:hAnsi="Times New Roman" w:cs="Times New Roman"/>
          <w:b/>
          <w:bCs/>
          <w:sz w:val="24"/>
          <w:szCs w:val="24"/>
        </w:rPr>
        <w:t>DECODING INDIA’S DIGITAL PERSONAL DATA PROTECTION ACT: ANALYZING IMPLICATIONS AND UNRAVELLING CORPORATE OBLIGATIONS.</w:t>
      </w:r>
      <w:r w:rsidR="00FC2EC0" w:rsidRPr="0001398B">
        <w:rPr>
          <w:rFonts w:ascii="Times New Roman" w:hAnsi="Times New Roman" w:cs="Times New Roman"/>
          <w:b/>
          <w:bCs/>
          <w:sz w:val="24"/>
          <w:szCs w:val="24"/>
        </w:rPr>
        <w:br/>
      </w:r>
    </w:p>
    <w:p w14:paraId="04D49016" w14:textId="77777777" w:rsidR="0001398B" w:rsidRDefault="0001398B" w:rsidP="005B0FF0">
      <w:pPr>
        <w:spacing w:line="360" w:lineRule="auto"/>
        <w:jc w:val="both"/>
        <w:rPr>
          <w:rFonts w:ascii="Times New Roman" w:hAnsi="Times New Roman" w:cs="Times New Roman"/>
          <w:sz w:val="24"/>
          <w:szCs w:val="24"/>
        </w:rPr>
      </w:pPr>
      <w:r w:rsidRPr="0001398B">
        <w:rPr>
          <w:rFonts w:ascii="Times New Roman" w:hAnsi="Times New Roman" w:cs="Times New Roman"/>
          <w:b/>
          <w:bCs/>
          <w:sz w:val="24"/>
          <w:szCs w:val="24"/>
        </w:rPr>
        <w:t>ABSTRACT</w:t>
      </w:r>
    </w:p>
    <w:p w14:paraId="0F688F2A" w14:textId="54743A07" w:rsidR="0001398B" w:rsidRDefault="0001398B" w:rsidP="005B0FF0">
      <w:pPr>
        <w:spacing w:line="360" w:lineRule="auto"/>
        <w:jc w:val="both"/>
        <w:rPr>
          <w:rFonts w:ascii="Times New Roman" w:hAnsi="Times New Roman" w:cs="Times New Roman"/>
          <w:sz w:val="24"/>
          <w:szCs w:val="24"/>
        </w:rPr>
      </w:pPr>
      <w:r w:rsidRPr="0001398B">
        <w:rPr>
          <w:rFonts w:ascii="Times New Roman" w:hAnsi="Times New Roman" w:cs="Times New Roman"/>
          <w:sz w:val="24"/>
          <w:szCs w:val="24"/>
        </w:rPr>
        <w:t xml:space="preserve">The India Digital Personal Data Protection Act stands as a pivotal legislation prioritizing individual privacy and is aimed at governing and regulating the collection, storage, and usage of personal data. This paper intends to cover a plethora of cardinal facets including the criteria or grounds delineating data processing by </w:t>
      </w:r>
      <w:r w:rsidRPr="00445A82">
        <w:rPr>
          <w:rFonts w:ascii="Times New Roman" w:hAnsi="Times New Roman" w:cs="Times New Roman"/>
          <w:sz w:val="24"/>
          <w:szCs w:val="24"/>
        </w:rPr>
        <w:t>corporate entities</w:t>
      </w:r>
      <w:r w:rsidRPr="0001398B">
        <w:rPr>
          <w:rFonts w:ascii="Times New Roman" w:hAnsi="Times New Roman" w:cs="Times New Roman"/>
          <w:sz w:val="24"/>
          <w:szCs w:val="24"/>
        </w:rPr>
        <w:t>, the Act's scope of applicability, and exceptions where its jurisdiction does not extend. Given its inception post extensive deliberation, the paper deems it imperative to draw a comparison between this Act and the European Union's GDPR, which is also a comprehensive data privacy and security law that governs the handling and processing of personal data. Furthermore, it delves into its impact on multinational corporations (MNCs), in terms of its compliance</w:t>
      </w:r>
      <w:r w:rsidR="00A60AD3">
        <w:rPr>
          <w:rFonts w:ascii="Times New Roman" w:hAnsi="Times New Roman" w:cs="Times New Roman"/>
          <w:sz w:val="24"/>
          <w:szCs w:val="24"/>
        </w:rPr>
        <w:t xml:space="preserve"> and </w:t>
      </w:r>
      <w:r w:rsidRPr="0001398B">
        <w:rPr>
          <w:rFonts w:ascii="Times New Roman" w:hAnsi="Times New Roman" w:cs="Times New Roman"/>
          <w:sz w:val="24"/>
          <w:szCs w:val="24"/>
        </w:rPr>
        <w:t>the nuances of liability and penalties. It aims to comprehensively explore key provisions that significantly impact corporate operations and obligations within the regulatory ambit of the Act.</w:t>
      </w:r>
    </w:p>
    <w:p w14:paraId="41234BCD" w14:textId="6032461B" w:rsidR="0001398B" w:rsidRPr="00445A82" w:rsidRDefault="0001398B" w:rsidP="005B0FF0">
      <w:pPr>
        <w:spacing w:line="360" w:lineRule="auto"/>
        <w:jc w:val="both"/>
        <w:rPr>
          <w:rFonts w:ascii="Times New Roman" w:hAnsi="Times New Roman" w:cs="Times New Roman"/>
          <w:b/>
          <w:bCs/>
          <w:sz w:val="24"/>
          <w:szCs w:val="24"/>
        </w:rPr>
      </w:pPr>
      <w:r w:rsidRPr="0001398B">
        <w:rPr>
          <w:rFonts w:ascii="Times New Roman" w:hAnsi="Times New Roman" w:cs="Times New Roman"/>
          <w:b/>
          <w:bCs/>
          <w:sz w:val="24"/>
          <w:szCs w:val="24"/>
        </w:rPr>
        <w:t>Keywords:</w:t>
      </w:r>
      <w:r>
        <w:rPr>
          <w:rFonts w:ascii="Times New Roman" w:hAnsi="Times New Roman" w:cs="Times New Roman"/>
          <w:b/>
          <w:bCs/>
          <w:sz w:val="24"/>
          <w:szCs w:val="24"/>
        </w:rPr>
        <w:t xml:space="preserve"> DPDP Act, privacy, </w:t>
      </w:r>
      <w:r w:rsidR="00445A82" w:rsidRPr="00445A82">
        <w:rPr>
          <w:rFonts w:ascii="Times New Roman" w:hAnsi="Times New Roman" w:cs="Times New Roman"/>
          <w:b/>
          <w:bCs/>
          <w:sz w:val="24"/>
          <w:szCs w:val="24"/>
        </w:rPr>
        <w:t>corporate entities</w:t>
      </w:r>
      <w:r w:rsidR="00445A82">
        <w:rPr>
          <w:rFonts w:ascii="Times New Roman" w:hAnsi="Times New Roman" w:cs="Times New Roman"/>
          <w:b/>
          <w:bCs/>
          <w:sz w:val="24"/>
          <w:szCs w:val="24"/>
        </w:rPr>
        <w:t>, personal data</w:t>
      </w:r>
    </w:p>
    <w:p w14:paraId="0F95E1A9" w14:textId="0DB5B835" w:rsidR="0001398B" w:rsidRDefault="0001398B" w:rsidP="005B0FF0">
      <w:pPr>
        <w:spacing w:line="360" w:lineRule="auto"/>
        <w:jc w:val="both"/>
        <w:rPr>
          <w:rFonts w:ascii="Times New Roman" w:hAnsi="Times New Roman" w:cs="Times New Roman"/>
          <w:b/>
          <w:bCs/>
          <w:sz w:val="24"/>
          <w:szCs w:val="24"/>
        </w:rPr>
      </w:pPr>
      <w:r w:rsidRPr="0001398B">
        <w:rPr>
          <w:rFonts w:ascii="Times New Roman" w:hAnsi="Times New Roman" w:cs="Times New Roman"/>
          <w:b/>
          <w:bCs/>
          <w:sz w:val="24"/>
          <w:szCs w:val="24"/>
        </w:rPr>
        <w:t>INTRODUCTION</w:t>
      </w:r>
    </w:p>
    <w:p w14:paraId="0AD6369D" w14:textId="51410015" w:rsidR="0045748D" w:rsidRPr="00C16D95" w:rsidRDefault="0001398B" w:rsidP="005B0FF0">
      <w:pPr>
        <w:spacing w:line="360" w:lineRule="auto"/>
        <w:jc w:val="both"/>
        <w:rPr>
          <w:rFonts w:ascii="Times New Roman" w:hAnsi="Times New Roman" w:cs="Times New Roman"/>
          <w:sz w:val="24"/>
          <w:szCs w:val="24"/>
        </w:rPr>
      </w:pPr>
      <w:r w:rsidRPr="0001398B">
        <w:rPr>
          <w:rFonts w:ascii="Times New Roman" w:hAnsi="Times New Roman" w:cs="Times New Roman"/>
          <w:sz w:val="24"/>
          <w:szCs w:val="24"/>
        </w:rPr>
        <w:t xml:space="preserve">The India Digital Personal Data Protection Act stands as a pivotal legislation prioritizing individual privacy and is aimed at governing and regulating the collection, storage, and usage of personal data. The Act is viewed to have a progressive stride particularly in today’s day and age with the ever-growing technology and artificial intelligence. The journey started with the judgment delivered by Justice D Y Chandrachud in the </w:t>
      </w:r>
      <w:proofErr w:type="spellStart"/>
      <w:r w:rsidRPr="0001398B">
        <w:rPr>
          <w:rFonts w:ascii="Times New Roman" w:hAnsi="Times New Roman" w:cs="Times New Roman"/>
          <w:sz w:val="24"/>
          <w:szCs w:val="24"/>
        </w:rPr>
        <w:t>Puttuswamy</w:t>
      </w:r>
      <w:proofErr w:type="spellEnd"/>
      <w:r w:rsidRPr="0001398B">
        <w:rPr>
          <w:rFonts w:ascii="Times New Roman" w:hAnsi="Times New Roman" w:cs="Times New Roman"/>
          <w:sz w:val="24"/>
          <w:szCs w:val="24"/>
        </w:rPr>
        <w:t xml:space="preserve"> case</w:t>
      </w:r>
      <w:r w:rsidRPr="0001398B">
        <w:rPr>
          <w:rStyle w:val="FootnoteReference"/>
          <w:rFonts w:ascii="Times New Roman" w:hAnsi="Times New Roman" w:cs="Times New Roman"/>
          <w:sz w:val="24"/>
          <w:szCs w:val="24"/>
        </w:rPr>
        <w:footnoteReference w:id="1"/>
      </w:r>
      <w:r w:rsidRPr="0001398B">
        <w:rPr>
          <w:rFonts w:ascii="Times New Roman" w:hAnsi="Times New Roman" w:cs="Times New Roman"/>
          <w:sz w:val="24"/>
          <w:szCs w:val="24"/>
        </w:rPr>
        <w:t xml:space="preserve"> where the right to privacy was recognized as a fundamental right and the government was requested to come up with a suitable data protection legislation.  </w:t>
      </w:r>
      <w:r w:rsidR="00445A82">
        <w:rPr>
          <w:rFonts w:ascii="Times New Roman" w:hAnsi="Times New Roman" w:cs="Times New Roman"/>
          <w:sz w:val="24"/>
          <w:szCs w:val="24"/>
        </w:rPr>
        <w:t xml:space="preserve">For the protection of data protection, the court in this case directed the government to put up “a </w:t>
      </w:r>
      <w:r w:rsidR="00445A82" w:rsidRPr="00445A82">
        <w:rPr>
          <w:rFonts w:ascii="Times New Roman" w:hAnsi="Times New Roman" w:cs="Times New Roman"/>
          <w:sz w:val="24"/>
          <w:szCs w:val="24"/>
        </w:rPr>
        <w:t>carefully structured regim</w:t>
      </w:r>
      <w:r w:rsidR="00445A82">
        <w:rPr>
          <w:rFonts w:ascii="Times New Roman" w:hAnsi="Times New Roman" w:cs="Times New Roman"/>
          <w:sz w:val="24"/>
          <w:szCs w:val="24"/>
        </w:rPr>
        <w:t>e.”</w:t>
      </w:r>
      <w:r w:rsidR="00956915">
        <w:rPr>
          <w:rFonts w:ascii="Times New Roman" w:hAnsi="Times New Roman" w:cs="Times New Roman"/>
          <w:sz w:val="24"/>
          <w:szCs w:val="24"/>
        </w:rPr>
        <w:t xml:space="preserve"> </w:t>
      </w:r>
      <w:r w:rsidR="003452B7">
        <w:rPr>
          <w:rFonts w:ascii="Times New Roman" w:hAnsi="Times New Roman" w:cs="Times New Roman"/>
          <w:sz w:val="24"/>
          <w:szCs w:val="24"/>
        </w:rPr>
        <w:t>The law will not take effect until the government notifies the same</w:t>
      </w:r>
      <w:r w:rsidR="005F6CB1">
        <w:rPr>
          <w:rFonts w:ascii="Times New Roman" w:hAnsi="Times New Roman" w:cs="Times New Roman"/>
          <w:sz w:val="24"/>
          <w:szCs w:val="24"/>
        </w:rPr>
        <w:t>, which stands apart from the provision of mandated transitional period as under the GDPR. In fact, the government is conferred with the authority</w:t>
      </w:r>
      <w:r w:rsidR="00126FF4">
        <w:rPr>
          <w:rFonts w:ascii="Times New Roman" w:hAnsi="Times New Roman" w:cs="Times New Roman"/>
          <w:sz w:val="24"/>
          <w:szCs w:val="24"/>
        </w:rPr>
        <w:t xml:space="preserve"> to decide which </w:t>
      </w:r>
      <w:r w:rsidR="00126FF4">
        <w:rPr>
          <w:rFonts w:ascii="Times New Roman" w:hAnsi="Times New Roman" w:cs="Times New Roman"/>
          <w:sz w:val="24"/>
          <w:szCs w:val="24"/>
        </w:rPr>
        <w:lastRenderedPageBreak/>
        <w:t xml:space="preserve">particular sections will become operative on the dates specified by </w:t>
      </w:r>
      <w:r w:rsidR="00403CCC">
        <w:rPr>
          <w:rFonts w:ascii="Times New Roman" w:hAnsi="Times New Roman" w:cs="Times New Roman"/>
          <w:sz w:val="24"/>
          <w:szCs w:val="24"/>
        </w:rPr>
        <w:t>them.</w:t>
      </w:r>
      <w:r w:rsidR="00403CCC" w:rsidRPr="0001398B">
        <w:rPr>
          <w:rFonts w:ascii="Times New Roman" w:hAnsi="Times New Roman" w:cs="Times New Roman"/>
          <w:sz w:val="24"/>
          <w:szCs w:val="24"/>
        </w:rPr>
        <w:t xml:space="preserve"> The</w:t>
      </w:r>
      <w:r w:rsidR="00403CCC">
        <w:rPr>
          <w:rFonts w:ascii="Times New Roman" w:hAnsi="Times New Roman" w:cs="Times New Roman"/>
          <w:sz w:val="24"/>
          <w:szCs w:val="24"/>
        </w:rPr>
        <w:t xml:space="preserve"> A</w:t>
      </w:r>
      <w:r w:rsidR="0045748D" w:rsidRPr="0001398B">
        <w:rPr>
          <w:rFonts w:ascii="Times New Roman" w:hAnsi="Times New Roman" w:cs="Times New Roman"/>
          <w:sz w:val="24"/>
          <w:szCs w:val="24"/>
        </w:rPr>
        <w:t xml:space="preserve">ct has completely omitted non-personal data. Having understood that, any data used for domestic purposes, research purposes and publicly available personal data falls outside the ambit of the Act. </w:t>
      </w:r>
      <w:r w:rsidRPr="0001398B">
        <w:rPr>
          <w:rFonts w:ascii="Times New Roman" w:hAnsi="Times New Roman" w:cs="Times New Roman"/>
          <w:sz w:val="24"/>
          <w:szCs w:val="24"/>
        </w:rPr>
        <w:t xml:space="preserve">The Act </w:t>
      </w:r>
      <w:r w:rsidR="0045748D" w:rsidRPr="0001398B">
        <w:rPr>
          <w:rFonts w:ascii="Times New Roman" w:hAnsi="Times New Roman" w:cs="Times New Roman"/>
          <w:sz w:val="24"/>
          <w:szCs w:val="24"/>
        </w:rPr>
        <w:t>covers</w:t>
      </w:r>
      <w:r w:rsidRPr="0001398B">
        <w:rPr>
          <w:rFonts w:ascii="Times New Roman" w:hAnsi="Times New Roman" w:cs="Times New Roman"/>
          <w:sz w:val="24"/>
          <w:szCs w:val="24"/>
        </w:rPr>
        <w:t xml:space="preserve"> </w:t>
      </w:r>
      <w:r w:rsidR="0045748D" w:rsidRPr="0001398B">
        <w:rPr>
          <w:rFonts w:ascii="Times New Roman" w:hAnsi="Times New Roman" w:cs="Times New Roman"/>
          <w:sz w:val="24"/>
          <w:szCs w:val="24"/>
        </w:rPr>
        <w:t>extra territorial applicability also as long as the data collected is any personal digital data or a personal data that is subsequently digitalized</w:t>
      </w:r>
    </w:p>
    <w:p w14:paraId="56F9EE17" w14:textId="3495CE32" w:rsidR="0045748D" w:rsidRPr="0001398B" w:rsidRDefault="00E657E0" w:rsidP="005B0FF0">
      <w:pPr>
        <w:spacing w:line="360" w:lineRule="auto"/>
        <w:jc w:val="both"/>
        <w:rPr>
          <w:rFonts w:ascii="Times New Roman" w:hAnsi="Times New Roman" w:cs="Times New Roman"/>
          <w:b/>
          <w:bCs/>
          <w:sz w:val="24"/>
          <w:szCs w:val="24"/>
        </w:rPr>
      </w:pPr>
      <w:r w:rsidRPr="0001398B">
        <w:rPr>
          <w:rFonts w:ascii="Times New Roman" w:hAnsi="Times New Roman" w:cs="Times New Roman"/>
          <w:b/>
          <w:bCs/>
          <w:sz w:val="24"/>
          <w:szCs w:val="24"/>
        </w:rPr>
        <w:t>COMPARISON</w:t>
      </w:r>
      <w:r>
        <w:rPr>
          <w:rFonts w:ascii="Times New Roman" w:hAnsi="Times New Roman" w:cs="Times New Roman"/>
          <w:b/>
          <w:bCs/>
          <w:sz w:val="24"/>
          <w:szCs w:val="24"/>
        </w:rPr>
        <w:t xml:space="preserve">: </w:t>
      </w:r>
      <w:r w:rsidRPr="0001398B">
        <w:rPr>
          <w:rFonts w:ascii="Times New Roman" w:hAnsi="Times New Roman" w:cs="Times New Roman"/>
          <w:b/>
          <w:bCs/>
          <w:sz w:val="24"/>
          <w:szCs w:val="24"/>
        </w:rPr>
        <w:t>GDPR</w:t>
      </w:r>
      <w:r>
        <w:rPr>
          <w:rFonts w:ascii="Times New Roman" w:hAnsi="Times New Roman" w:cs="Times New Roman"/>
          <w:b/>
          <w:bCs/>
          <w:sz w:val="24"/>
          <w:szCs w:val="24"/>
        </w:rPr>
        <w:t xml:space="preserve"> AND DPDP</w:t>
      </w:r>
    </w:p>
    <w:p w14:paraId="4D2FC604" w14:textId="5CACEF6F" w:rsidR="0045748D" w:rsidRPr="00B15664" w:rsidRDefault="0045748D" w:rsidP="005B0FF0">
      <w:pPr>
        <w:spacing w:line="360" w:lineRule="auto"/>
        <w:jc w:val="both"/>
        <w:rPr>
          <w:rFonts w:ascii="Times New Roman" w:hAnsi="Times New Roman" w:cs="Times New Roman"/>
          <w:sz w:val="24"/>
          <w:szCs w:val="24"/>
        </w:rPr>
      </w:pPr>
      <w:r w:rsidRPr="0001398B">
        <w:rPr>
          <w:rFonts w:ascii="Times New Roman" w:hAnsi="Times New Roman" w:cs="Times New Roman"/>
          <w:sz w:val="24"/>
          <w:szCs w:val="24"/>
        </w:rPr>
        <w:t xml:space="preserve">In the process and attempt of tracking a </w:t>
      </w:r>
      <w:r w:rsidRPr="00BC38F0">
        <w:rPr>
          <w:rFonts w:ascii="Times New Roman" w:hAnsi="Times New Roman" w:cs="Times New Roman"/>
          <w:sz w:val="24"/>
          <w:szCs w:val="24"/>
        </w:rPr>
        <w:t xml:space="preserve">path of its own, India through the DPDP Act has deviated significantly from the European Union's GDPR. </w:t>
      </w:r>
      <w:r w:rsidR="00726B77" w:rsidRPr="00BC38F0">
        <w:rPr>
          <w:rFonts w:ascii="Times New Roman" w:hAnsi="Times New Roman" w:cs="Times New Roman"/>
          <w:sz w:val="24"/>
          <w:szCs w:val="24"/>
        </w:rPr>
        <w:t>DPDP is p</w:t>
      </w:r>
      <w:r w:rsidR="00726B77" w:rsidRPr="00BC38F0">
        <w:rPr>
          <w:rFonts w:ascii="Times New Roman" w:hAnsi="Times New Roman" w:cs="Times New Roman"/>
          <w:sz w:val="24"/>
          <w:szCs w:val="24"/>
        </w:rPr>
        <w:t>rimarily designed to regulate the handling of personal data within India's borders, applying to entities processing data of Indian citizens, whether located within or outside India</w:t>
      </w:r>
      <w:r w:rsidR="00726B77" w:rsidRPr="00BC38F0">
        <w:rPr>
          <w:rFonts w:ascii="Times New Roman" w:hAnsi="Times New Roman" w:cs="Times New Roman"/>
          <w:sz w:val="24"/>
          <w:szCs w:val="24"/>
        </w:rPr>
        <w:t xml:space="preserve"> and not completely </w:t>
      </w:r>
      <w:r w:rsidR="00726B77" w:rsidRPr="00BC38F0">
        <w:rPr>
          <w:rFonts w:ascii="Times New Roman" w:hAnsi="Times New Roman" w:cs="Times New Roman"/>
          <w:sz w:val="24"/>
          <w:szCs w:val="24"/>
        </w:rPr>
        <w:t>extraterritorial in nature</w:t>
      </w:r>
      <w:r w:rsidR="00726B77" w:rsidRPr="00BC38F0">
        <w:rPr>
          <w:rFonts w:ascii="Times New Roman" w:hAnsi="Times New Roman" w:cs="Times New Roman"/>
          <w:sz w:val="24"/>
          <w:szCs w:val="24"/>
        </w:rPr>
        <w:t xml:space="preserve"> as in the case of GDPR.</w:t>
      </w:r>
      <w:r w:rsidR="00726B77">
        <w:rPr>
          <w:rFonts w:ascii="Segoe UI" w:hAnsi="Segoe UI" w:cs="Segoe UI"/>
          <w:color w:val="D1D5DB"/>
          <w:shd w:val="clear" w:color="auto" w:fill="343541"/>
        </w:rPr>
        <w:t xml:space="preserve"> </w:t>
      </w:r>
      <w:r w:rsidR="00D22235">
        <w:rPr>
          <w:rFonts w:ascii="Segoe UI" w:hAnsi="Segoe UI" w:cs="Segoe UI"/>
          <w:color w:val="D1D5DB"/>
          <w:shd w:val="clear" w:color="auto" w:fill="343541"/>
        </w:rPr>
        <w:t xml:space="preserve"> </w:t>
      </w:r>
    </w:p>
    <w:p w14:paraId="7A4D8008" w14:textId="25443712" w:rsidR="00403CCC" w:rsidRDefault="00D22235" w:rsidP="005B0FF0">
      <w:pPr>
        <w:spacing w:line="360" w:lineRule="auto"/>
        <w:jc w:val="both"/>
        <w:rPr>
          <w:rFonts w:ascii="Times New Roman" w:hAnsi="Times New Roman" w:cs="Times New Roman"/>
          <w:sz w:val="24"/>
          <w:szCs w:val="24"/>
        </w:rPr>
      </w:pPr>
      <w:r w:rsidRPr="00D22235">
        <w:rPr>
          <w:rFonts w:ascii="Times New Roman" w:hAnsi="Times New Roman" w:cs="Times New Roman"/>
          <w:sz w:val="24"/>
          <w:szCs w:val="24"/>
        </w:rPr>
        <w:t xml:space="preserve">Under the GDPR, organizations handling personal data of individuals in the EU are generally expected to store that data within the EU boundaries, ensuring it remains under the jurisdiction and protection of the GDPR, unless particular exemptions or specific legal mechanisms (such as adequacy decisions or contractual clauses) are in place. This measure is intended to uphold the GDPR's stringent data protection standards and ensure that personal data is subject to EU data protection laws, even if processed by non-EU </w:t>
      </w:r>
      <w:r w:rsidR="00403CCC" w:rsidRPr="00D22235">
        <w:rPr>
          <w:rFonts w:ascii="Times New Roman" w:hAnsi="Times New Roman" w:cs="Times New Roman"/>
          <w:sz w:val="24"/>
          <w:szCs w:val="24"/>
        </w:rPr>
        <w:t>entities. On</w:t>
      </w:r>
      <w:r w:rsidRPr="00D22235">
        <w:rPr>
          <w:rFonts w:ascii="Times New Roman" w:hAnsi="Times New Roman" w:cs="Times New Roman"/>
          <w:sz w:val="24"/>
          <w:szCs w:val="24"/>
        </w:rPr>
        <w:t xml:space="preserve"> the other hand, the DPDP Act in India does not explicitly enforce a similar requirement for organizations to retain personal data within India's borders. This aspect diverges from the GDPR's territoriality principle. Instead, the DPDP Act focuses on governing the handling, processing, and protection of personal data, irrespective of its physical location. This means that while the DPDP Act regulates how personal data is managed, ensuring its lawful processing and safeguarding individuals' privacy rights, it doesn't specifically mandate the storage of data within India's territory.</w:t>
      </w:r>
      <w:r w:rsidR="00403CCC">
        <w:rPr>
          <w:rFonts w:ascii="Times New Roman" w:hAnsi="Times New Roman" w:cs="Times New Roman"/>
          <w:sz w:val="24"/>
          <w:szCs w:val="24"/>
        </w:rPr>
        <w:t xml:space="preserve"> </w:t>
      </w:r>
    </w:p>
    <w:p w14:paraId="5501BB69" w14:textId="27120B70" w:rsidR="00B15664" w:rsidRPr="00B15664" w:rsidRDefault="00B15664" w:rsidP="005B0FF0">
      <w:pPr>
        <w:spacing w:line="360" w:lineRule="auto"/>
        <w:jc w:val="both"/>
        <w:rPr>
          <w:rFonts w:ascii="Times New Roman" w:hAnsi="Times New Roman" w:cs="Times New Roman"/>
          <w:sz w:val="24"/>
          <w:szCs w:val="24"/>
        </w:rPr>
      </w:pPr>
      <w:r w:rsidRPr="00B15664">
        <w:rPr>
          <w:rFonts w:ascii="Times New Roman" w:hAnsi="Times New Roman" w:cs="Times New Roman"/>
          <w:sz w:val="24"/>
          <w:szCs w:val="24"/>
        </w:rPr>
        <w:t>Under the GDPR (General Data Protection Regulation), organizations are obligated to inform the appropriate data protection authority within 72 hours of becoming aware of a data breach.</w:t>
      </w:r>
      <w:r w:rsidRPr="00B15664">
        <w:rPr>
          <w:rFonts w:ascii="Times New Roman" w:hAnsi="Times New Roman" w:cs="Times New Roman"/>
          <w:sz w:val="24"/>
          <w:szCs w:val="24"/>
        </w:rPr>
        <w:t xml:space="preserve"> </w:t>
      </w:r>
      <w:r w:rsidRPr="00B15664">
        <w:rPr>
          <w:rFonts w:ascii="Times New Roman" w:hAnsi="Times New Roman" w:cs="Times New Roman"/>
          <w:sz w:val="24"/>
          <w:szCs w:val="24"/>
        </w:rPr>
        <w:t>Similarly, according to the DPDP (Data Protection and Privacy) Act, organizations must notify both the Data Protection Board and the individuals affected by the breach within the same 72-hour window upon discovering a data breach.</w:t>
      </w:r>
      <w:r w:rsidRPr="00B15664">
        <w:rPr>
          <w:rFonts w:ascii="Times New Roman" w:hAnsi="Times New Roman" w:cs="Times New Roman"/>
          <w:sz w:val="24"/>
          <w:szCs w:val="24"/>
        </w:rPr>
        <w:t xml:space="preserve"> </w:t>
      </w:r>
    </w:p>
    <w:p w14:paraId="28F80513" w14:textId="450162D0" w:rsidR="00B15664" w:rsidRPr="00B15664" w:rsidRDefault="00B15664" w:rsidP="005B0FF0">
      <w:pPr>
        <w:spacing w:line="360" w:lineRule="auto"/>
        <w:jc w:val="both"/>
        <w:rPr>
          <w:rFonts w:ascii="Times New Roman" w:hAnsi="Times New Roman" w:cs="Times New Roman"/>
          <w:sz w:val="24"/>
          <w:szCs w:val="24"/>
        </w:rPr>
      </w:pPr>
      <w:r w:rsidRPr="00B15664">
        <w:rPr>
          <w:rFonts w:ascii="Times New Roman" w:hAnsi="Times New Roman" w:cs="Times New Roman"/>
          <w:sz w:val="24"/>
          <w:szCs w:val="24"/>
        </w:rPr>
        <w:lastRenderedPageBreak/>
        <w:t>The GDPR mandates severe penalties for breaches of its regulations, with fines reaching as high as €20 million or 4% of the violator's global annual turnover, whichever amount is greater.</w:t>
      </w:r>
      <w:r w:rsidRPr="00B15664">
        <w:rPr>
          <w:rFonts w:ascii="Times New Roman" w:hAnsi="Times New Roman" w:cs="Times New Roman"/>
          <w:sz w:val="24"/>
          <w:szCs w:val="24"/>
        </w:rPr>
        <w:t xml:space="preserve"> </w:t>
      </w:r>
      <w:r w:rsidRPr="00B15664">
        <w:rPr>
          <w:rFonts w:ascii="Times New Roman" w:hAnsi="Times New Roman" w:cs="Times New Roman"/>
          <w:sz w:val="24"/>
          <w:szCs w:val="24"/>
        </w:rPr>
        <w:t>DPDP Act enforces significant penalties for violations within the Indian context, imposing fines that can extend up to INR 250 crores.</w:t>
      </w:r>
      <w:r w:rsidR="00403CCC">
        <w:rPr>
          <w:rStyle w:val="FootnoteReference"/>
          <w:rFonts w:ascii="Times New Roman" w:hAnsi="Times New Roman" w:cs="Times New Roman"/>
          <w:sz w:val="24"/>
          <w:szCs w:val="24"/>
        </w:rPr>
        <w:footnoteReference w:id="2"/>
      </w:r>
    </w:p>
    <w:p w14:paraId="25C5AD91" w14:textId="45AD0C21" w:rsidR="0045748D" w:rsidRPr="0001398B" w:rsidRDefault="00B15664" w:rsidP="005B0FF0">
      <w:pPr>
        <w:spacing w:line="360" w:lineRule="auto"/>
        <w:jc w:val="both"/>
        <w:rPr>
          <w:rFonts w:ascii="Times New Roman" w:hAnsi="Times New Roman" w:cs="Times New Roman"/>
          <w:sz w:val="24"/>
          <w:szCs w:val="24"/>
        </w:rPr>
      </w:pPr>
      <w:r w:rsidRPr="00B15664">
        <w:rPr>
          <w:rFonts w:ascii="Times New Roman" w:hAnsi="Times New Roman" w:cs="Times New Roman"/>
          <w:sz w:val="24"/>
          <w:szCs w:val="24"/>
        </w:rPr>
        <w:t xml:space="preserve">The GDPR is largely regarded as a more stringent data protection legislation than the DPDP Act. It requires tougher standards for permission, data storage within certain areas, and data breach reporting. In contrast, the DPDP Act allows </w:t>
      </w:r>
      <w:proofErr w:type="spellStart"/>
      <w:r w:rsidRPr="00B15664">
        <w:rPr>
          <w:rFonts w:ascii="Times New Roman" w:hAnsi="Times New Roman" w:cs="Times New Roman"/>
          <w:sz w:val="24"/>
          <w:szCs w:val="24"/>
        </w:rPr>
        <w:t>organisations</w:t>
      </w:r>
      <w:proofErr w:type="spellEnd"/>
      <w:r w:rsidRPr="00B15664">
        <w:rPr>
          <w:rFonts w:ascii="Times New Roman" w:hAnsi="Times New Roman" w:cs="Times New Roman"/>
          <w:sz w:val="24"/>
          <w:szCs w:val="24"/>
        </w:rPr>
        <w:t xml:space="preserve"> to handle personal data without explicit agreement in certain circumstances and does not mandate the keeping of personal data inside India's boundaries.</w:t>
      </w:r>
    </w:p>
    <w:p w14:paraId="3AB4CBCD" w14:textId="26C0D5C7" w:rsidR="0052794C" w:rsidRDefault="00956915" w:rsidP="005B0FF0">
      <w:pPr>
        <w:spacing w:line="360" w:lineRule="auto"/>
        <w:jc w:val="both"/>
        <w:rPr>
          <w:rFonts w:ascii="Times New Roman" w:hAnsi="Times New Roman" w:cs="Times New Roman"/>
          <w:b/>
          <w:bCs/>
          <w:sz w:val="24"/>
          <w:szCs w:val="24"/>
        </w:rPr>
      </w:pPr>
      <w:r w:rsidRPr="0001398B">
        <w:rPr>
          <w:rFonts w:ascii="Times New Roman" w:hAnsi="Times New Roman" w:cs="Times New Roman"/>
          <w:b/>
          <w:bCs/>
          <w:sz w:val="24"/>
          <w:szCs w:val="24"/>
        </w:rPr>
        <w:t>OBLIGATIONS UNDER THE ACT FOR BUSINESS</w:t>
      </w:r>
      <w:r w:rsidR="0011479B">
        <w:rPr>
          <w:rFonts w:ascii="Times New Roman" w:hAnsi="Times New Roman" w:cs="Times New Roman"/>
          <w:b/>
          <w:bCs/>
          <w:sz w:val="24"/>
          <w:szCs w:val="24"/>
        </w:rPr>
        <w:t>/DATA FIDUCIARY</w:t>
      </w:r>
    </w:p>
    <w:p w14:paraId="439AF709" w14:textId="301EC71E" w:rsidR="00956915" w:rsidRDefault="00C16D95" w:rsidP="005B0FF0">
      <w:pPr>
        <w:spacing w:line="360" w:lineRule="auto"/>
        <w:jc w:val="both"/>
        <w:rPr>
          <w:rFonts w:ascii="Times New Roman" w:hAnsi="Times New Roman" w:cs="Times New Roman"/>
          <w:sz w:val="24"/>
          <w:szCs w:val="24"/>
        </w:rPr>
      </w:pPr>
      <w:r w:rsidRPr="00C16D95">
        <w:rPr>
          <w:rFonts w:ascii="Times New Roman" w:hAnsi="Times New Roman" w:cs="Times New Roman"/>
          <w:sz w:val="24"/>
          <w:szCs w:val="24"/>
        </w:rPr>
        <w:t>As per Section 2(</w:t>
      </w:r>
      <w:proofErr w:type="spellStart"/>
      <w:r w:rsidRPr="00C16D95">
        <w:rPr>
          <w:rFonts w:ascii="Times New Roman" w:hAnsi="Times New Roman" w:cs="Times New Roman"/>
          <w:sz w:val="24"/>
          <w:szCs w:val="24"/>
        </w:rPr>
        <w:t>i</w:t>
      </w:r>
      <w:proofErr w:type="spellEnd"/>
      <w:r w:rsidRPr="00C16D95">
        <w:rPr>
          <w:rFonts w:ascii="Times New Roman" w:hAnsi="Times New Roman" w:cs="Times New Roman"/>
          <w:sz w:val="24"/>
          <w:szCs w:val="24"/>
        </w:rPr>
        <w:t>) of the DPDP Act, the term 'Data Fiduciary' is defined as any person who alone or in conjunction with other persons determines the purpose and means of processing personal data</w:t>
      </w:r>
      <w:r>
        <w:rPr>
          <w:rStyle w:val="FootnoteReference"/>
          <w:rFonts w:ascii="Times New Roman" w:hAnsi="Times New Roman" w:cs="Times New Roman"/>
          <w:sz w:val="24"/>
          <w:szCs w:val="24"/>
        </w:rPr>
        <w:footnoteReference w:id="3"/>
      </w:r>
      <w:r w:rsidRPr="00C16D95">
        <w:rPr>
          <w:rFonts w:ascii="Times New Roman" w:hAnsi="Times New Roman" w:cs="Times New Roman"/>
          <w:sz w:val="24"/>
          <w:szCs w:val="24"/>
        </w:rPr>
        <w:t>.</w:t>
      </w:r>
      <w:r>
        <w:rPr>
          <w:rFonts w:ascii="Times New Roman" w:hAnsi="Times New Roman" w:cs="Times New Roman"/>
          <w:b/>
          <w:bCs/>
          <w:sz w:val="24"/>
          <w:szCs w:val="24"/>
        </w:rPr>
        <w:t xml:space="preserve"> </w:t>
      </w:r>
      <w:r w:rsidR="00956915" w:rsidRPr="00956915">
        <w:rPr>
          <w:rFonts w:ascii="Times New Roman" w:hAnsi="Times New Roman" w:cs="Times New Roman"/>
          <w:sz w:val="24"/>
          <w:szCs w:val="24"/>
        </w:rPr>
        <w:t>The DPDP imposes extensive responsibilities by strictly defining legal grounds for processing digital personal data. It sets clear limitations on purposes for data use, mandating data deletion once these purposes are fulfilled. There appears to be little leeway for secondary data utilization. Additionally, it establishes a series of rights for individuals whose data is gathered and utilized, encompassing rights to notification, data access, and deletion. Alongside, it institutes a governing body, the Data Protection Board of India (Board), empowered to investigate complaints and levy fines, though lacking authority to provide guidance or formulate regulations.</w:t>
      </w:r>
      <w:r w:rsidR="00956915">
        <w:rPr>
          <w:rStyle w:val="FootnoteReference"/>
          <w:rFonts w:ascii="Times New Roman" w:hAnsi="Times New Roman" w:cs="Times New Roman"/>
          <w:sz w:val="24"/>
          <w:szCs w:val="24"/>
        </w:rPr>
        <w:footnoteReference w:id="4"/>
      </w:r>
      <w:r w:rsidR="003452B7">
        <w:rPr>
          <w:rFonts w:ascii="Times New Roman" w:hAnsi="Times New Roman" w:cs="Times New Roman"/>
          <w:sz w:val="24"/>
          <w:szCs w:val="24"/>
        </w:rPr>
        <w:t xml:space="preserve"> </w:t>
      </w:r>
      <w:r w:rsidR="00F43E56">
        <w:rPr>
          <w:rFonts w:ascii="Times New Roman" w:hAnsi="Times New Roman" w:cs="Times New Roman"/>
          <w:sz w:val="24"/>
          <w:szCs w:val="24"/>
        </w:rPr>
        <w:t>Wit</w:t>
      </w:r>
      <w:r w:rsidR="00697AD1">
        <w:rPr>
          <w:rFonts w:ascii="Times New Roman" w:hAnsi="Times New Roman" w:cs="Times New Roman"/>
          <w:sz w:val="24"/>
          <w:szCs w:val="24"/>
        </w:rPr>
        <w:t>h</w:t>
      </w:r>
      <w:r w:rsidR="00F43E56">
        <w:rPr>
          <w:rFonts w:ascii="Times New Roman" w:hAnsi="Times New Roman" w:cs="Times New Roman"/>
          <w:sz w:val="24"/>
          <w:szCs w:val="24"/>
        </w:rPr>
        <w:t xml:space="preserve"> the </w:t>
      </w:r>
      <w:r w:rsidR="00697AD1">
        <w:rPr>
          <w:rFonts w:ascii="Times New Roman" w:hAnsi="Times New Roman" w:cs="Times New Roman"/>
          <w:sz w:val="24"/>
          <w:szCs w:val="24"/>
        </w:rPr>
        <w:t>classification of “significant data fiduciary” (SDF) introduced</w:t>
      </w:r>
      <w:r w:rsidR="00F43E56">
        <w:rPr>
          <w:rFonts w:ascii="Times New Roman" w:hAnsi="Times New Roman" w:cs="Times New Roman"/>
          <w:sz w:val="24"/>
          <w:szCs w:val="24"/>
        </w:rPr>
        <w:t xml:space="preserve">, it is pertinent to note the additional responsibilities </w:t>
      </w:r>
      <w:r w:rsidR="002C045E">
        <w:rPr>
          <w:rFonts w:ascii="Times New Roman" w:hAnsi="Times New Roman" w:cs="Times New Roman"/>
          <w:sz w:val="24"/>
          <w:szCs w:val="24"/>
        </w:rPr>
        <w:t>that companies are expected to comply with. One of such requirements is</w:t>
      </w:r>
      <w:r w:rsidR="00AB03FA">
        <w:rPr>
          <w:rFonts w:ascii="Times New Roman" w:hAnsi="Times New Roman" w:cs="Times New Roman"/>
          <w:sz w:val="24"/>
          <w:szCs w:val="24"/>
        </w:rPr>
        <w:t xml:space="preserve"> for </w:t>
      </w:r>
      <w:r w:rsidR="002C045E" w:rsidRPr="002C045E">
        <w:rPr>
          <w:rFonts w:ascii="Times New Roman" w:hAnsi="Times New Roman" w:cs="Times New Roman"/>
          <w:sz w:val="24"/>
          <w:szCs w:val="24"/>
        </w:rPr>
        <w:t>SDFs to designate a Data Protection Officer (DPO), mandated to be based in India and serving as the primary contact for a necessary grievance redressal system.</w:t>
      </w:r>
      <w:r w:rsidR="002C045E" w:rsidRPr="002C045E">
        <w:rPr>
          <w:rFonts w:ascii="Times New Roman" w:hAnsi="Times New Roman" w:cs="Times New Roman"/>
          <w:sz w:val="24"/>
          <w:szCs w:val="24"/>
        </w:rPr>
        <w:t xml:space="preserve"> </w:t>
      </w:r>
      <w:r w:rsidR="002C045E">
        <w:rPr>
          <w:rFonts w:ascii="Times New Roman" w:hAnsi="Times New Roman" w:cs="Times New Roman"/>
          <w:sz w:val="24"/>
          <w:szCs w:val="24"/>
        </w:rPr>
        <w:t>T</w:t>
      </w:r>
      <w:r w:rsidR="002C045E" w:rsidRPr="002C045E">
        <w:rPr>
          <w:rFonts w:ascii="Times New Roman" w:hAnsi="Times New Roman" w:cs="Times New Roman"/>
          <w:sz w:val="24"/>
          <w:szCs w:val="24"/>
        </w:rPr>
        <w:t>he obligation of ensuring compliance with the DPDP Act, performing</w:t>
      </w:r>
      <w:r w:rsidR="002C045E" w:rsidRPr="002C045E">
        <w:rPr>
          <w:rFonts w:ascii="Times New Roman" w:hAnsi="Times New Roman" w:cs="Times New Roman"/>
          <w:sz w:val="24"/>
          <w:szCs w:val="24"/>
        </w:rPr>
        <w:t xml:space="preserve"> data audits</w:t>
      </w:r>
      <w:r w:rsidR="002C045E" w:rsidRPr="002C045E">
        <w:rPr>
          <w:rFonts w:ascii="Times New Roman" w:hAnsi="Times New Roman" w:cs="Times New Roman"/>
          <w:sz w:val="24"/>
          <w:szCs w:val="24"/>
        </w:rPr>
        <w:t xml:space="preserve"> and </w:t>
      </w:r>
      <w:r w:rsidR="002C045E" w:rsidRPr="002C045E">
        <w:rPr>
          <w:rFonts w:ascii="Times New Roman" w:hAnsi="Times New Roman" w:cs="Times New Roman"/>
          <w:sz w:val="24"/>
          <w:szCs w:val="24"/>
        </w:rPr>
        <w:t xml:space="preserve">periodically </w:t>
      </w:r>
      <w:r w:rsidR="002C045E" w:rsidRPr="002C045E">
        <w:rPr>
          <w:rFonts w:ascii="Times New Roman" w:hAnsi="Times New Roman" w:cs="Times New Roman"/>
          <w:sz w:val="24"/>
          <w:szCs w:val="24"/>
        </w:rPr>
        <w:t>conducting</w:t>
      </w:r>
      <w:r w:rsidR="002C045E" w:rsidRPr="002C045E">
        <w:rPr>
          <w:rFonts w:ascii="Times New Roman" w:hAnsi="Times New Roman" w:cs="Times New Roman"/>
          <w:sz w:val="24"/>
          <w:szCs w:val="24"/>
        </w:rPr>
        <w:t xml:space="preserve"> Data Protection Impact Assessments</w:t>
      </w:r>
      <w:r w:rsidR="002C045E" w:rsidRPr="002C045E">
        <w:rPr>
          <w:rFonts w:ascii="Times New Roman" w:hAnsi="Times New Roman" w:cs="Times New Roman"/>
          <w:sz w:val="24"/>
          <w:szCs w:val="24"/>
        </w:rPr>
        <w:t xml:space="preserve"> is</w:t>
      </w:r>
      <w:r w:rsidR="002C045E">
        <w:rPr>
          <w:rFonts w:ascii="Times New Roman" w:hAnsi="Times New Roman" w:cs="Times New Roman"/>
          <w:sz w:val="24"/>
          <w:szCs w:val="24"/>
        </w:rPr>
        <w:t xml:space="preserve"> </w:t>
      </w:r>
      <w:r w:rsidR="00C85AEC">
        <w:rPr>
          <w:rFonts w:ascii="Times New Roman" w:hAnsi="Times New Roman" w:cs="Times New Roman"/>
          <w:sz w:val="24"/>
          <w:szCs w:val="24"/>
        </w:rPr>
        <w:t>completed by appointing an independent data auditor. W</w:t>
      </w:r>
      <w:r w:rsidR="00C85AEC" w:rsidRPr="00C85AEC">
        <w:rPr>
          <w:rFonts w:ascii="Times New Roman" w:hAnsi="Times New Roman" w:cs="Times New Roman"/>
          <w:sz w:val="24"/>
          <w:szCs w:val="24"/>
        </w:rPr>
        <w:t xml:space="preserve">hile appointing a DPO isn't compulsory for all data fiduciaries, establishing an easily accessible grievance redressal </w:t>
      </w:r>
      <w:r w:rsidR="00C85AEC" w:rsidRPr="00C85AEC">
        <w:rPr>
          <w:rFonts w:ascii="Times New Roman" w:hAnsi="Times New Roman" w:cs="Times New Roman"/>
          <w:sz w:val="24"/>
          <w:szCs w:val="24"/>
        </w:rPr>
        <w:lastRenderedPageBreak/>
        <w:t>mechanism for data subjects within an appropriate timeframe is mandatory for all.</w:t>
      </w:r>
      <w:r w:rsidR="00C85AEC" w:rsidRPr="00C85AEC">
        <w:rPr>
          <w:rFonts w:ascii="Times New Roman" w:hAnsi="Times New Roman" w:cs="Times New Roman"/>
          <w:sz w:val="24"/>
          <w:szCs w:val="24"/>
        </w:rPr>
        <w:t xml:space="preserve"> </w:t>
      </w:r>
      <w:r w:rsidR="00693AEB" w:rsidRPr="00693AEB">
        <w:rPr>
          <w:rFonts w:ascii="Times New Roman" w:hAnsi="Times New Roman" w:cs="Times New Roman"/>
          <w:sz w:val="24"/>
          <w:szCs w:val="24"/>
        </w:rPr>
        <w:t xml:space="preserve">They must ensure the precision, completeness, and uniformity of data, implement technical and </w:t>
      </w:r>
      <w:r w:rsidR="00693AEB" w:rsidRPr="00693AEB">
        <w:rPr>
          <w:rFonts w:ascii="Times New Roman" w:hAnsi="Times New Roman" w:cs="Times New Roman"/>
          <w:sz w:val="24"/>
          <w:szCs w:val="24"/>
        </w:rPr>
        <w:t>organizational</w:t>
      </w:r>
      <w:r w:rsidR="00693AEB" w:rsidRPr="00693AEB">
        <w:rPr>
          <w:rFonts w:ascii="Times New Roman" w:hAnsi="Times New Roman" w:cs="Times New Roman"/>
          <w:sz w:val="24"/>
          <w:szCs w:val="24"/>
        </w:rPr>
        <w:t xml:space="preserve"> safeguards to protect personal information, notify both the Board and affected Data Principals in the event of a breach, and provide contact information for Data Protection Officers.</w:t>
      </w:r>
    </w:p>
    <w:p w14:paraId="5A433BCA" w14:textId="4D633433" w:rsidR="0011479B" w:rsidRDefault="0011479B" w:rsidP="005B0FF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Section 6 enshrines upon ‘Consent,’ according to which consent given by the data principals must be freely given, </w:t>
      </w:r>
      <w:r w:rsidRPr="0011479B">
        <w:rPr>
          <w:rFonts w:ascii="Times New Roman" w:hAnsi="Times New Roman" w:cs="Times New Roman"/>
          <w:sz w:val="24"/>
          <w:szCs w:val="24"/>
        </w:rPr>
        <w:t>specific, informed, unconditional, and unambiguous</w:t>
      </w:r>
      <w:r w:rsidRPr="0011479B">
        <w:rPr>
          <w:rFonts w:ascii="Times New Roman" w:hAnsi="Times New Roman" w:cs="Times New Roman"/>
          <w:sz w:val="24"/>
          <w:szCs w:val="24"/>
        </w:rPr>
        <w:t xml:space="preserve"> </w:t>
      </w:r>
      <w:r w:rsidRPr="0011479B">
        <w:rPr>
          <w:rFonts w:ascii="Times New Roman" w:hAnsi="Times New Roman" w:cs="Times New Roman"/>
          <w:sz w:val="24"/>
          <w:szCs w:val="24"/>
        </w:rPr>
        <w:t>signifying their agreement to their data being processed</w:t>
      </w:r>
      <w:r w:rsidRPr="0011479B">
        <w:rPr>
          <w:rFonts w:ascii="Times New Roman" w:hAnsi="Times New Roman" w:cs="Times New Roman"/>
          <w:sz w:val="24"/>
          <w:szCs w:val="24"/>
        </w:rPr>
        <w:t xml:space="preserve"> for a specified purpose. </w:t>
      </w:r>
      <w:r w:rsidRPr="0011479B">
        <w:rPr>
          <w:rFonts w:ascii="Times New Roman" w:hAnsi="Times New Roman" w:cs="Times New Roman"/>
          <w:sz w:val="24"/>
          <w:szCs w:val="24"/>
        </w:rPr>
        <w:t>Any aspect of the consent conflicting with the Act's provisions will be deemed invalid. Data Principals must receive clear and straightforward consent requests, including contact details for a Data Protection Officer, if applicable, or any authorized individual designated by the Data Fiduciary to handle communications from Data Principals.</w:t>
      </w:r>
      <w:r>
        <w:rPr>
          <w:rFonts w:ascii="Times New Roman" w:hAnsi="Times New Roman" w:cs="Times New Roman"/>
          <w:sz w:val="24"/>
          <w:szCs w:val="24"/>
        </w:rPr>
        <w:t xml:space="preserve"> </w:t>
      </w:r>
      <w:r>
        <w:rPr>
          <w:rStyle w:val="FootnoteReference"/>
          <w:rFonts w:ascii="Times New Roman" w:hAnsi="Times New Roman" w:cs="Times New Roman"/>
          <w:sz w:val="24"/>
          <w:szCs w:val="24"/>
        </w:rPr>
        <w:footnoteReference w:id="5"/>
      </w:r>
      <w:r w:rsidRPr="0011479B">
        <w:rPr>
          <w:rFonts w:ascii="Times New Roman" w:hAnsi="Times New Roman" w:cs="Times New Roman"/>
          <w:sz w:val="24"/>
          <w:szCs w:val="24"/>
        </w:rPr>
        <w:t>Data Principals retain the right to retract consent at any time, and upon such withdrawal, the Data Fiduciary must halt processing within a reasonable timeframe, except in cases where processing is permitted under this Act or other pertinent Indian laws.</w:t>
      </w:r>
    </w:p>
    <w:p w14:paraId="0BF50C16" w14:textId="2AF670AA" w:rsidR="0011479B" w:rsidRDefault="00637EC9" w:rsidP="005B0FF0">
      <w:pPr>
        <w:spacing w:line="360" w:lineRule="auto"/>
        <w:jc w:val="both"/>
        <w:rPr>
          <w:rFonts w:ascii="Times New Roman" w:hAnsi="Times New Roman" w:cs="Times New Roman"/>
          <w:sz w:val="24"/>
          <w:szCs w:val="24"/>
        </w:rPr>
      </w:pPr>
      <w:r w:rsidRPr="00637EC9">
        <w:rPr>
          <w:rFonts w:ascii="Times New Roman" w:hAnsi="Times New Roman" w:cs="Times New Roman"/>
          <w:sz w:val="24"/>
          <w:szCs w:val="24"/>
        </w:rPr>
        <w:t xml:space="preserve">Section 9 covers the aspect of processing the data </w:t>
      </w:r>
      <w:r w:rsidRPr="00637EC9">
        <w:rPr>
          <w:rFonts w:ascii="Times New Roman" w:hAnsi="Times New Roman" w:cs="Times New Roman"/>
          <w:sz w:val="24"/>
          <w:szCs w:val="24"/>
        </w:rPr>
        <w:t xml:space="preserve">in situations where </w:t>
      </w:r>
      <w:r w:rsidRPr="00637EC9">
        <w:rPr>
          <w:rFonts w:ascii="Times New Roman" w:hAnsi="Times New Roman" w:cs="Times New Roman"/>
          <w:sz w:val="24"/>
          <w:szCs w:val="24"/>
        </w:rPr>
        <w:t xml:space="preserve">the data principal is a child or disabled person. </w:t>
      </w:r>
      <w:r w:rsidRPr="00637EC9">
        <w:rPr>
          <w:rFonts w:ascii="Times New Roman" w:hAnsi="Times New Roman" w:cs="Times New Roman"/>
          <w:sz w:val="24"/>
          <w:szCs w:val="24"/>
        </w:rPr>
        <w:t>Prior to handling any personal information of a minor or someone with a disability who has a legal guardian, the Data Fiduciary must acquire clear consent from the parent or the legal guardian through methods specified.</w:t>
      </w:r>
      <w:r>
        <w:rPr>
          <w:rFonts w:ascii="Times New Roman" w:hAnsi="Times New Roman" w:cs="Times New Roman"/>
          <w:sz w:val="24"/>
          <w:szCs w:val="24"/>
        </w:rPr>
        <w:t xml:space="preserve"> </w:t>
      </w:r>
      <w:r w:rsidRPr="00637EC9">
        <w:rPr>
          <w:rFonts w:ascii="Times New Roman" w:hAnsi="Times New Roman" w:cs="Times New Roman"/>
          <w:sz w:val="24"/>
          <w:szCs w:val="24"/>
        </w:rPr>
        <w:t>The Data Fiduciary is prohibited from processing personal data that might negatively impact the welfare of a minor. Additionally, they are restricted from conducting tracking or monitoring behaviors of minors, as well as participating in directed advertising aimed at this demographic</w:t>
      </w:r>
      <w:r>
        <w:rPr>
          <w:rStyle w:val="FootnoteReference"/>
          <w:rFonts w:ascii="Times New Roman" w:hAnsi="Times New Roman" w:cs="Times New Roman"/>
          <w:sz w:val="24"/>
          <w:szCs w:val="24"/>
        </w:rPr>
        <w:footnoteReference w:id="6"/>
      </w:r>
      <w:r w:rsidRPr="00637EC9">
        <w:rPr>
          <w:rFonts w:ascii="Times New Roman" w:hAnsi="Times New Roman" w:cs="Times New Roman"/>
          <w:sz w:val="24"/>
          <w:szCs w:val="24"/>
        </w:rPr>
        <w:t>.</w:t>
      </w:r>
    </w:p>
    <w:p w14:paraId="4A02DCDE" w14:textId="01E3B6D1" w:rsidR="008B5850" w:rsidRPr="007869D7" w:rsidRDefault="008B5850" w:rsidP="005B0FF0">
      <w:pPr>
        <w:spacing w:line="360" w:lineRule="auto"/>
        <w:jc w:val="both"/>
        <w:rPr>
          <w:rFonts w:ascii="Times New Roman" w:hAnsi="Times New Roman" w:cs="Times New Roman"/>
          <w:sz w:val="24"/>
          <w:szCs w:val="24"/>
        </w:rPr>
      </w:pPr>
      <w:r w:rsidRPr="008B5850">
        <w:rPr>
          <w:rFonts w:ascii="Times New Roman" w:hAnsi="Times New Roman" w:cs="Times New Roman"/>
          <w:sz w:val="24"/>
          <w:szCs w:val="24"/>
        </w:rPr>
        <w:t xml:space="preserve">The Data Fiduciary is </w:t>
      </w:r>
      <w:proofErr w:type="spellStart"/>
      <w:r w:rsidRPr="008B5850">
        <w:rPr>
          <w:rFonts w:ascii="Times New Roman" w:hAnsi="Times New Roman" w:cs="Times New Roman"/>
          <w:sz w:val="24"/>
          <w:szCs w:val="24"/>
        </w:rPr>
        <w:t>authorised</w:t>
      </w:r>
      <w:proofErr w:type="spellEnd"/>
      <w:r w:rsidRPr="008B5850">
        <w:rPr>
          <w:rFonts w:ascii="Times New Roman" w:hAnsi="Times New Roman" w:cs="Times New Roman"/>
          <w:sz w:val="24"/>
          <w:szCs w:val="24"/>
        </w:rPr>
        <w:t xml:space="preserve"> to handle a Data Principal's personal data for specified objectives, which include allowing the State and its institutions to provide subsidies, benefits, services, certifications, </w:t>
      </w:r>
      <w:proofErr w:type="spellStart"/>
      <w:r w:rsidRPr="008B5850">
        <w:rPr>
          <w:rFonts w:ascii="Times New Roman" w:hAnsi="Times New Roman" w:cs="Times New Roman"/>
          <w:sz w:val="24"/>
          <w:szCs w:val="24"/>
        </w:rPr>
        <w:t>licences</w:t>
      </w:r>
      <w:proofErr w:type="spellEnd"/>
      <w:r w:rsidRPr="008B5850">
        <w:rPr>
          <w:rFonts w:ascii="Times New Roman" w:hAnsi="Times New Roman" w:cs="Times New Roman"/>
          <w:sz w:val="24"/>
          <w:szCs w:val="24"/>
        </w:rPr>
        <w:t xml:space="preserve">, or permits. This permission is granted in two situations: first, when the Data Principal has previously agreed to such data processing by the State, and second, when the personal data exists in digital or non-digital form within State-maintained databases or documents </w:t>
      </w:r>
      <w:r w:rsidRPr="008B5850">
        <w:rPr>
          <w:rFonts w:ascii="Times New Roman" w:hAnsi="Times New Roman" w:cs="Times New Roman"/>
          <w:sz w:val="24"/>
          <w:szCs w:val="24"/>
        </w:rPr>
        <w:lastRenderedPageBreak/>
        <w:t xml:space="preserve">and is subsequently </w:t>
      </w:r>
      <w:proofErr w:type="spellStart"/>
      <w:r w:rsidRPr="008B5850">
        <w:rPr>
          <w:rFonts w:ascii="Times New Roman" w:hAnsi="Times New Roman" w:cs="Times New Roman"/>
          <w:sz w:val="24"/>
          <w:szCs w:val="24"/>
        </w:rPr>
        <w:t>digitised</w:t>
      </w:r>
      <w:proofErr w:type="spellEnd"/>
      <w:r w:rsidRPr="008B5850">
        <w:rPr>
          <w:rFonts w:ascii="Times New Roman" w:hAnsi="Times New Roman" w:cs="Times New Roman"/>
          <w:sz w:val="24"/>
          <w:szCs w:val="24"/>
        </w:rPr>
        <w:t>, as per a notification from the Central Government. It is required to follow the processing rules established by the Central Government's policy or related legislation</w:t>
      </w:r>
      <w:r>
        <w:rPr>
          <w:rStyle w:val="FootnoteReference"/>
          <w:rFonts w:ascii="Times New Roman" w:hAnsi="Times New Roman" w:cs="Times New Roman"/>
          <w:sz w:val="24"/>
          <w:szCs w:val="24"/>
        </w:rPr>
        <w:footnoteReference w:id="7"/>
      </w:r>
    </w:p>
    <w:p w14:paraId="01637ECF" w14:textId="49D2E666" w:rsidR="0052794C" w:rsidRPr="0001398B" w:rsidRDefault="005965E8" w:rsidP="005B0FF0">
      <w:pPr>
        <w:spacing w:line="360" w:lineRule="auto"/>
        <w:jc w:val="both"/>
        <w:rPr>
          <w:rFonts w:ascii="Times New Roman" w:hAnsi="Times New Roman" w:cs="Times New Roman"/>
          <w:b/>
          <w:bCs/>
          <w:sz w:val="24"/>
          <w:szCs w:val="24"/>
        </w:rPr>
      </w:pPr>
      <w:r w:rsidRPr="0001398B">
        <w:rPr>
          <w:rFonts w:ascii="Times New Roman" w:hAnsi="Times New Roman" w:cs="Times New Roman"/>
          <w:b/>
          <w:bCs/>
          <w:sz w:val="24"/>
          <w:szCs w:val="24"/>
        </w:rPr>
        <w:t xml:space="preserve">HOW SHOULD BUSINESSES </w:t>
      </w:r>
      <w:r w:rsidR="00A60AD3">
        <w:rPr>
          <w:rFonts w:ascii="Times New Roman" w:hAnsi="Times New Roman" w:cs="Times New Roman"/>
          <w:b/>
          <w:bCs/>
          <w:sz w:val="24"/>
          <w:szCs w:val="24"/>
        </w:rPr>
        <w:t xml:space="preserve">BE </w:t>
      </w:r>
      <w:r w:rsidRPr="0001398B">
        <w:rPr>
          <w:rFonts w:ascii="Times New Roman" w:hAnsi="Times New Roman" w:cs="Times New Roman"/>
          <w:b/>
          <w:bCs/>
          <w:sz w:val="24"/>
          <w:szCs w:val="24"/>
        </w:rPr>
        <w:t>PREPARE</w:t>
      </w:r>
      <w:r w:rsidR="00A60AD3">
        <w:rPr>
          <w:rFonts w:ascii="Times New Roman" w:hAnsi="Times New Roman" w:cs="Times New Roman"/>
          <w:b/>
          <w:bCs/>
          <w:sz w:val="24"/>
          <w:szCs w:val="24"/>
        </w:rPr>
        <w:t>D</w:t>
      </w:r>
      <w:r w:rsidRPr="0001398B">
        <w:rPr>
          <w:rFonts w:ascii="Times New Roman" w:hAnsi="Times New Roman" w:cs="Times New Roman"/>
          <w:b/>
          <w:bCs/>
          <w:sz w:val="24"/>
          <w:szCs w:val="24"/>
        </w:rPr>
        <w:t xml:space="preserve"> </w:t>
      </w:r>
    </w:p>
    <w:p w14:paraId="06D7700E" w14:textId="53E1E07B" w:rsidR="000D5E54" w:rsidRDefault="00064A92" w:rsidP="005B0FF0">
      <w:pPr>
        <w:spacing w:line="360" w:lineRule="auto"/>
        <w:jc w:val="both"/>
        <w:rPr>
          <w:rFonts w:ascii="Times New Roman" w:hAnsi="Times New Roman" w:cs="Times New Roman"/>
          <w:sz w:val="24"/>
          <w:szCs w:val="24"/>
        </w:rPr>
      </w:pPr>
      <w:r w:rsidRPr="0001398B">
        <w:rPr>
          <w:rFonts w:ascii="Times New Roman" w:hAnsi="Times New Roman" w:cs="Times New Roman"/>
          <w:sz w:val="24"/>
          <w:szCs w:val="24"/>
        </w:rPr>
        <w:t xml:space="preserve">It is undoubtedly a huge step considering India for the longest time lacked a credible data protection law. </w:t>
      </w:r>
      <w:r w:rsidR="00620287" w:rsidRPr="0001398B">
        <w:rPr>
          <w:rFonts w:ascii="Times New Roman" w:hAnsi="Times New Roman" w:cs="Times New Roman"/>
          <w:sz w:val="24"/>
          <w:szCs w:val="24"/>
        </w:rPr>
        <w:t>The Act does create a base for collecting data and innovation can be based upon it which is contrary to a situation which is completely unregulated</w:t>
      </w:r>
      <w:r w:rsidR="005B1036" w:rsidRPr="0001398B">
        <w:rPr>
          <w:rFonts w:ascii="Times New Roman" w:hAnsi="Times New Roman" w:cs="Times New Roman"/>
          <w:sz w:val="24"/>
          <w:szCs w:val="24"/>
        </w:rPr>
        <w:t xml:space="preserve"> as it hampers the growth, development and progress of the country. </w:t>
      </w:r>
      <w:r w:rsidR="000D5E54" w:rsidRPr="0001398B">
        <w:rPr>
          <w:rFonts w:ascii="Times New Roman" w:hAnsi="Times New Roman" w:cs="Times New Roman"/>
          <w:sz w:val="24"/>
          <w:szCs w:val="24"/>
        </w:rPr>
        <w:t>Its imperative to look into the distinction between data fiduciary and s</w:t>
      </w:r>
      <w:r w:rsidR="000D5E54" w:rsidRPr="0001398B">
        <w:rPr>
          <w:rFonts w:ascii="Times New Roman" w:hAnsi="Times New Roman" w:cs="Times New Roman"/>
          <w:sz w:val="24"/>
          <w:szCs w:val="24"/>
        </w:rPr>
        <w:t xml:space="preserve">ignificant data fiduciary </w:t>
      </w:r>
      <w:r w:rsidR="0063159F" w:rsidRPr="0001398B">
        <w:rPr>
          <w:rFonts w:ascii="Times New Roman" w:hAnsi="Times New Roman" w:cs="Times New Roman"/>
          <w:sz w:val="24"/>
          <w:szCs w:val="24"/>
        </w:rPr>
        <w:t xml:space="preserve">considering that in a market there are multiple players of different sizes and essentially it promotes proportionate regulation amongst all companies regardless of how small or big it is. </w:t>
      </w:r>
      <w:r w:rsidR="00477C0F" w:rsidRPr="0001398B">
        <w:rPr>
          <w:rFonts w:ascii="Times New Roman" w:hAnsi="Times New Roman" w:cs="Times New Roman"/>
          <w:sz w:val="24"/>
          <w:szCs w:val="24"/>
        </w:rPr>
        <w:t xml:space="preserve">This comes as an aid </w:t>
      </w:r>
      <w:r w:rsidR="004E7DD7" w:rsidRPr="0001398B">
        <w:rPr>
          <w:rFonts w:ascii="Times New Roman" w:hAnsi="Times New Roman" w:cs="Times New Roman"/>
          <w:sz w:val="24"/>
          <w:szCs w:val="24"/>
        </w:rPr>
        <w:t>from</w:t>
      </w:r>
      <w:r w:rsidR="00477C0F" w:rsidRPr="0001398B">
        <w:rPr>
          <w:rFonts w:ascii="Times New Roman" w:hAnsi="Times New Roman" w:cs="Times New Roman"/>
          <w:sz w:val="24"/>
          <w:szCs w:val="24"/>
        </w:rPr>
        <w:t xml:space="preserve"> the</w:t>
      </w:r>
      <w:r w:rsidR="004E7DD7" w:rsidRPr="0001398B">
        <w:rPr>
          <w:rFonts w:ascii="Times New Roman" w:hAnsi="Times New Roman" w:cs="Times New Roman"/>
          <w:sz w:val="24"/>
          <w:szCs w:val="24"/>
        </w:rPr>
        <w:t xml:space="preserve"> point of view of</w:t>
      </w:r>
      <w:r w:rsidR="00477C0F" w:rsidRPr="0001398B">
        <w:rPr>
          <w:rFonts w:ascii="Times New Roman" w:hAnsi="Times New Roman" w:cs="Times New Roman"/>
          <w:sz w:val="24"/>
          <w:szCs w:val="24"/>
        </w:rPr>
        <w:t xml:space="preserve"> start-ups and other smaller ventures</w:t>
      </w:r>
      <w:r w:rsidR="004E7DD7" w:rsidRPr="0001398B">
        <w:rPr>
          <w:rFonts w:ascii="Times New Roman" w:hAnsi="Times New Roman" w:cs="Times New Roman"/>
          <w:sz w:val="24"/>
          <w:szCs w:val="24"/>
        </w:rPr>
        <w:t xml:space="preserve"> which lacks the necessary technological skills or infrastructure. </w:t>
      </w:r>
    </w:p>
    <w:p w14:paraId="448C8CA2" w14:textId="77777777" w:rsidR="000F7FD8" w:rsidRPr="000F7FD8" w:rsidRDefault="000F7FD8" w:rsidP="005B0FF0">
      <w:pPr>
        <w:spacing w:line="360" w:lineRule="auto"/>
        <w:jc w:val="both"/>
        <w:rPr>
          <w:rFonts w:ascii="Times New Roman" w:hAnsi="Times New Roman" w:cs="Times New Roman"/>
          <w:sz w:val="24"/>
          <w:szCs w:val="24"/>
        </w:rPr>
      </w:pPr>
      <w:r w:rsidRPr="000F7FD8">
        <w:rPr>
          <w:rFonts w:ascii="Times New Roman" w:hAnsi="Times New Roman" w:cs="Times New Roman"/>
          <w:sz w:val="24"/>
          <w:szCs w:val="24"/>
        </w:rPr>
        <w:t>If data processing hinges on consent, organizations must adhere to the Act's consent stipulations and devise a compliance strategy or other consent procedures. This entails:</w:t>
      </w:r>
    </w:p>
    <w:p w14:paraId="5EFBF57F" w14:textId="77777777" w:rsidR="000F7FD8" w:rsidRPr="000F7FD8" w:rsidRDefault="000F7FD8" w:rsidP="005B0FF0">
      <w:pPr>
        <w:pStyle w:val="ListParagraph"/>
        <w:numPr>
          <w:ilvl w:val="0"/>
          <w:numId w:val="5"/>
        </w:numPr>
        <w:spacing w:line="360" w:lineRule="auto"/>
        <w:jc w:val="both"/>
        <w:rPr>
          <w:rFonts w:ascii="Times New Roman" w:hAnsi="Times New Roman" w:cs="Times New Roman"/>
          <w:sz w:val="24"/>
          <w:szCs w:val="24"/>
        </w:rPr>
      </w:pPr>
      <w:r w:rsidRPr="000F7FD8">
        <w:rPr>
          <w:rFonts w:ascii="Times New Roman" w:hAnsi="Times New Roman" w:cs="Times New Roman"/>
          <w:sz w:val="24"/>
          <w:szCs w:val="24"/>
        </w:rPr>
        <w:t>Determining the instances and contexts necessitating consent.</w:t>
      </w:r>
    </w:p>
    <w:p w14:paraId="0305F064" w14:textId="77777777" w:rsidR="000F7FD8" w:rsidRPr="000F7FD8" w:rsidRDefault="000F7FD8" w:rsidP="005B0FF0">
      <w:pPr>
        <w:pStyle w:val="ListParagraph"/>
        <w:numPr>
          <w:ilvl w:val="0"/>
          <w:numId w:val="5"/>
        </w:numPr>
        <w:spacing w:line="360" w:lineRule="auto"/>
        <w:jc w:val="both"/>
        <w:rPr>
          <w:rFonts w:ascii="Times New Roman" w:hAnsi="Times New Roman" w:cs="Times New Roman"/>
          <w:sz w:val="24"/>
          <w:szCs w:val="24"/>
        </w:rPr>
      </w:pPr>
      <w:r w:rsidRPr="000F7FD8">
        <w:rPr>
          <w:rFonts w:ascii="Times New Roman" w:hAnsi="Times New Roman" w:cs="Times New Roman"/>
          <w:sz w:val="24"/>
          <w:szCs w:val="24"/>
        </w:rPr>
        <w:t>Crafting a consent solicitation process that is preceded or accompanied by a clear notification and the contact details of the data protection officer or authorized personnel. It's crucial to avoid bundling consent requests with other terms and conditions.</w:t>
      </w:r>
    </w:p>
    <w:p w14:paraId="15E3EB59" w14:textId="77777777" w:rsidR="000F7FD8" w:rsidRPr="000F7FD8" w:rsidRDefault="000F7FD8" w:rsidP="005B0FF0">
      <w:pPr>
        <w:pStyle w:val="ListParagraph"/>
        <w:numPr>
          <w:ilvl w:val="0"/>
          <w:numId w:val="5"/>
        </w:numPr>
        <w:spacing w:line="360" w:lineRule="auto"/>
        <w:jc w:val="both"/>
        <w:rPr>
          <w:rFonts w:ascii="Times New Roman" w:hAnsi="Times New Roman" w:cs="Times New Roman"/>
          <w:sz w:val="24"/>
          <w:szCs w:val="24"/>
        </w:rPr>
      </w:pPr>
      <w:r w:rsidRPr="000F7FD8">
        <w:rPr>
          <w:rFonts w:ascii="Times New Roman" w:hAnsi="Times New Roman" w:cs="Times New Roman"/>
          <w:sz w:val="24"/>
          <w:szCs w:val="24"/>
        </w:rPr>
        <w:t>Establishing protocols for obtaining and managing verifiable consent from parents of minors (individuals under 18 years old) and lawful guardians of individuals with disabilities, if applicable.</w:t>
      </w:r>
    </w:p>
    <w:p w14:paraId="63C85F98" w14:textId="77777777" w:rsidR="000F7FD8" w:rsidRPr="000F7FD8" w:rsidRDefault="000F7FD8" w:rsidP="005B0FF0">
      <w:pPr>
        <w:pStyle w:val="ListParagraph"/>
        <w:numPr>
          <w:ilvl w:val="0"/>
          <w:numId w:val="5"/>
        </w:numPr>
        <w:spacing w:line="360" w:lineRule="auto"/>
        <w:jc w:val="both"/>
        <w:rPr>
          <w:rFonts w:ascii="Times New Roman" w:hAnsi="Times New Roman" w:cs="Times New Roman"/>
          <w:sz w:val="24"/>
          <w:szCs w:val="24"/>
        </w:rPr>
      </w:pPr>
      <w:r w:rsidRPr="000F7FD8">
        <w:rPr>
          <w:rFonts w:ascii="Times New Roman" w:hAnsi="Times New Roman" w:cs="Times New Roman"/>
          <w:sz w:val="24"/>
          <w:szCs w:val="24"/>
        </w:rPr>
        <w:t>Developing an uncomplicated consent withdrawal process akin to the consent-giving process. This could involve mechanisms like a privacy preference center, a dedicated email address, or unsubscribe links.</w:t>
      </w:r>
    </w:p>
    <w:p w14:paraId="190825C9" w14:textId="78982FFF" w:rsidR="000F7FD8" w:rsidRDefault="000F7FD8" w:rsidP="005B0FF0">
      <w:pPr>
        <w:pStyle w:val="ListParagraph"/>
        <w:numPr>
          <w:ilvl w:val="0"/>
          <w:numId w:val="5"/>
        </w:numPr>
        <w:spacing w:line="360" w:lineRule="auto"/>
        <w:jc w:val="both"/>
        <w:rPr>
          <w:rFonts w:ascii="Times New Roman" w:eastAsia="Times New Roman" w:hAnsi="Times New Roman" w:cs="Times New Roman"/>
          <w:kern w:val="0"/>
          <w:sz w:val="24"/>
          <w:szCs w:val="24"/>
          <w14:ligatures w14:val="none"/>
        </w:rPr>
      </w:pPr>
      <w:r w:rsidRPr="000F7FD8">
        <w:rPr>
          <w:rFonts w:ascii="Times New Roman" w:hAnsi="Times New Roman" w:cs="Times New Roman"/>
          <w:sz w:val="24"/>
          <w:szCs w:val="24"/>
        </w:rPr>
        <w:t xml:space="preserve">Monitoring and harmonizing consent across systems to ensure that data processing within scope ceases "within a reasonable time" after consent is </w:t>
      </w:r>
      <w:r w:rsidRPr="000F7FD8">
        <w:rPr>
          <w:rFonts w:ascii="Times New Roman" w:eastAsia="Times New Roman" w:hAnsi="Times New Roman" w:cs="Times New Roman"/>
          <w:kern w:val="0"/>
          <w:sz w:val="24"/>
          <w:szCs w:val="24"/>
          <w14:ligatures w14:val="none"/>
        </w:rPr>
        <w:t>revoked. Future directives might outline specific timeframes.</w:t>
      </w:r>
      <w:r w:rsidR="00620D9F">
        <w:rPr>
          <w:rStyle w:val="FootnoteReference"/>
          <w:rFonts w:ascii="Times New Roman" w:eastAsia="Times New Roman" w:hAnsi="Times New Roman" w:cs="Times New Roman"/>
          <w:kern w:val="0"/>
          <w:sz w:val="24"/>
          <w:szCs w:val="24"/>
          <w14:ligatures w14:val="none"/>
        </w:rPr>
        <w:footnoteReference w:id="8"/>
      </w:r>
    </w:p>
    <w:p w14:paraId="1D7B8107" w14:textId="77777777" w:rsidR="000F7FD8" w:rsidRDefault="000F7FD8" w:rsidP="005B0FF0">
      <w:pPr>
        <w:spacing w:line="360" w:lineRule="auto"/>
        <w:jc w:val="both"/>
        <w:rPr>
          <w:rFonts w:ascii="Times New Roman" w:eastAsia="Times New Roman" w:hAnsi="Times New Roman" w:cs="Times New Roman"/>
          <w:kern w:val="0"/>
          <w:sz w:val="24"/>
          <w:szCs w:val="24"/>
          <w14:ligatures w14:val="none"/>
        </w:rPr>
      </w:pPr>
    </w:p>
    <w:p w14:paraId="49AB1622" w14:textId="611C8086" w:rsidR="000F7FD8" w:rsidRDefault="000F7FD8" w:rsidP="005B0FF0">
      <w:pPr>
        <w:spacing w:line="360" w:lineRule="auto"/>
        <w:jc w:val="both"/>
        <w:rPr>
          <w:rFonts w:ascii="Times New Roman" w:eastAsia="Times New Roman" w:hAnsi="Times New Roman" w:cs="Times New Roman"/>
          <w:kern w:val="0"/>
          <w:sz w:val="24"/>
          <w:szCs w:val="24"/>
          <w14:ligatures w14:val="none"/>
        </w:rPr>
      </w:pPr>
      <w:r w:rsidRPr="000F7FD8">
        <w:rPr>
          <w:rFonts w:ascii="Times New Roman" w:eastAsia="Times New Roman" w:hAnsi="Times New Roman" w:cs="Times New Roman"/>
          <w:kern w:val="0"/>
          <w:sz w:val="24"/>
          <w:szCs w:val="24"/>
          <w14:ligatures w14:val="none"/>
        </w:rPr>
        <w:t>Other organizational measures may be as follows:</w:t>
      </w:r>
    </w:p>
    <w:p w14:paraId="1593B206" w14:textId="77777777" w:rsidR="00620D9F" w:rsidRPr="00620D9F" w:rsidRDefault="00620D9F" w:rsidP="005B0FF0">
      <w:pPr>
        <w:pStyle w:val="ListParagraph"/>
        <w:numPr>
          <w:ilvl w:val="0"/>
          <w:numId w:val="8"/>
        </w:numPr>
        <w:spacing w:line="360" w:lineRule="auto"/>
        <w:jc w:val="both"/>
        <w:rPr>
          <w:rFonts w:ascii="Times New Roman" w:hAnsi="Times New Roman" w:cs="Times New Roman"/>
          <w:sz w:val="24"/>
          <w:szCs w:val="24"/>
        </w:rPr>
      </w:pPr>
      <w:r w:rsidRPr="00620D9F">
        <w:rPr>
          <w:rFonts w:ascii="Times New Roman" w:hAnsi="Times New Roman" w:cs="Times New Roman"/>
          <w:sz w:val="24"/>
          <w:szCs w:val="24"/>
        </w:rPr>
        <w:t>Implement a security and privacy training and awareness effort for employees and contractors who handle personal information.</w:t>
      </w:r>
    </w:p>
    <w:p w14:paraId="5E213B7D" w14:textId="5C1B1206" w:rsidR="00620D9F" w:rsidRPr="00620D9F" w:rsidRDefault="00620D9F" w:rsidP="005B0FF0">
      <w:pPr>
        <w:pStyle w:val="ListParagraph"/>
        <w:numPr>
          <w:ilvl w:val="0"/>
          <w:numId w:val="8"/>
        </w:numPr>
        <w:spacing w:line="360" w:lineRule="auto"/>
        <w:jc w:val="both"/>
        <w:rPr>
          <w:rFonts w:ascii="Times New Roman" w:hAnsi="Times New Roman" w:cs="Times New Roman"/>
          <w:sz w:val="24"/>
          <w:szCs w:val="24"/>
        </w:rPr>
      </w:pPr>
      <w:r w:rsidRPr="00620D9F">
        <w:rPr>
          <w:rFonts w:ascii="Times New Roman" w:hAnsi="Times New Roman" w:cs="Times New Roman"/>
          <w:sz w:val="24"/>
          <w:szCs w:val="24"/>
        </w:rPr>
        <w:t>Create standard operating procedures defining the particular needs for personal data management.</w:t>
      </w:r>
    </w:p>
    <w:p w14:paraId="33BC77D8" w14:textId="5619EE61" w:rsidR="00A60AD3" w:rsidRPr="005B0FF0" w:rsidRDefault="00620D9F" w:rsidP="005B0FF0">
      <w:pPr>
        <w:pStyle w:val="ListParagraph"/>
        <w:numPr>
          <w:ilvl w:val="0"/>
          <w:numId w:val="8"/>
        </w:numPr>
        <w:spacing w:line="360" w:lineRule="auto"/>
        <w:jc w:val="both"/>
        <w:rPr>
          <w:rFonts w:ascii="Times New Roman" w:hAnsi="Times New Roman" w:cs="Times New Roman"/>
          <w:sz w:val="24"/>
          <w:szCs w:val="24"/>
        </w:rPr>
      </w:pPr>
      <w:r w:rsidRPr="00620D9F">
        <w:rPr>
          <w:rFonts w:ascii="Times New Roman" w:hAnsi="Times New Roman" w:cs="Times New Roman"/>
          <w:sz w:val="24"/>
          <w:szCs w:val="24"/>
        </w:rPr>
        <w:t>Communicate internal security and privacy rules, maybe incorporating acknowledgement of these policies into the employee onboarding process or recurrent training sessions performed by HR personnel.</w:t>
      </w:r>
    </w:p>
    <w:p w14:paraId="5806B870" w14:textId="2C0A139C" w:rsidR="004E7DD7" w:rsidRPr="0001398B" w:rsidRDefault="00B15664" w:rsidP="005B0FF0">
      <w:pPr>
        <w:spacing w:line="360" w:lineRule="auto"/>
        <w:jc w:val="both"/>
        <w:rPr>
          <w:rFonts w:ascii="Times New Roman" w:hAnsi="Times New Roman" w:cs="Times New Roman"/>
          <w:b/>
          <w:bCs/>
          <w:sz w:val="24"/>
          <w:szCs w:val="24"/>
        </w:rPr>
      </w:pPr>
      <w:r w:rsidRPr="0001398B">
        <w:rPr>
          <w:rFonts w:ascii="Times New Roman" w:hAnsi="Times New Roman" w:cs="Times New Roman"/>
          <w:b/>
          <w:bCs/>
          <w:sz w:val="24"/>
          <w:szCs w:val="24"/>
        </w:rPr>
        <w:t>CHALLENGES</w:t>
      </w:r>
    </w:p>
    <w:p w14:paraId="736A6094" w14:textId="5404CB9E" w:rsidR="004E7DD7" w:rsidRPr="0001398B" w:rsidRDefault="004E4BE9" w:rsidP="005B0FF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One of the primary concerns raised from a company’s perspective is regarding the amount of penalty fixed. </w:t>
      </w:r>
      <w:r w:rsidR="005B0FF0">
        <w:rPr>
          <w:rFonts w:ascii="Times New Roman" w:hAnsi="Times New Roman" w:cs="Times New Roman"/>
          <w:sz w:val="24"/>
          <w:szCs w:val="24"/>
        </w:rPr>
        <w:t xml:space="preserve">As discussed earlier, levied amount of penalty is not small, </w:t>
      </w:r>
      <w:r w:rsidR="004E7DD7" w:rsidRPr="0001398B">
        <w:rPr>
          <w:rFonts w:ascii="Times New Roman" w:hAnsi="Times New Roman" w:cs="Times New Roman"/>
          <w:sz w:val="24"/>
          <w:szCs w:val="24"/>
        </w:rPr>
        <w:t xml:space="preserve">even for a </w:t>
      </w:r>
      <w:r w:rsidR="005B0FF0" w:rsidRPr="0001398B">
        <w:rPr>
          <w:rFonts w:ascii="Times New Roman" w:hAnsi="Times New Roman" w:cs="Times New Roman"/>
          <w:sz w:val="24"/>
          <w:szCs w:val="24"/>
        </w:rPr>
        <w:t>mid-sized</w:t>
      </w:r>
      <w:r w:rsidR="004E7DD7" w:rsidRPr="0001398B">
        <w:rPr>
          <w:rFonts w:ascii="Times New Roman" w:hAnsi="Times New Roman" w:cs="Times New Roman"/>
          <w:sz w:val="24"/>
          <w:szCs w:val="24"/>
        </w:rPr>
        <w:t xml:space="preserve"> breach which is a pushback </w:t>
      </w:r>
    </w:p>
    <w:p w14:paraId="28C741C8" w14:textId="22F5E778" w:rsidR="0045748D" w:rsidRDefault="0045748D" w:rsidP="005B0FF0">
      <w:pPr>
        <w:spacing w:line="360" w:lineRule="auto"/>
        <w:jc w:val="both"/>
        <w:rPr>
          <w:rFonts w:ascii="Times New Roman" w:hAnsi="Times New Roman" w:cs="Times New Roman"/>
          <w:sz w:val="24"/>
          <w:szCs w:val="24"/>
        </w:rPr>
      </w:pPr>
      <w:r w:rsidRPr="0001398B">
        <w:rPr>
          <w:rFonts w:ascii="Times New Roman" w:hAnsi="Times New Roman" w:cs="Times New Roman"/>
          <w:sz w:val="24"/>
          <w:szCs w:val="24"/>
        </w:rPr>
        <w:t xml:space="preserve">Internet is a vast global space, where data can </w:t>
      </w:r>
      <w:r w:rsidR="005B0FF0" w:rsidRPr="0001398B">
        <w:rPr>
          <w:rFonts w:ascii="Times New Roman" w:hAnsi="Times New Roman" w:cs="Times New Roman"/>
          <w:sz w:val="24"/>
          <w:szCs w:val="24"/>
        </w:rPr>
        <w:t>transfer</w:t>
      </w:r>
      <w:r w:rsidRPr="0001398B">
        <w:rPr>
          <w:rFonts w:ascii="Times New Roman" w:hAnsi="Times New Roman" w:cs="Times New Roman"/>
          <w:sz w:val="24"/>
          <w:szCs w:val="24"/>
        </w:rPr>
        <w:t xml:space="preserve"> from one country to another and therefore there is a concern with respect to how the technological safeguards can regulate this movement of data across countries. </w:t>
      </w:r>
    </w:p>
    <w:p w14:paraId="4BF8977B" w14:textId="77777777" w:rsidR="005B0FF0" w:rsidRPr="005B0FF0" w:rsidRDefault="005B0FF0" w:rsidP="005B0FF0">
      <w:pPr>
        <w:spacing w:line="360" w:lineRule="auto"/>
        <w:jc w:val="both"/>
        <w:rPr>
          <w:rFonts w:ascii="Times New Roman" w:hAnsi="Times New Roman" w:cs="Times New Roman"/>
          <w:sz w:val="24"/>
          <w:szCs w:val="24"/>
        </w:rPr>
      </w:pPr>
      <w:r w:rsidRPr="005B0FF0">
        <w:rPr>
          <w:rFonts w:ascii="Times New Roman" w:hAnsi="Times New Roman" w:cs="Times New Roman"/>
          <w:sz w:val="24"/>
          <w:szCs w:val="24"/>
        </w:rPr>
        <w:t xml:space="preserve">Major </w:t>
      </w:r>
      <w:proofErr w:type="spellStart"/>
      <w:r w:rsidRPr="005B0FF0">
        <w:rPr>
          <w:rFonts w:ascii="Times New Roman" w:hAnsi="Times New Roman" w:cs="Times New Roman"/>
          <w:sz w:val="24"/>
          <w:szCs w:val="24"/>
        </w:rPr>
        <w:t>organisations</w:t>
      </w:r>
      <w:proofErr w:type="spellEnd"/>
      <w:r w:rsidRPr="005B0FF0">
        <w:rPr>
          <w:rFonts w:ascii="Times New Roman" w:hAnsi="Times New Roman" w:cs="Times New Roman"/>
          <w:sz w:val="24"/>
          <w:szCs w:val="24"/>
        </w:rPr>
        <w:t xml:space="preserve"> have several issues in protecting data throughout their regular operations. Managing massive volumes of data from various customers and engagements is a huge challenge. Because of the volume, ensuring the security and confidentiality of all this information becomes difficult.</w:t>
      </w:r>
    </w:p>
    <w:p w14:paraId="5D4D795F" w14:textId="1AD83489" w:rsidR="005B0FF0" w:rsidRDefault="005B0FF0" w:rsidP="005B0FF0">
      <w:pPr>
        <w:spacing w:line="360" w:lineRule="auto"/>
        <w:jc w:val="both"/>
        <w:rPr>
          <w:rFonts w:ascii="Times New Roman" w:hAnsi="Times New Roman" w:cs="Times New Roman"/>
          <w:sz w:val="24"/>
          <w:szCs w:val="24"/>
        </w:rPr>
      </w:pPr>
      <w:r w:rsidRPr="005B0FF0">
        <w:rPr>
          <w:rFonts w:ascii="Times New Roman" w:hAnsi="Times New Roman" w:cs="Times New Roman"/>
          <w:sz w:val="24"/>
          <w:szCs w:val="24"/>
        </w:rPr>
        <w:t xml:space="preserve">Coping with the changing nature of cyber threats is another significant difficulty. Cybercriminals' plans are always evolving, with innovative methods used to break security systems and fraudulently access sensitive data. To remain ahead of these dangers, large corporations must take proactive actions to strengthen their cybersecurity </w:t>
      </w:r>
      <w:proofErr w:type="spellStart"/>
      <w:r w:rsidRPr="005B0FF0">
        <w:rPr>
          <w:rFonts w:ascii="Times New Roman" w:hAnsi="Times New Roman" w:cs="Times New Roman"/>
          <w:sz w:val="24"/>
          <w:szCs w:val="24"/>
        </w:rPr>
        <w:t>defences</w:t>
      </w:r>
      <w:proofErr w:type="spellEnd"/>
      <w:r w:rsidRPr="005B0FF0">
        <w:rPr>
          <w:rFonts w:ascii="Times New Roman" w:hAnsi="Times New Roman" w:cs="Times New Roman"/>
          <w:sz w:val="24"/>
          <w:szCs w:val="24"/>
        </w:rPr>
        <w:t>, constantly monitoring and updating their systems.</w:t>
      </w:r>
    </w:p>
    <w:p w14:paraId="1EA3EE13" w14:textId="77777777" w:rsidR="005B0FF0" w:rsidRDefault="005B0FF0" w:rsidP="005B0FF0">
      <w:pPr>
        <w:spacing w:line="360" w:lineRule="auto"/>
        <w:jc w:val="both"/>
        <w:rPr>
          <w:rFonts w:ascii="Times New Roman" w:hAnsi="Times New Roman" w:cs="Times New Roman"/>
          <w:sz w:val="24"/>
          <w:szCs w:val="24"/>
        </w:rPr>
      </w:pPr>
    </w:p>
    <w:p w14:paraId="6A47C31E" w14:textId="77777777" w:rsidR="005B0FF0" w:rsidRPr="005B0FF0" w:rsidRDefault="005B0FF0" w:rsidP="005B0FF0">
      <w:pPr>
        <w:spacing w:line="360" w:lineRule="auto"/>
        <w:jc w:val="both"/>
        <w:rPr>
          <w:rFonts w:ascii="Times New Roman" w:hAnsi="Times New Roman" w:cs="Times New Roman"/>
          <w:sz w:val="24"/>
          <w:szCs w:val="24"/>
        </w:rPr>
      </w:pPr>
    </w:p>
    <w:p w14:paraId="2BBF946A" w14:textId="11513BEB" w:rsidR="0045748D" w:rsidRPr="0001398B" w:rsidRDefault="00B15664" w:rsidP="005B0FF0">
      <w:pPr>
        <w:spacing w:line="360" w:lineRule="auto"/>
        <w:jc w:val="both"/>
        <w:rPr>
          <w:rFonts w:ascii="Times New Roman" w:hAnsi="Times New Roman" w:cs="Times New Roman"/>
          <w:b/>
          <w:bCs/>
          <w:sz w:val="24"/>
          <w:szCs w:val="24"/>
        </w:rPr>
      </w:pPr>
      <w:r w:rsidRPr="0001398B">
        <w:rPr>
          <w:rFonts w:ascii="Times New Roman" w:hAnsi="Times New Roman" w:cs="Times New Roman"/>
          <w:b/>
          <w:bCs/>
          <w:sz w:val="24"/>
          <w:szCs w:val="24"/>
        </w:rPr>
        <w:lastRenderedPageBreak/>
        <w:t>CONCLUSION</w:t>
      </w:r>
    </w:p>
    <w:p w14:paraId="767F8822" w14:textId="4BFE786B" w:rsidR="00AF5379" w:rsidRPr="005B0FF0" w:rsidRDefault="005B0FF0" w:rsidP="005B0FF0">
      <w:pPr>
        <w:spacing w:line="360" w:lineRule="auto"/>
        <w:jc w:val="both"/>
        <w:rPr>
          <w:rFonts w:ascii="Times New Roman" w:hAnsi="Times New Roman" w:cs="Times New Roman"/>
          <w:sz w:val="24"/>
          <w:szCs w:val="24"/>
        </w:rPr>
      </w:pPr>
      <w:r w:rsidRPr="005B0FF0">
        <w:rPr>
          <w:rFonts w:ascii="Times New Roman" w:hAnsi="Times New Roman" w:cs="Times New Roman"/>
          <w:sz w:val="24"/>
          <w:szCs w:val="24"/>
        </w:rPr>
        <w:t xml:space="preserve">The implementation of the DPDP Act is definitely a </w:t>
      </w:r>
      <w:r w:rsidR="0045748D" w:rsidRPr="005B0FF0">
        <w:rPr>
          <w:rFonts w:ascii="Times New Roman" w:hAnsi="Times New Roman" w:cs="Times New Roman"/>
          <w:sz w:val="24"/>
          <w:szCs w:val="24"/>
        </w:rPr>
        <w:t>new normal</w:t>
      </w:r>
      <w:r w:rsidRPr="005B0FF0">
        <w:rPr>
          <w:rFonts w:ascii="Times New Roman" w:hAnsi="Times New Roman" w:cs="Times New Roman"/>
          <w:sz w:val="24"/>
          <w:szCs w:val="24"/>
        </w:rPr>
        <w:t xml:space="preserve"> for all the companies, akin</w:t>
      </w:r>
      <w:r w:rsidR="0045748D" w:rsidRPr="005B0FF0">
        <w:rPr>
          <w:rFonts w:ascii="Times New Roman" w:hAnsi="Times New Roman" w:cs="Times New Roman"/>
          <w:sz w:val="24"/>
          <w:szCs w:val="24"/>
        </w:rPr>
        <w:t xml:space="preserve"> to </w:t>
      </w:r>
      <w:r w:rsidRPr="005B0FF0">
        <w:rPr>
          <w:rFonts w:ascii="Times New Roman" w:hAnsi="Times New Roman" w:cs="Times New Roman"/>
          <w:sz w:val="24"/>
          <w:szCs w:val="24"/>
        </w:rPr>
        <w:t>the initial</w:t>
      </w:r>
      <w:r w:rsidRPr="005B0FF0">
        <w:rPr>
          <w:rFonts w:ascii="Times New Roman" w:hAnsi="Times New Roman" w:cs="Times New Roman"/>
          <w:sz w:val="24"/>
          <w:szCs w:val="24"/>
        </w:rPr>
        <w:t xml:space="preserve"> concerns </w:t>
      </w:r>
      <w:r w:rsidRPr="005B0FF0">
        <w:rPr>
          <w:rFonts w:ascii="Times New Roman" w:hAnsi="Times New Roman" w:cs="Times New Roman"/>
          <w:sz w:val="24"/>
          <w:szCs w:val="24"/>
        </w:rPr>
        <w:t xml:space="preserve">that emerged </w:t>
      </w:r>
      <w:r w:rsidRPr="005B0FF0">
        <w:rPr>
          <w:rFonts w:ascii="Times New Roman" w:hAnsi="Times New Roman" w:cs="Times New Roman"/>
          <w:sz w:val="24"/>
          <w:szCs w:val="24"/>
        </w:rPr>
        <w:t xml:space="preserve">surrounding </w:t>
      </w:r>
      <w:r w:rsidRPr="005B0FF0">
        <w:rPr>
          <w:rFonts w:ascii="Times New Roman" w:hAnsi="Times New Roman" w:cs="Times New Roman"/>
          <w:sz w:val="24"/>
          <w:szCs w:val="24"/>
        </w:rPr>
        <w:t xml:space="preserve">the </w:t>
      </w:r>
      <w:r w:rsidRPr="005B0FF0">
        <w:rPr>
          <w:rFonts w:ascii="Times New Roman" w:hAnsi="Times New Roman" w:cs="Times New Roman"/>
          <w:sz w:val="24"/>
          <w:szCs w:val="24"/>
        </w:rPr>
        <w:t xml:space="preserve">GDPR implementation in the </w:t>
      </w:r>
      <w:r w:rsidRPr="005B0FF0">
        <w:rPr>
          <w:rFonts w:ascii="Times New Roman" w:hAnsi="Times New Roman" w:cs="Times New Roman"/>
          <w:sz w:val="24"/>
          <w:szCs w:val="24"/>
        </w:rPr>
        <w:t>West, but</w:t>
      </w:r>
      <w:r w:rsidR="0045748D" w:rsidRPr="005B0FF0">
        <w:rPr>
          <w:rFonts w:ascii="Times New Roman" w:hAnsi="Times New Roman" w:cs="Times New Roman"/>
          <w:sz w:val="24"/>
          <w:szCs w:val="24"/>
        </w:rPr>
        <w:t xml:space="preserve"> over the course of time, </w:t>
      </w:r>
      <w:r w:rsidRPr="005B0FF0">
        <w:rPr>
          <w:rFonts w:ascii="Times New Roman" w:hAnsi="Times New Roman" w:cs="Times New Roman"/>
          <w:sz w:val="24"/>
          <w:szCs w:val="24"/>
        </w:rPr>
        <w:t>each company adapted and discovered their unique middle ground</w:t>
      </w:r>
      <w:r w:rsidRPr="005B0FF0">
        <w:rPr>
          <w:rFonts w:ascii="Times New Roman" w:hAnsi="Times New Roman" w:cs="Times New Roman"/>
          <w:sz w:val="24"/>
          <w:szCs w:val="24"/>
        </w:rPr>
        <w:t xml:space="preserve">. </w:t>
      </w:r>
      <w:r w:rsidR="005C14E4">
        <w:rPr>
          <w:rFonts w:ascii="Times New Roman" w:hAnsi="Times New Roman" w:cs="Times New Roman"/>
          <w:sz w:val="24"/>
          <w:szCs w:val="24"/>
        </w:rPr>
        <w:t xml:space="preserve">In conclusion, </w:t>
      </w:r>
      <w:r w:rsidR="005C14E4" w:rsidRPr="005C14E4">
        <w:rPr>
          <w:rFonts w:ascii="Times New Roman" w:hAnsi="Times New Roman" w:cs="Times New Roman"/>
          <w:sz w:val="24"/>
          <w:szCs w:val="24"/>
        </w:rPr>
        <w:t>safeguarding data remains a crucial priority for large corporations in today's digital landscape. Prioritizing data privacy, adopting robust cybersecurity measures, and adhering to regulations such as the DPDP Act are vital steps for these firms to build trust with clients</w:t>
      </w:r>
      <w:r w:rsidR="005C14E4">
        <w:rPr>
          <w:rFonts w:ascii="Times New Roman" w:hAnsi="Times New Roman" w:cs="Times New Roman"/>
          <w:sz w:val="24"/>
          <w:szCs w:val="24"/>
        </w:rPr>
        <w:t xml:space="preserve">. </w:t>
      </w:r>
    </w:p>
    <w:sectPr w:rsidR="00AF5379" w:rsidRPr="005B0FF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38ED96" w14:textId="77777777" w:rsidR="00EA2718" w:rsidRDefault="00EA2718" w:rsidP="00F97DC1">
      <w:pPr>
        <w:spacing w:after="0" w:line="240" w:lineRule="auto"/>
      </w:pPr>
      <w:r>
        <w:separator/>
      </w:r>
    </w:p>
  </w:endnote>
  <w:endnote w:type="continuationSeparator" w:id="0">
    <w:p w14:paraId="6A013F58" w14:textId="77777777" w:rsidR="00EA2718" w:rsidRDefault="00EA2718" w:rsidP="00F97D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31BE1C" w14:textId="77777777" w:rsidR="00EA2718" w:rsidRDefault="00EA2718" w:rsidP="00F97DC1">
      <w:pPr>
        <w:spacing w:after="0" w:line="240" w:lineRule="auto"/>
      </w:pPr>
      <w:r>
        <w:separator/>
      </w:r>
    </w:p>
  </w:footnote>
  <w:footnote w:type="continuationSeparator" w:id="0">
    <w:p w14:paraId="4BCE77A1" w14:textId="77777777" w:rsidR="00EA2718" w:rsidRDefault="00EA2718" w:rsidP="00F97DC1">
      <w:pPr>
        <w:spacing w:after="0" w:line="240" w:lineRule="auto"/>
      </w:pPr>
      <w:r>
        <w:continuationSeparator/>
      </w:r>
    </w:p>
  </w:footnote>
  <w:footnote w:id="1">
    <w:p w14:paraId="35E5AD5C" w14:textId="77777777" w:rsidR="0001398B" w:rsidRPr="00F97DC1" w:rsidRDefault="0001398B" w:rsidP="0001398B">
      <w:pPr>
        <w:pStyle w:val="Heading2"/>
        <w:spacing w:before="0" w:beforeAutospacing="0" w:after="120" w:afterAutospacing="0"/>
        <w:rPr>
          <w:b w:val="0"/>
          <w:bCs w:val="0"/>
          <w:sz w:val="20"/>
          <w:szCs w:val="20"/>
        </w:rPr>
      </w:pPr>
      <w:r w:rsidRPr="00F97DC1">
        <w:rPr>
          <w:rStyle w:val="FootnoteReference"/>
          <w:sz w:val="20"/>
          <w:szCs w:val="20"/>
        </w:rPr>
        <w:footnoteRef/>
      </w:r>
      <w:r w:rsidRPr="00F97DC1">
        <w:rPr>
          <w:sz w:val="20"/>
          <w:szCs w:val="20"/>
        </w:rPr>
        <w:t xml:space="preserve"> </w:t>
      </w:r>
      <w:r w:rsidRPr="00F97DC1">
        <w:rPr>
          <w:b w:val="0"/>
          <w:bCs w:val="0"/>
          <w:sz w:val="20"/>
          <w:szCs w:val="20"/>
        </w:rPr>
        <w:t xml:space="preserve">Justice K.S. </w:t>
      </w:r>
      <w:proofErr w:type="spellStart"/>
      <w:r w:rsidRPr="00F97DC1">
        <w:rPr>
          <w:b w:val="0"/>
          <w:bCs w:val="0"/>
          <w:sz w:val="20"/>
          <w:szCs w:val="20"/>
        </w:rPr>
        <w:t>Puttaswamy</w:t>
      </w:r>
      <w:proofErr w:type="spellEnd"/>
      <w:r w:rsidRPr="00F97DC1">
        <w:rPr>
          <w:b w:val="0"/>
          <w:bCs w:val="0"/>
          <w:sz w:val="20"/>
          <w:szCs w:val="20"/>
        </w:rPr>
        <w:t xml:space="preserve"> (Retd.) &amp; </w:t>
      </w:r>
      <w:proofErr w:type="spellStart"/>
      <w:r w:rsidRPr="00F97DC1">
        <w:rPr>
          <w:b w:val="0"/>
          <w:bCs w:val="0"/>
          <w:sz w:val="20"/>
          <w:szCs w:val="20"/>
        </w:rPr>
        <w:t>Anr</w:t>
      </w:r>
      <w:proofErr w:type="spellEnd"/>
      <w:r w:rsidRPr="00F97DC1">
        <w:rPr>
          <w:b w:val="0"/>
          <w:bCs w:val="0"/>
          <w:sz w:val="20"/>
          <w:szCs w:val="20"/>
        </w:rPr>
        <w:t xml:space="preserve">. vs. Union of India &amp; </w:t>
      </w:r>
      <w:proofErr w:type="spellStart"/>
      <w:r w:rsidRPr="00F97DC1">
        <w:rPr>
          <w:b w:val="0"/>
          <w:bCs w:val="0"/>
          <w:sz w:val="20"/>
          <w:szCs w:val="20"/>
        </w:rPr>
        <w:t>Ors</w:t>
      </w:r>
      <w:proofErr w:type="spellEnd"/>
      <w:r w:rsidRPr="00F97DC1">
        <w:rPr>
          <w:b w:val="0"/>
          <w:bCs w:val="0"/>
          <w:sz w:val="20"/>
          <w:szCs w:val="20"/>
        </w:rPr>
        <w:t>., (2017) 10 SCC 1, AIR 2017 SC 4161</w:t>
      </w:r>
    </w:p>
    <w:p w14:paraId="473869D4" w14:textId="77777777" w:rsidR="0001398B" w:rsidRDefault="0001398B" w:rsidP="0001398B">
      <w:pPr>
        <w:pStyle w:val="FootnoteText"/>
      </w:pPr>
    </w:p>
  </w:footnote>
  <w:footnote w:id="2">
    <w:p w14:paraId="4F01F735" w14:textId="4040B8C2" w:rsidR="00A60AD3" w:rsidRPr="00A60AD3" w:rsidRDefault="00403CCC">
      <w:pPr>
        <w:pStyle w:val="FootnoteText"/>
        <w:rPr>
          <w:rFonts w:ascii="Times New Roman" w:hAnsi="Times New Roman" w:cs="Times New Roman"/>
        </w:rPr>
      </w:pPr>
      <w:r>
        <w:rPr>
          <w:rStyle w:val="FootnoteReference"/>
        </w:rPr>
        <w:footnoteRef/>
      </w:r>
      <w:r>
        <w:t xml:space="preserve"> </w:t>
      </w:r>
      <w:r w:rsidRPr="00A60AD3">
        <w:rPr>
          <w:rFonts w:ascii="Times New Roman" w:hAnsi="Times New Roman" w:cs="Times New Roman"/>
        </w:rPr>
        <w:t xml:space="preserve">Siddarth Srinivasan, </w:t>
      </w:r>
      <w:r w:rsidR="00A60AD3" w:rsidRPr="00A60AD3">
        <w:rPr>
          <w:rFonts w:ascii="Times New Roman" w:hAnsi="Times New Roman" w:cs="Times New Roman"/>
        </w:rPr>
        <w:t>DPDP &amp; GDPR Comparison, October 2023</w:t>
      </w:r>
      <w:r w:rsidR="00A60AD3">
        <w:rPr>
          <w:rFonts w:ascii="Times New Roman" w:hAnsi="Times New Roman" w:cs="Times New Roman"/>
        </w:rPr>
        <w:t xml:space="preserve">, </w:t>
      </w:r>
      <w:r w:rsidR="00A60AD3" w:rsidRPr="00A60AD3">
        <w:rPr>
          <w:rFonts w:ascii="Times New Roman" w:hAnsi="Times New Roman" w:cs="Times New Roman"/>
        </w:rPr>
        <w:t>https://www.linkedin.com/pulse/dpdp-gdpr-comparison-siddharth-srinivasan/</w:t>
      </w:r>
    </w:p>
  </w:footnote>
  <w:footnote w:id="3">
    <w:p w14:paraId="1546084C" w14:textId="77777777" w:rsidR="00C16D95" w:rsidRPr="00C16D95" w:rsidRDefault="00C16D95" w:rsidP="00C16D95">
      <w:pPr>
        <w:pStyle w:val="FootnoteText"/>
        <w:rPr>
          <w:rFonts w:ascii="Times New Roman" w:hAnsi="Times New Roman" w:cs="Times New Roman"/>
        </w:rPr>
      </w:pPr>
      <w:r w:rsidRPr="00C16D95">
        <w:rPr>
          <w:rStyle w:val="FootnoteReference"/>
          <w:rFonts w:ascii="Times New Roman" w:hAnsi="Times New Roman" w:cs="Times New Roman"/>
        </w:rPr>
        <w:footnoteRef/>
      </w:r>
      <w:r w:rsidRPr="00C16D95">
        <w:rPr>
          <w:rFonts w:ascii="Times New Roman" w:hAnsi="Times New Roman" w:cs="Times New Roman"/>
        </w:rPr>
        <w:t xml:space="preserve"> </w:t>
      </w:r>
      <w:r w:rsidRPr="00C16D95">
        <w:rPr>
          <w:rFonts w:ascii="Times New Roman" w:hAnsi="Times New Roman" w:cs="Times New Roman"/>
          <w:shd w:val="clear" w:color="auto" w:fill="FFFFFF"/>
        </w:rPr>
        <w:t xml:space="preserve">Digital Personal Data Protection Act, 2023, </w:t>
      </w:r>
      <w:r w:rsidRPr="00C16D95">
        <w:rPr>
          <w:rFonts w:ascii="Times New Roman" w:hAnsi="Times New Roman" w:cs="Times New Roman"/>
        </w:rPr>
        <w:t>Section 2(</w:t>
      </w:r>
      <w:proofErr w:type="spellStart"/>
      <w:r w:rsidRPr="00C16D95">
        <w:rPr>
          <w:rFonts w:ascii="Times New Roman" w:hAnsi="Times New Roman" w:cs="Times New Roman"/>
        </w:rPr>
        <w:t>i</w:t>
      </w:r>
      <w:proofErr w:type="spellEnd"/>
      <w:r w:rsidRPr="00C16D95">
        <w:rPr>
          <w:rFonts w:ascii="Times New Roman" w:hAnsi="Times New Roman" w:cs="Times New Roman"/>
        </w:rPr>
        <w:t>)</w:t>
      </w:r>
    </w:p>
  </w:footnote>
  <w:footnote w:id="4">
    <w:p w14:paraId="3968CBE5" w14:textId="0F3A9937" w:rsidR="00956915" w:rsidRPr="00956915" w:rsidRDefault="00956915">
      <w:pPr>
        <w:pStyle w:val="FootnoteText"/>
        <w:rPr>
          <w:rFonts w:ascii="Times New Roman" w:hAnsi="Times New Roman" w:cs="Times New Roman"/>
        </w:rPr>
      </w:pPr>
      <w:r w:rsidRPr="00956915">
        <w:rPr>
          <w:rStyle w:val="FootnoteReference"/>
          <w:rFonts w:ascii="Times New Roman" w:hAnsi="Times New Roman" w:cs="Times New Roman"/>
        </w:rPr>
        <w:footnoteRef/>
      </w:r>
      <w:r w:rsidR="00B15664">
        <w:rPr>
          <w:rFonts w:ascii="Times New Roman" w:hAnsi="Times New Roman" w:cs="Times New Roman"/>
        </w:rPr>
        <w:t xml:space="preserve"> </w:t>
      </w:r>
      <w:r w:rsidR="00B15664" w:rsidRPr="00956915">
        <w:rPr>
          <w:rFonts w:ascii="Times New Roman" w:hAnsi="Times New Roman" w:cs="Times New Roman"/>
        </w:rPr>
        <w:t xml:space="preserve">Raktima Roy, Gabrielle </w:t>
      </w:r>
      <w:proofErr w:type="spellStart"/>
      <w:r w:rsidR="00B15664" w:rsidRPr="00956915">
        <w:rPr>
          <w:rFonts w:ascii="Times New Roman" w:hAnsi="Times New Roman" w:cs="Times New Roman"/>
        </w:rPr>
        <w:t>Zanfire</w:t>
      </w:r>
      <w:proofErr w:type="spellEnd"/>
      <w:r w:rsidR="00B15664">
        <w:rPr>
          <w:rFonts w:ascii="Times New Roman" w:hAnsi="Times New Roman" w:cs="Times New Roman"/>
        </w:rPr>
        <w:t>,</w:t>
      </w:r>
      <w:r w:rsidRPr="00956915">
        <w:rPr>
          <w:rFonts w:ascii="Times New Roman" w:hAnsi="Times New Roman" w:cs="Times New Roman"/>
        </w:rPr>
        <w:t xml:space="preserve"> The Digital Personal Data Protection Act of India Explained, Future of privacy forum, August 2023. </w:t>
      </w:r>
    </w:p>
  </w:footnote>
  <w:footnote w:id="5">
    <w:p w14:paraId="71D65EC4" w14:textId="59ACEF57" w:rsidR="0011479B" w:rsidRDefault="0011479B">
      <w:pPr>
        <w:pStyle w:val="FootnoteText"/>
      </w:pPr>
      <w:r>
        <w:rPr>
          <w:rStyle w:val="FootnoteReference"/>
        </w:rPr>
        <w:footnoteRef/>
      </w:r>
      <w:r>
        <w:t xml:space="preserve"> </w:t>
      </w:r>
      <w:r w:rsidRPr="00C16D95">
        <w:rPr>
          <w:rFonts w:ascii="Times New Roman" w:hAnsi="Times New Roman" w:cs="Times New Roman"/>
          <w:shd w:val="clear" w:color="auto" w:fill="FFFFFF"/>
        </w:rPr>
        <w:t xml:space="preserve">Digital Personal Data Protection Act, 2023, </w:t>
      </w:r>
      <w:r w:rsidRPr="00C16D95">
        <w:rPr>
          <w:rFonts w:ascii="Times New Roman" w:hAnsi="Times New Roman" w:cs="Times New Roman"/>
        </w:rPr>
        <w:t xml:space="preserve">Section </w:t>
      </w:r>
      <w:r>
        <w:rPr>
          <w:rFonts w:ascii="Times New Roman" w:hAnsi="Times New Roman" w:cs="Times New Roman"/>
        </w:rPr>
        <w:t>6</w:t>
      </w:r>
    </w:p>
  </w:footnote>
  <w:footnote w:id="6">
    <w:p w14:paraId="5A509D42" w14:textId="32375A16" w:rsidR="00637EC9" w:rsidRDefault="00637EC9" w:rsidP="00637EC9">
      <w:pPr>
        <w:pStyle w:val="FootnoteText"/>
      </w:pPr>
      <w:r>
        <w:rPr>
          <w:rStyle w:val="FootnoteReference"/>
        </w:rPr>
        <w:footnoteRef/>
      </w:r>
      <w:r>
        <w:t xml:space="preserve"> </w:t>
      </w:r>
      <w:r w:rsidRPr="00C16D95">
        <w:rPr>
          <w:rFonts w:ascii="Times New Roman" w:hAnsi="Times New Roman" w:cs="Times New Roman"/>
          <w:shd w:val="clear" w:color="auto" w:fill="FFFFFF"/>
        </w:rPr>
        <w:t xml:space="preserve">Digital Personal Data Protection Act, 2023, </w:t>
      </w:r>
      <w:r w:rsidRPr="00C16D95">
        <w:rPr>
          <w:rFonts w:ascii="Times New Roman" w:hAnsi="Times New Roman" w:cs="Times New Roman"/>
        </w:rPr>
        <w:t>Section</w:t>
      </w:r>
      <w:r>
        <w:rPr>
          <w:rFonts w:ascii="Times New Roman" w:hAnsi="Times New Roman" w:cs="Times New Roman"/>
        </w:rPr>
        <w:t xml:space="preserve"> 9</w:t>
      </w:r>
    </w:p>
    <w:p w14:paraId="21CE7F07" w14:textId="61ADDE1E" w:rsidR="00637EC9" w:rsidRDefault="00637EC9">
      <w:pPr>
        <w:pStyle w:val="FootnoteText"/>
      </w:pPr>
    </w:p>
  </w:footnote>
  <w:footnote w:id="7">
    <w:p w14:paraId="17E921FB" w14:textId="21010B64" w:rsidR="008B5850" w:rsidRDefault="008B5850">
      <w:pPr>
        <w:pStyle w:val="FootnoteText"/>
      </w:pPr>
      <w:r>
        <w:rPr>
          <w:rStyle w:val="FootnoteReference"/>
        </w:rPr>
        <w:footnoteRef/>
      </w:r>
      <w:r>
        <w:t xml:space="preserve"> Obligations of a Data Fiduciary Under the Digital Personal</w:t>
      </w:r>
      <w:r w:rsidR="00E657E0">
        <w:t>, Tsaaro Consulting, 25</w:t>
      </w:r>
      <w:r w:rsidR="00E657E0" w:rsidRPr="00E657E0">
        <w:rPr>
          <w:vertAlign w:val="superscript"/>
        </w:rPr>
        <w:t>th</w:t>
      </w:r>
      <w:r w:rsidR="00E657E0">
        <w:t xml:space="preserve"> August 2023</w:t>
      </w:r>
    </w:p>
  </w:footnote>
  <w:footnote w:id="8">
    <w:p w14:paraId="017653E2" w14:textId="26A90C02" w:rsidR="00620D9F" w:rsidRDefault="00620D9F">
      <w:pPr>
        <w:pStyle w:val="FootnoteText"/>
      </w:pPr>
      <w:r>
        <w:rPr>
          <w:rStyle w:val="FootnoteReference"/>
        </w:rPr>
        <w:footnoteRef/>
      </w:r>
      <w:r>
        <w:t xml:space="preserve"> Nandita Rao, 5 steps to prepare for India’s Digital Personal Data Protection Act, IAPP, August 2023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B0F99"/>
    <w:multiLevelType w:val="hybridMultilevel"/>
    <w:tmpl w:val="05306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263C7C"/>
    <w:multiLevelType w:val="hybridMultilevel"/>
    <w:tmpl w:val="7A3A614A"/>
    <w:lvl w:ilvl="0" w:tplc="04090001">
      <w:start w:val="1"/>
      <w:numFmt w:val="bullet"/>
      <w:lvlText w:val=""/>
      <w:lvlJc w:val="left"/>
      <w:pPr>
        <w:ind w:left="720" w:hanging="360"/>
      </w:pPr>
      <w:rPr>
        <w:rFonts w:ascii="Symbol" w:hAnsi="Symbol" w:hint="default"/>
      </w:rPr>
    </w:lvl>
    <w:lvl w:ilvl="1" w:tplc="B38C77B0">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FC6DCC"/>
    <w:multiLevelType w:val="multilevel"/>
    <w:tmpl w:val="FA1CC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D5B2C58"/>
    <w:multiLevelType w:val="hybridMultilevel"/>
    <w:tmpl w:val="C6368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4E7D3A"/>
    <w:multiLevelType w:val="multilevel"/>
    <w:tmpl w:val="E0861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235118"/>
    <w:multiLevelType w:val="multilevel"/>
    <w:tmpl w:val="7B5E3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3B81E2C"/>
    <w:multiLevelType w:val="hybridMultilevel"/>
    <w:tmpl w:val="64406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5D124A5"/>
    <w:multiLevelType w:val="hybridMultilevel"/>
    <w:tmpl w:val="84369D24"/>
    <w:lvl w:ilvl="0" w:tplc="AE9AEE1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06542123">
    <w:abstractNumId w:val="7"/>
  </w:num>
  <w:num w:numId="2" w16cid:durableId="1056784314">
    <w:abstractNumId w:val="0"/>
  </w:num>
  <w:num w:numId="3" w16cid:durableId="1388065907">
    <w:abstractNumId w:val="5"/>
  </w:num>
  <w:num w:numId="4" w16cid:durableId="276183248">
    <w:abstractNumId w:val="2"/>
  </w:num>
  <w:num w:numId="5" w16cid:durableId="1815027157">
    <w:abstractNumId w:val="3"/>
  </w:num>
  <w:num w:numId="6" w16cid:durableId="938174223">
    <w:abstractNumId w:val="6"/>
  </w:num>
  <w:num w:numId="7" w16cid:durableId="840662183">
    <w:abstractNumId w:val="4"/>
  </w:num>
  <w:num w:numId="8" w16cid:durableId="14005954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2745"/>
    <w:rsid w:val="0001398B"/>
    <w:rsid w:val="00064A92"/>
    <w:rsid w:val="00097DC4"/>
    <w:rsid w:val="000D5E54"/>
    <w:rsid w:val="000F7FD8"/>
    <w:rsid w:val="0011198A"/>
    <w:rsid w:val="0011479B"/>
    <w:rsid w:val="00126FF4"/>
    <w:rsid w:val="001302AE"/>
    <w:rsid w:val="00203C62"/>
    <w:rsid w:val="00272745"/>
    <w:rsid w:val="002C045E"/>
    <w:rsid w:val="003452B7"/>
    <w:rsid w:val="003D0CAC"/>
    <w:rsid w:val="003F2133"/>
    <w:rsid w:val="00403CCC"/>
    <w:rsid w:val="00445A82"/>
    <w:rsid w:val="0045748D"/>
    <w:rsid w:val="00477C0F"/>
    <w:rsid w:val="004D3DA5"/>
    <w:rsid w:val="004E4BE9"/>
    <w:rsid w:val="004E7DD7"/>
    <w:rsid w:val="004F24E2"/>
    <w:rsid w:val="0052794C"/>
    <w:rsid w:val="005965E8"/>
    <w:rsid w:val="005B0FF0"/>
    <w:rsid w:val="005B1036"/>
    <w:rsid w:val="005C14E4"/>
    <w:rsid w:val="005F6CB1"/>
    <w:rsid w:val="00620234"/>
    <w:rsid w:val="00620287"/>
    <w:rsid w:val="00620D9F"/>
    <w:rsid w:val="00627667"/>
    <w:rsid w:val="0063159F"/>
    <w:rsid w:val="0063303C"/>
    <w:rsid w:val="00637EC9"/>
    <w:rsid w:val="00693AEB"/>
    <w:rsid w:val="00697AD1"/>
    <w:rsid w:val="00726B77"/>
    <w:rsid w:val="00747121"/>
    <w:rsid w:val="00753FA0"/>
    <w:rsid w:val="007869D7"/>
    <w:rsid w:val="00810181"/>
    <w:rsid w:val="00867BFD"/>
    <w:rsid w:val="00870E6D"/>
    <w:rsid w:val="008B5850"/>
    <w:rsid w:val="00956915"/>
    <w:rsid w:val="00A51BDF"/>
    <w:rsid w:val="00A60AD3"/>
    <w:rsid w:val="00AB03FA"/>
    <w:rsid w:val="00AF5379"/>
    <w:rsid w:val="00B15664"/>
    <w:rsid w:val="00BC38F0"/>
    <w:rsid w:val="00BD707F"/>
    <w:rsid w:val="00C16D95"/>
    <w:rsid w:val="00C63AA0"/>
    <w:rsid w:val="00C85AEC"/>
    <w:rsid w:val="00D22235"/>
    <w:rsid w:val="00DA15C4"/>
    <w:rsid w:val="00DB1AB4"/>
    <w:rsid w:val="00DF166E"/>
    <w:rsid w:val="00E657E0"/>
    <w:rsid w:val="00EA2718"/>
    <w:rsid w:val="00F279FC"/>
    <w:rsid w:val="00F43E56"/>
    <w:rsid w:val="00F97DC1"/>
    <w:rsid w:val="00FC2EC0"/>
    <w:rsid w:val="00FC4A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A09C4"/>
  <w15:chartTrackingRefBased/>
  <w15:docId w15:val="{2B364E31-794C-4812-BFD1-3A4B5ED2D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585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F97DC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4A33"/>
    <w:pPr>
      <w:ind w:left="720"/>
      <w:contextualSpacing/>
    </w:pPr>
  </w:style>
  <w:style w:type="paragraph" w:styleId="FootnoteText">
    <w:name w:val="footnote text"/>
    <w:basedOn w:val="Normal"/>
    <w:link w:val="FootnoteTextChar"/>
    <w:uiPriority w:val="99"/>
    <w:semiHidden/>
    <w:unhideWhenUsed/>
    <w:rsid w:val="00F97DC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97DC1"/>
    <w:rPr>
      <w:sz w:val="20"/>
      <w:szCs w:val="20"/>
    </w:rPr>
  </w:style>
  <w:style w:type="character" w:styleId="FootnoteReference">
    <w:name w:val="footnote reference"/>
    <w:basedOn w:val="DefaultParagraphFont"/>
    <w:uiPriority w:val="99"/>
    <w:semiHidden/>
    <w:unhideWhenUsed/>
    <w:rsid w:val="00F97DC1"/>
    <w:rPr>
      <w:vertAlign w:val="superscript"/>
    </w:rPr>
  </w:style>
  <w:style w:type="character" w:customStyle="1" w:styleId="Heading2Char">
    <w:name w:val="Heading 2 Char"/>
    <w:basedOn w:val="DefaultParagraphFont"/>
    <w:link w:val="Heading2"/>
    <w:uiPriority w:val="9"/>
    <w:rsid w:val="00F97DC1"/>
    <w:rPr>
      <w:rFonts w:ascii="Times New Roman" w:eastAsia="Times New Roman" w:hAnsi="Times New Roman" w:cs="Times New Roman"/>
      <w:b/>
      <w:bCs/>
      <w:kern w:val="0"/>
      <w:sz w:val="36"/>
      <w:szCs w:val="36"/>
      <w14:ligatures w14:val="none"/>
    </w:rPr>
  </w:style>
  <w:style w:type="paragraph" w:styleId="NormalWeb">
    <w:name w:val="Normal (Web)"/>
    <w:basedOn w:val="Normal"/>
    <w:uiPriority w:val="99"/>
    <w:semiHidden/>
    <w:unhideWhenUsed/>
    <w:rsid w:val="0011479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Heading1Char">
    <w:name w:val="Heading 1 Char"/>
    <w:basedOn w:val="DefaultParagraphFont"/>
    <w:link w:val="Heading1"/>
    <w:uiPriority w:val="9"/>
    <w:rsid w:val="008B5850"/>
    <w:rPr>
      <w:rFonts w:asciiTheme="majorHAnsi" w:eastAsiaTheme="majorEastAsia" w:hAnsiTheme="majorHAnsi" w:cstheme="majorBidi"/>
      <w:color w:val="2F5496" w:themeColor="accent1" w:themeShade="BF"/>
      <w:sz w:val="32"/>
      <w:szCs w:val="32"/>
    </w:rPr>
  </w:style>
  <w:style w:type="paragraph" w:styleId="z-TopofForm">
    <w:name w:val="HTML Top of Form"/>
    <w:basedOn w:val="Normal"/>
    <w:next w:val="Normal"/>
    <w:link w:val="z-TopofFormChar"/>
    <w:hidden/>
    <w:uiPriority w:val="99"/>
    <w:semiHidden/>
    <w:unhideWhenUsed/>
    <w:rsid w:val="00D22235"/>
    <w:pPr>
      <w:pBdr>
        <w:bottom w:val="single" w:sz="6" w:space="1" w:color="auto"/>
      </w:pBdr>
      <w:spacing w:after="0" w:line="240" w:lineRule="auto"/>
      <w:jc w:val="center"/>
    </w:pPr>
    <w:rPr>
      <w:rFonts w:ascii="Arial" w:eastAsia="Times New Roman" w:hAnsi="Arial" w:cs="Arial"/>
      <w:vanish/>
      <w:kern w:val="0"/>
      <w:sz w:val="16"/>
      <w:szCs w:val="16"/>
      <w14:ligatures w14:val="none"/>
    </w:rPr>
  </w:style>
  <w:style w:type="character" w:customStyle="1" w:styleId="z-TopofFormChar">
    <w:name w:val="z-Top of Form Char"/>
    <w:basedOn w:val="DefaultParagraphFont"/>
    <w:link w:val="z-TopofForm"/>
    <w:uiPriority w:val="99"/>
    <w:semiHidden/>
    <w:rsid w:val="00D22235"/>
    <w:rPr>
      <w:rFonts w:ascii="Arial" w:eastAsia="Times New Roman" w:hAnsi="Arial" w:cs="Arial"/>
      <w:vanish/>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4199030">
      <w:bodyDiv w:val="1"/>
      <w:marLeft w:val="0"/>
      <w:marRight w:val="0"/>
      <w:marTop w:val="0"/>
      <w:marBottom w:val="0"/>
      <w:divBdr>
        <w:top w:val="none" w:sz="0" w:space="0" w:color="auto"/>
        <w:left w:val="none" w:sz="0" w:space="0" w:color="auto"/>
        <w:bottom w:val="none" w:sz="0" w:space="0" w:color="auto"/>
        <w:right w:val="none" w:sz="0" w:space="0" w:color="auto"/>
      </w:divBdr>
    </w:div>
    <w:div w:id="521943230">
      <w:bodyDiv w:val="1"/>
      <w:marLeft w:val="0"/>
      <w:marRight w:val="0"/>
      <w:marTop w:val="0"/>
      <w:marBottom w:val="0"/>
      <w:divBdr>
        <w:top w:val="none" w:sz="0" w:space="0" w:color="auto"/>
        <w:left w:val="none" w:sz="0" w:space="0" w:color="auto"/>
        <w:bottom w:val="none" w:sz="0" w:space="0" w:color="auto"/>
        <w:right w:val="none" w:sz="0" w:space="0" w:color="auto"/>
      </w:divBdr>
    </w:div>
    <w:div w:id="828254152">
      <w:bodyDiv w:val="1"/>
      <w:marLeft w:val="0"/>
      <w:marRight w:val="0"/>
      <w:marTop w:val="0"/>
      <w:marBottom w:val="0"/>
      <w:divBdr>
        <w:top w:val="none" w:sz="0" w:space="0" w:color="auto"/>
        <w:left w:val="none" w:sz="0" w:space="0" w:color="auto"/>
        <w:bottom w:val="none" w:sz="0" w:space="0" w:color="auto"/>
        <w:right w:val="none" w:sz="0" w:space="0" w:color="auto"/>
      </w:divBdr>
    </w:div>
    <w:div w:id="1020660868">
      <w:bodyDiv w:val="1"/>
      <w:marLeft w:val="0"/>
      <w:marRight w:val="0"/>
      <w:marTop w:val="0"/>
      <w:marBottom w:val="0"/>
      <w:divBdr>
        <w:top w:val="none" w:sz="0" w:space="0" w:color="auto"/>
        <w:left w:val="none" w:sz="0" w:space="0" w:color="auto"/>
        <w:bottom w:val="none" w:sz="0" w:space="0" w:color="auto"/>
        <w:right w:val="none" w:sz="0" w:space="0" w:color="auto"/>
      </w:divBdr>
    </w:div>
    <w:div w:id="1209030766">
      <w:bodyDiv w:val="1"/>
      <w:marLeft w:val="0"/>
      <w:marRight w:val="0"/>
      <w:marTop w:val="0"/>
      <w:marBottom w:val="0"/>
      <w:divBdr>
        <w:top w:val="none" w:sz="0" w:space="0" w:color="auto"/>
        <w:left w:val="none" w:sz="0" w:space="0" w:color="auto"/>
        <w:bottom w:val="none" w:sz="0" w:space="0" w:color="auto"/>
        <w:right w:val="none" w:sz="0" w:space="0" w:color="auto"/>
      </w:divBdr>
    </w:div>
    <w:div w:id="1408382988">
      <w:bodyDiv w:val="1"/>
      <w:marLeft w:val="0"/>
      <w:marRight w:val="0"/>
      <w:marTop w:val="0"/>
      <w:marBottom w:val="0"/>
      <w:divBdr>
        <w:top w:val="none" w:sz="0" w:space="0" w:color="auto"/>
        <w:left w:val="none" w:sz="0" w:space="0" w:color="auto"/>
        <w:bottom w:val="none" w:sz="0" w:space="0" w:color="auto"/>
        <w:right w:val="none" w:sz="0" w:space="0" w:color="auto"/>
      </w:divBdr>
      <w:divsChild>
        <w:div w:id="1110474286">
          <w:marLeft w:val="0"/>
          <w:marRight w:val="0"/>
          <w:marTop w:val="0"/>
          <w:marBottom w:val="0"/>
          <w:divBdr>
            <w:top w:val="single" w:sz="2" w:space="0" w:color="D9D9E3"/>
            <w:left w:val="single" w:sz="2" w:space="0" w:color="D9D9E3"/>
            <w:bottom w:val="single" w:sz="2" w:space="0" w:color="D9D9E3"/>
            <w:right w:val="single" w:sz="2" w:space="0" w:color="D9D9E3"/>
          </w:divBdr>
          <w:divsChild>
            <w:div w:id="116070707">
              <w:marLeft w:val="0"/>
              <w:marRight w:val="0"/>
              <w:marTop w:val="0"/>
              <w:marBottom w:val="0"/>
              <w:divBdr>
                <w:top w:val="single" w:sz="2" w:space="0" w:color="D9D9E3"/>
                <w:left w:val="single" w:sz="2" w:space="0" w:color="D9D9E3"/>
                <w:bottom w:val="single" w:sz="2" w:space="0" w:color="D9D9E3"/>
                <w:right w:val="single" w:sz="2" w:space="0" w:color="D9D9E3"/>
              </w:divBdr>
              <w:divsChild>
                <w:div w:id="623728960">
                  <w:marLeft w:val="0"/>
                  <w:marRight w:val="0"/>
                  <w:marTop w:val="0"/>
                  <w:marBottom w:val="0"/>
                  <w:divBdr>
                    <w:top w:val="single" w:sz="2" w:space="0" w:color="D9D9E3"/>
                    <w:left w:val="single" w:sz="2" w:space="0" w:color="D9D9E3"/>
                    <w:bottom w:val="single" w:sz="2" w:space="0" w:color="D9D9E3"/>
                    <w:right w:val="single" w:sz="2" w:space="0" w:color="D9D9E3"/>
                  </w:divBdr>
                  <w:divsChild>
                    <w:div w:id="68426501">
                      <w:marLeft w:val="0"/>
                      <w:marRight w:val="0"/>
                      <w:marTop w:val="0"/>
                      <w:marBottom w:val="0"/>
                      <w:divBdr>
                        <w:top w:val="single" w:sz="2" w:space="0" w:color="D9D9E3"/>
                        <w:left w:val="single" w:sz="2" w:space="0" w:color="D9D9E3"/>
                        <w:bottom w:val="single" w:sz="2" w:space="0" w:color="D9D9E3"/>
                        <w:right w:val="single" w:sz="2" w:space="0" w:color="D9D9E3"/>
                      </w:divBdr>
                      <w:divsChild>
                        <w:div w:id="506359576">
                          <w:marLeft w:val="0"/>
                          <w:marRight w:val="0"/>
                          <w:marTop w:val="0"/>
                          <w:marBottom w:val="0"/>
                          <w:divBdr>
                            <w:top w:val="single" w:sz="2" w:space="0" w:color="D9D9E3"/>
                            <w:left w:val="single" w:sz="2" w:space="0" w:color="D9D9E3"/>
                            <w:bottom w:val="single" w:sz="2" w:space="0" w:color="D9D9E3"/>
                            <w:right w:val="single" w:sz="2" w:space="0" w:color="D9D9E3"/>
                          </w:divBdr>
                          <w:divsChild>
                            <w:div w:id="12695845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83520708">
                                  <w:marLeft w:val="0"/>
                                  <w:marRight w:val="0"/>
                                  <w:marTop w:val="0"/>
                                  <w:marBottom w:val="0"/>
                                  <w:divBdr>
                                    <w:top w:val="single" w:sz="2" w:space="0" w:color="D9D9E3"/>
                                    <w:left w:val="single" w:sz="2" w:space="0" w:color="D9D9E3"/>
                                    <w:bottom w:val="single" w:sz="2" w:space="0" w:color="D9D9E3"/>
                                    <w:right w:val="single" w:sz="2" w:space="0" w:color="D9D9E3"/>
                                  </w:divBdr>
                                  <w:divsChild>
                                    <w:div w:id="286861870">
                                      <w:marLeft w:val="0"/>
                                      <w:marRight w:val="0"/>
                                      <w:marTop w:val="0"/>
                                      <w:marBottom w:val="0"/>
                                      <w:divBdr>
                                        <w:top w:val="single" w:sz="2" w:space="0" w:color="D9D9E3"/>
                                        <w:left w:val="single" w:sz="2" w:space="0" w:color="D9D9E3"/>
                                        <w:bottom w:val="single" w:sz="2" w:space="0" w:color="D9D9E3"/>
                                        <w:right w:val="single" w:sz="2" w:space="0" w:color="D9D9E3"/>
                                      </w:divBdr>
                                      <w:divsChild>
                                        <w:div w:id="762647941">
                                          <w:marLeft w:val="0"/>
                                          <w:marRight w:val="0"/>
                                          <w:marTop w:val="0"/>
                                          <w:marBottom w:val="0"/>
                                          <w:divBdr>
                                            <w:top w:val="single" w:sz="2" w:space="0" w:color="D9D9E3"/>
                                            <w:left w:val="single" w:sz="2" w:space="0" w:color="D9D9E3"/>
                                            <w:bottom w:val="single" w:sz="2" w:space="0" w:color="D9D9E3"/>
                                            <w:right w:val="single" w:sz="2" w:space="0" w:color="D9D9E3"/>
                                          </w:divBdr>
                                          <w:divsChild>
                                            <w:div w:id="1817604552">
                                              <w:marLeft w:val="0"/>
                                              <w:marRight w:val="0"/>
                                              <w:marTop w:val="0"/>
                                              <w:marBottom w:val="0"/>
                                              <w:divBdr>
                                                <w:top w:val="single" w:sz="2" w:space="0" w:color="D9D9E3"/>
                                                <w:left w:val="single" w:sz="2" w:space="0" w:color="D9D9E3"/>
                                                <w:bottom w:val="single" w:sz="2" w:space="0" w:color="D9D9E3"/>
                                                <w:right w:val="single" w:sz="2" w:space="0" w:color="D9D9E3"/>
                                              </w:divBdr>
                                              <w:divsChild>
                                                <w:div w:id="2115052452">
                                                  <w:marLeft w:val="0"/>
                                                  <w:marRight w:val="0"/>
                                                  <w:marTop w:val="0"/>
                                                  <w:marBottom w:val="0"/>
                                                  <w:divBdr>
                                                    <w:top w:val="single" w:sz="2" w:space="0" w:color="D9D9E3"/>
                                                    <w:left w:val="single" w:sz="2" w:space="0" w:color="D9D9E3"/>
                                                    <w:bottom w:val="single" w:sz="2" w:space="0" w:color="D9D9E3"/>
                                                    <w:right w:val="single" w:sz="2" w:space="0" w:color="D9D9E3"/>
                                                  </w:divBdr>
                                                  <w:divsChild>
                                                    <w:div w:id="7703229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885524593">
          <w:marLeft w:val="0"/>
          <w:marRight w:val="0"/>
          <w:marTop w:val="0"/>
          <w:marBottom w:val="0"/>
          <w:divBdr>
            <w:top w:val="none" w:sz="0" w:space="0" w:color="auto"/>
            <w:left w:val="none" w:sz="0" w:space="0" w:color="auto"/>
            <w:bottom w:val="none" w:sz="0" w:space="0" w:color="auto"/>
            <w:right w:val="none" w:sz="0" w:space="0" w:color="auto"/>
          </w:divBdr>
        </w:div>
      </w:divsChild>
    </w:div>
    <w:div w:id="1416586405">
      <w:bodyDiv w:val="1"/>
      <w:marLeft w:val="0"/>
      <w:marRight w:val="0"/>
      <w:marTop w:val="0"/>
      <w:marBottom w:val="0"/>
      <w:divBdr>
        <w:top w:val="none" w:sz="0" w:space="0" w:color="auto"/>
        <w:left w:val="none" w:sz="0" w:space="0" w:color="auto"/>
        <w:bottom w:val="none" w:sz="0" w:space="0" w:color="auto"/>
        <w:right w:val="none" w:sz="0" w:space="0" w:color="auto"/>
      </w:divBdr>
    </w:div>
    <w:div w:id="1682584700">
      <w:bodyDiv w:val="1"/>
      <w:marLeft w:val="0"/>
      <w:marRight w:val="0"/>
      <w:marTop w:val="0"/>
      <w:marBottom w:val="0"/>
      <w:divBdr>
        <w:top w:val="none" w:sz="0" w:space="0" w:color="auto"/>
        <w:left w:val="none" w:sz="0" w:space="0" w:color="auto"/>
        <w:bottom w:val="none" w:sz="0" w:space="0" w:color="auto"/>
        <w:right w:val="none" w:sz="0" w:space="0" w:color="auto"/>
      </w:divBdr>
    </w:div>
    <w:div w:id="1693721376">
      <w:bodyDiv w:val="1"/>
      <w:marLeft w:val="0"/>
      <w:marRight w:val="0"/>
      <w:marTop w:val="0"/>
      <w:marBottom w:val="0"/>
      <w:divBdr>
        <w:top w:val="none" w:sz="0" w:space="0" w:color="auto"/>
        <w:left w:val="none" w:sz="0" w:space="0" w:color="auto"/>
        <w:bottom w:val="none" w:sz="0" w:space="0" w:color="auto"/>
        <w:right w:val="none" w:sz="0" w:space="0" w:color="auto"/>
      </w:divBdr>
    </w:div>
    <w:div w:id="1710957971">
      <w:bodyDiv w:val="1"/>
      <w:marLeft w:val="0"/>
      <w:marRight w:val="0"/>
      <w:marTop w:val="0"/>
      <w:marBottom w:val="0"/>
      <w:divBdr>
        <w:top w:val="none" w:sz="0" w:space="0" w:color="auto"/>
        <w:left w:val="none" w:sz="0" w:space="0" w:color="auto"/>
        <w:bottom w:val="none" w:sz="0" w:space="0" w:color="auto"/>
        <w:right w:val="none" w:sz="0" w:space="0" w:color="auto"/>
      </w:divBdr>
    </w:div>
    <w:div w:id="2027175491">
      <w:bodyDiv w:val="1"/>
      <w:marLeft w:val="0"/>
      <w:marRight w:val="0"/>
      <w:marTop w:val="0"/>
      <w:marBottom w:val="0"/>
      <w:divBdr>
        <w:top w:val="none" w:sz="0" w:space="0" w:color="auto"/>
        <w:left w:val="none" w:sz="0" w:space="0" w:color="auto"/>
        <w:bottom w:val="none" w:sz="0" w:space="0" w:color="auto"/>
        <w:right w:val="none" w:sz="0" w:space="0" w:color="auto"/>
      </w:divBdr>
      <w:divsChild>
        <w:div w:id="1960061509">
          <w:marLeft w:val="0"/>
          <w:marRight w:val="0"/>
          <w:marTop w:val="0"/>
          <w:marBottom w:val="0"/>
          <w:divBdr>
            <w:top w:val="single" w:sz="2" w:space="0" w:color="D9D9E3"/>
            <w:left w:val="single" w:sz="2" w:space="0" w:color="D9D9E3"/>
            <w:bottom w:val="single" w:sz="2" w:space="0" w:color="D9D9E3"/>
            <w:right w:val="single" w:sz="2" w:space="0" w:color="D9D9E3"/>
          </w:divBdr>
          <w:divsChild>
            <w:div w:id="1106196624">
              <w:marLeft w:val="0"/>
              <w:marRight w:val="0"/>
              <w:marTop w:val="0"/>
              <w:marBottom w:val="0"/>
              <w:divBdr>
                <w:top w:val="single" w:sz="2" w:space="0" w:color="D9D9E3"/>
                <w:left w:val="single" w:sz="2" w:space="0" w:color="D9D9E3"/>
                <w:bottom w:val="single" w:sz="2" w:space="0" w:color="D9D9E3"/>
                <w:right w:val="single" w:sz="2" w:space="0" w:color="D9D9E3"/>
              </w:divBdr>
              <w:divsChild>
                <w:div w:id="611787470">
                  <w:marLeft w:val="0"/>
                  <w:marRight w:val="0"/>
                  <w:marTop w:val="0"/>
                  <w:marBottom w:val="0"/>
                  <w:divBdr>
                    <w:top w:val="single" w:sz="2" w:space="0" w:color="D9D9E3"/>
                    <w:left w:val="single" w:sz="2" w:space="0" w:color="D9D9E3"/>
                    <w:bottom w:val="single" w:sz="2" w:space="0" w:color="D9D9E3"/>
                    <w:right w:val="single" w:sz="2" w:space="0" w:color="D9D9E3"/>
                  </w:divBdr>
                  <w:divsChild>
                    <w:div w:id="1717463458">
                      <w:marLeft w:val="0"/>
                      <w:marRight w:val="0"/>
                      <w:marTop w:val="0"/>
                      <w:marBottom w:val="0"/>
                      <w:divBdr>
                        <w:top w:val="single" w:sz="2" w:space="0" w:color="D9D9E3"/>
                        <w:left w:val="single" w:sz="2" w:space="0" w:color="D9D9E3"/>
                        <w:bottom w:val="single" w:sz="2" w:space="0" w:color="D9D9E3"/>
                        <w:right w:val="single" w:sz="2" w:space="0" w:color="D9D9E3"/>
                      </w:divBdr>
                      <w:divsChild>
                        <w:div w:id="1211262295">
                          <w:marLeft w:val="0"/>
                          <w:marRight w:val="0"/>
                          <w:marTop w:val="0"/>
                          <w:marBottom w:val="0"/>
                          <w:divBdr>
                            <w:top w:val="single" w:sz="2" w:space="0" w:color="D9D9E3"/>
                            <w:left w:val="single" w:sz="2" w:space="0" w:color="D9D9E3"/>
                            <w:bottom w:val="single" w:sz="2" w:space="0" w:color="D9D9E3"/>
                            <w:right w:val="single" w:sz="2" w:space="0" w:color="D9D9E3"/>
                          </w:divBdr>
                          <w:divsChild>
                            <w:div w:id="1495756663">
                              <w:marLeft w:val="0"/>
                              <w:marRight w:val="0"/>
                              <w:marTop w:val="100"/>
                              <w:marBottom w:val="100"/>
                              <w:divBdr>
                                <w:top w:val="single" w:sz="2" w:space="0" w:color="D9D9E3"/>
                                <w:left w:val="single" w:sz="2" w:space="0" w:color="D9D9E3"/>
                                <w:bottom w:val="single" w:sz="2" w:space="0" w:color="D9D9E3"/>
                                <w:right w:val="single" w:sz="2" w:space="0" w:color="D9D9E3"/>
                              </w:divBdr>
                              <w:divsChild>
                                <w:div w:id="2020086180">
                                  <w:marLeft w:val="0"/>
                                  <w:marRight w:val="0"/>
                                  <w:marTop w:val="0"/>
                                  <w:marBottom w:val="0"/>
                                  <w:divBdr>
                                    <w:top w:val="single" w:sz="2" w:space="0" w:color="D9D9E3"/>
                                    <w:left w:val="single" w:sz="2" w:space="0" w:color="D9D9E3"/>
                                    <w:bottom w:val="single" w:sz="2" w:space="0" w:color="D9D9E3"/>
                                    <w:right w:val="single" w:sz="2" w:space="0" w:color="D9D9E3"/>
                                  </w:divBdr>
                                  <w:divsChild>
                                    <w:div w:id="1983383699">
                                      <w:marLeft w:val="0"/>
                                      <w:marRight w:val="0"/>
                                      <w:marTop w:val="0"/>
                                      <w:marBottom w:val="0"/>
                                      <w:divBdr>
                                        <w:top w:val="single" w:sz="2" w:space="0" w:color="D9D9E3"/>
                                        <w:left w:val="single" w:sz="2" w:space="0" w:color="D9D9E3"/>
                                        <w:bottom w:val="single" w:sz="2" w:space="0" w:color="D9D9E3"/>
                                        <w:right w:val="single" w:sz="2" w:space="0" w:color="D9D9E3"/>
                                      </w:divBdr>
                                      <w:divsChild>
                                        <w:div w:id="527379899">
                                          <w:marLeft w:val="0"/>
                                          <w:marRight w:val="0"/>
                                          <w:marTop w:val="0"/>
                                          <w:marBottom w:val="0"/>
                                          <w:divBdr>
                                            <w:top w:val="single" w:sz="2" w:space="0" w:color="D9D9E3"/>
                                            <w:left w:val="single" w:sz="2" w:space="0" w:color="D9D9E3"/>
                                            <w:bottom w:val="single" w:sz="2" w:space="0" w:color="D9D9E3"/>
                                            <w:right w:val="single" w:sz="2" w:space="0" w:color="D9D9E3"/>
                                          </w:divBdr>
                                          <w:divsChild>
                                            <w:div w:id="1618102718">
                                              <w:marLeft w:val="0"/>
                                              <w:marRight w:val="0"/>
                                              <w:marTop w:val="0"/>
                                              <w:marBottom w:val="0"/>
                                              <w:divBdr>
                                                <w:top w:val="single" w:sz="2" w:space="0" w:color="D9D9E3"/>
                                                <w:left w:val="single" w:sz="2" w:space="0" w:color="D9D9E3"/>
                                                <w:bottom w:val="single" w:sz="2" w:space="0" w:color="D9D9E3"/>
                                                <w:right w:val="single" w:sz="2" w:space="0" w:color="D9D9E3"/>
                                              </w:divBdr>
                                              <w:divsChild>
                                                <w:div w:id="1770659064">
                                                  <w:marLeft w:val="0"/>
                                                  <w:marRight w:val="0"/>
                                                  <w:marTop w:val="0"/>
                                                  <w:marBottom w:val="0"/>
                                                  <w:divBdr>
                                                    <w:top w:val="single" w:sz="2" w:space="0" w:color="D9D9E3"/>
                                                    <w:left w:val="single" w:sz="2" w:space="0" w:color="D9D9E3"/>
                                                    <w:bottom w:val="single" w:sz="2" w:space="0" w:color="D9D9E3"/>
                                                    <w:right w:val="single" w:sz="2" w:space="0" w:color="D9D9E3"/>
                                                  </w:divBdr>
                                                  <w:divsChild>
                                                    <w:div w:id="8881481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30074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4D652B-8308-4C32-8AC5-BE051F4322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7</Pages>
  <Words>2020</Words>
  <Characters>11516</Characters>
  <Application>Microsoft Office Word</Application>
  <DocSecurity>0</DocSecurity>
  <Lines>95</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Hanah Philip</dc:creator>
  <cp:keywords/>
  <dc:description/>
  <cp:lastModifiedBy>Hanah Philip</cp:lastModifiedBy>
  <cp:revision>2</cp:revision>
  <dcterms:created xsi:type="dcterms:W3CDTF">2023-12-25T17:25:00Z</dcterms:created>
  <dcterms:modified xsi:type="dcterms:W3CDTF">2023-12-25T17:25:00Z</dcterms:modified>
</cp:coreProperties>
</file>