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45E2" w:rsidRDefault="006F62D2" w:rsidP="006F62D2">
      <w:pPr>
        <w:spacing w:line="360" w:lineRule="auto"/>
        <w:jc w:val="center"/>
        <w:rPr>
          <w:rFonts w:ascii="Times New Roman" w:hAnsi="Times New Roman" w:cs="Times New Roman"/>
          <w:b/>
          <w:sz w:val="24"/>
          <w:szCs w:val="24"/>
          <w:u w:val="single"/>
          <w:lang w:val="en-IN"/>
        </w:rPr>
      </w:pPr>
      <w:r>
        <w:rPr>
          <w:rFonts w:ascii="Times New Roman" w:hAnsi="Times New Roman" w:cs="Times New Roman"/>
          <w:b/>
          <w:sz w:val="24"/>
          <w:szCs w:val="24"/>
          <w:u w:val="single"/>
          <w:lang w:val="en-IN"/>
        </w:rPr>
        <w:t>SAME SEX MARRIAGE:A GLOBAL PERSPECTIVE</w:t>
      </w:r>
    </w:p>
    <w:p w:rsidR="008E2C15" w:rsidRDefault="008E2C15" w:rsidP="006F62D2">
      <w:pPr>
        <w:spacing w:line="360" w:lineRule="auto"/>
        <w:jc w:val="center"/>
        <w:rPr>
          <w:rFonts w:ascii="Times New Roman" w:hAnsi="Times New Roman" w:cs="Times New Roman"/>
          <w:b/>
          <w:sz w:val="24"/>
          <w:szCs w:val="24"/>
          <w:lang w:val="en-IN"/>
        </w:rPr>
      </w:pPr>
      <w:r>
        <w:rPr>
          <w:rFonts w:ascii="Times New Roman" w:hAnsi="Times New Roman" w:cs="Times New Roman"/>
          <w:b/>
          <w:sz w:val="24"/>
          <w:szCs w:val="24"/>
          <w:lang w:val="en-IN"/>
        </w:rPr>
        <w:t>[ROHIT MISHRA-BBA</w:t>
      </w:r>
      <w:r w:rsidR="002C4114">
        <w:rPr>
          <w:rFonts w:ascii="Times New Roman" w:hAnsi="Times New Roman" w:cs="Times New Roman"/>
          <w:b/>
          <w:sz w:val="24"/>
          <w:szCs w:val="24"/>
          <w:lang w:val="en-IN"/>
        </w:rPr>
        <w:t>-</w:t>
      </w:r>
      <w:r>
        <w:rPr>
          <w:rFonts w:ascii="Times New Roman" w:hAnsi="Times New Roman" w:cs="Times New Roman"/>
          <w:b/>
          <w:sz w:val="24"/>
          <w:szCs w:val="24"/>
          <w:lang w:val="en-IN"/>
        </w:rPr>
        <w:t>LLB</w:t>
      </w:r>
      <w:r w:rsidR="002C4114">
        <w:rPr>
          <w:rFonts w:ascii="Times New Roman" w:hAnsi="Times New Roman" w:cs="Times New Roman"/>
          <w:b/>
          <w:sz w:val="24"/>
          <w:szCs w:val="24"/>
          <w:lang w:val="en-IN"/>
        </w:rPr>
        <w:t xml:space="preserve"> </w:t>
      </w:r>
      <w:r>
        <w:rPr>
          <w:rFonts w:ascii="Times New Roman" w:hAnsi="Times New Roman" w:cs="Times New Roman"/>
          <w:b/>
          <w:sz w:val="24"/>
          <w:szCs w:val="24"/>
          <w:lang w:val="en-IN"/>
        </w:rPr>
        <w:t>(HONS);</w:t>
      </w:r>
      <w:r w:rsidR="002C4114">
        <w:rPr>
          <w:rFonts w:ascii="Times New Roman" w:hAnsi="Times New Roman" w:cs="Times New Roman"/>
          <w:b/>
          <w:sz w:val="24"/>
          <w:szCs w:val="24"/>
          <w:lang w:val="en-IN"/>
        </w:rPr>
        <w:t xml:space="preserve"> </w:t>
      </w:r>
      <w:r>
        <w:rPr>
          <w:rFonts w:ascii="Times New Roman" w:hAnsi="Times New Roman" w:cs="Times New Roman"/>
          <w:b/>
          <w:sz w:val="24"/>
          <w:szCs w:val="24"/>
          <w:lang w:val="en-IN"/>
        </w:rPr>
        <w:t>5</w:t>
      </w:r>
      <w:r w:rsidRPr="008E2C15">
        <w:rPr>
          <w:rFonts w:ascii="Times New Roman" w:hAnsi="Times New Roman" w:cs="Times New Roman"/>
          <w:b/>
          <w:sz w:val="24"/>
          <w:szCs w:val="24"/>
          <w:vertAlign w:val="superscript"/>
          <w:lang w:val="en-IN"/>
        </w:rPr>
        <w:t>th</w:t>
      </w:r>
      <w:r>
        <w:rPr>
          <w:rFonts w:ascii="Times New Roman" w:hAnsi="Times New Roman" w:cs="Times New Roman"/>
          <w:b/>
          <w:sz w:val="24"/>
          <w:szCs w:val="24"/>
          <w:lang w:val="en-IN"/>
        </w:rPr>
        <w:t xml:space="preserve"> YEAR</w:t>
      </w:r>
    </w:p>
    <w:p w:rsidR="00B01E20" w:rsidRDefault="00B01E20" w:rsidP="006F62D2">
      <w:pPr>
        <w:spacing w:line="360" w:lineRule="auto"/>
        <w:jc w:val="center"/>
        <w:rPr>
          <w:rFonts w:ascii="Times New Roman" w:hAnsi="Times New Roman" w:cs="Times New Roman"/>
          <w:b/>
          <w:sz w:val="24"/>
          <w:szCs w:val="24"/>
          <w:lang w:val="en-IN"/>
        </w:rPr>
      </w:pPr>
      <w:r>
        <w:rPr>
          <w:rFonts w:ascii="Times New Roman" w:hAnsi="Times New Roman" w:cs="Times New Roman"/>
          <w:b/>
          <w:sz w:val="24"/>
          <w:szCs w:val="24"/>
          <w:lang w:val="en-IN"/>
        </w:rPr>
        <w:t>ICFAI UNIVERSITY DEHRADUN]</w:t>
      </w:r>
    </w:p>
    <w:p w:rsidR="002C4114" w:rsidRDefault="00A00D39" w:rsidP="008139AB">
      <w:pPr>
        <w:spacing w:line="360" w:lineRule="auto"/>
        <w:jc w:val="both"/>
        <w:rPr>
          <w:rFonts w:ascii="Times New Roman" w:hAnsi="Times New Roman" w:cs="Times New Roman"/>
          <w:sz w:val="24"/>
          <w:szCs w:val="24"/>
          <w:lang w:val="en-IN"/>
        </w:rPr>
      </w:pPr>
      <w:r>
        <w:rPr>
          <w:rFonts w:ascii="Times New Roman" w:hAnsi="Times New Roman" w:cs="Times New Roman"/>
          <w:sz w:val="24"/>
          <w:szCs w:val="24"/>
          <w:lang w:val="en-IN"/>
        </w:rPr>
        <w:t>Same sex marriage has been a topic of discussion from</w:t>
      </w:r>
      <w:r w:rsidR="00B8655D">
        <w:rPr>
          <w:rFonts w:ascii="Times New Roman" w:hAnsi="Times New Roman" w:cs="Times New Roman"/>
          <w:sz w:val="24"/>
          <w:szCs w:val="24"/>
          <w:lang w:val="en-IN"/>
        </w:rPr>
        <w:t xml:space="preserve"> a very long time and there is</w:t>
      </w:r>
      <w:r>
        <w:rPr>
          <w:rFonts w:ascii="Times New Roman" w:hAnsi="Times New Roman" w:cs="Times New Roman"/>
          <w:sz w:val="24"/>
          <w:szCs w:val="24"/>
          <w:lang w:val="en-IN"/>
        </w:rPr>
        <w:t xml:space="preserve"> to and fro debate,discussions and arguments which has been going on related to to this topic which moulded and shaped the attitude of the society,</w:t>
      </w:r>
      <w:r w:rsidR="00F4579C">
        <w:rPr>
          <w:rFonts w:ascii="Times New Roman" w:hAnsi="Times New Roman" w:cs="Times New Roman"/>
          <w:sz w:val="24"/>
          <w:szCs w:val="24"/>
          <w:lang w:val="en-IN"/>
        </w:rPr>
        <w:t xml:space="preserve"> </w:t>
      </w:r>
      <w:r>
        <w:rPr>
          <w:rFonts w:ascii="Times New Roman" w:hAnsi="Times New Roman" w:cs="Times New Roman"/>
          <w:sz w:val="24"/>
          <w:szCs w:val="24"/>
          <w:lang w:val="en-IN"/>
        </w:rPr>
        <w:t>time to time</w:t>
      </w:r>
      <w:r w:rsidR="008139AB">
        <w:rPr>
          <w:rFonts w:ascii="Times New Roman" w:hAnsi="Times New Roman" w:cs="Times New Roman"/>
          <w:sz w:val="24"/>
          <w:szCs w:val="24"/>
          <w:lang w:val="en-IN"/>
        </w:rPr>
        <w:t xml:space="preserve"> regarding rights of the LGBT</w:t>
      </w:r>
      <w:r w:rsidR="00F4579C">
        <w:rPr>
          <w:rFonts w:ascii="Times New Roman" w:hAnsi="Times New Roman" w:cs="Times New Roman"/>
          <w:sz w:val="24"/>
          <w:szCs w:val="24"/>
          <w:lang w:val="en-IN"/>
        </w:rPr>
        <w:t>QIA+</w:t>
      </w:r>
      <w:r w:rsidR="00F4579C">
        <w:rPr>
          <w:rStyle w:val="FootnoteReference"/>
          <w:rFonts w:ascii="Times New Roman" w:hAnsi="Times New Roman" w:cs="Times New Roman"/>
          <w:sz w:val="24"/>
          <w:szCs w:val="24"/>
          <w:lang w:val="en-IN"/>
        </w:rPr>
        <w:footnoteReference w:id="2"/>
      </w:r>
      <w:r w:rsidR="008139AB">
        <w:rPr>
          <w:rFonts w:ascii="Times New Roman" w:hAnsi="Times New Roman" w:cs="Times New Roman"/>
          <w:sz w:val="24"/>
          <w:szCs w:val="24"/>
          <w:lang w:val="en-IN"/>
        </w:rPr>
        <w:t xml:space="preserve"> community.</w:t>
      </w:r>
      <w:r w:rsidR="00D92DBD">
        <w:rPr>
          <w:rFonts w:ascii="Times New Roman" w:hAnsi="Times New Roman" w:cs="Times New Roman"/>
          <w:sz w:val="24"/>
          <w:szCs w:val="24"/>
          <w:lang w:val="en-IN"/>
        </w:rPr>
        <w:t xml:space="preserve"> However,</w:t>
      </w:r>
      <w:r w:rsidR="00747BAA">
        <w:rPr>
          <w:rFonts w:ascii="Times New Roman" w:hAnsi="Times New Roman" w:cs="Times New Roman"/>
          <w:sz w:val="24"/>
          <w:szCs w:val="24"/>
          <w:lang w:val="en-IN"/>
        </w:rPr>
        <w:t xml:space="preserve"> </w:t>
      </w:r>
      <w:r w:rsidR="00D92DBD">
        <w:rPr>
          <w:rFonts w:ascii="Times New Roman" w:hAnsi="Times New Roman" w:cs="Times New Roman"/>
          <w:sz w:val="24"/>
          <w:szCs w:val="24"/>
          <w:lang w:val="en-IN"/>
        </w:rPr>
        <w:t>eventhough recognition to the people belonging to LGBT community has been granted over time there are still differences which exists regarding the rights which are available to them and these differ from country to country.</w:t>
      </w:r>
    </w:p>
    <w:p w:rsidR="00747BAA" w:rsidRDefault="00747BAA" w:rsidP="008139AB">
      <w:pPr>
        <w:spacing w:line="360" w:lineRule="auto"/>
        <w:jc w:val="both"/>
        <w:rPr>
          <w:rFonts w:ascii="Times New Roman" w:hAnsi="Times New Roman" w:cs="Times New Roman"/>
          <w:sz w:val="24"/>
          <w:szCs w:val="24"/>
          <w:lang w:val="en-IN"/>
        </w:rPr>
      </w:pPr>
      <w:r>
        <w:rPr>
          <w:rFonts w:ascii="Times New Roman" w:hAnsi="Times New Roman" w:cs="Times New Roman"/>
          <w:sz w:val="24"/>
          <w:szCs w:val="24"/>
          <w:lang w:val="en-IN"/>
        </w:rPr>
        <w:t>This research article aims to exmaine the current status of same sex marriage</w:t>
      </w:r>
      <w:r w:rsidR="007C0BA9">
        <w:rPr>
          <w:rFonts w:ascii="Times New Roman" w:hAnsi="Times New Roman" w:cs="Times New Roman"/>
          <w:sz w:val="24"/>
          <w:szCs w:val="24"/>
          <w:lang w:val="en-IN"/>
        </w:rPr>
        <w:t xml:space="preserve"> from the global standpoint,</w:t>
      </w:r>
      <w:r w:rsidR="00E36BBB">
        <w:rPr>
          <w:rFonts w:ascii="Times New Roman" w:hAnsi="Times New Roman" w:cs="Times New Roman"/>
          <w:sz w:val="24"/>
          <w:szCs w:val="24"/>
          <w:lang w:val="en-IN"/>
        </w:rPr>
        <w:t xml:space="preserve"> </w:t>
      </w:r>
      <w:r w:rsidR="007C0BA9">
        <w:rPr>
          <w:rFonts w:ascii="Times New Roman" w:hAnsi="Times New Roman" w:cs="Times New Roman"/>
          <w:sz w:val="24"/>
          <w:szCs w:val="24"/>
          <w:lang w:val="en-IN"/>
        </w:rPr>
        <w:t>and analyzing and studying its various historical,</w:t>
      </w:r>
      <w:r w:rsidR="005D4E6D">
        <w:rPr>
          <w:rFonts w:ascii="Times New Roman" w:hAnsi="Times New Roman" w:cs="Times New Roman"/>
          <w:sz w:val="24"/>
          <w:szCs w:val="24"/>
          <w:lang w:val="en-IN"/>
        </w:rPr>
        <w:t xml:space="preserve"> </w:t>
      </w:r>
      <w:r w:rsidR="007C0BA9">
        <w:rPr>
          <w:rFonts w:ascii="Times New Roman" w:hAnsi="Times New Roman" w:cs="Times New Roman"/>
          <w:sz w:val="24"/>
          <w:szCs w:val="24"/>
          <w:lang w:val="en-IN"/>
        </w:rPr>
        <w:t>legal,</w:t>
      </w:r>
      <w:r w:rsidR="00E36BBB">
        <w:rPr>
          <w:rFonts w:ascii="Times New Roman" w:hAnsi="Times New Roman" w:cs="Times New Roman"/>
          <w:sz w:val="24"/>
          <w:szCs w:val="24"/>
          <w:lang w:val="en-IN"/>
        </w:rPr>
        <w:t xml:space="preserve"> </w:t>
      </w:r>
      <w:r w:rsidR="007C0BA9">
        <w:rPr>
          <w:rFonts w:ascii="Times New Roman" w:hAnsi="Times New Roman" w:cs="Times New Roman"/>
          <w:sz w:val="24"/>
          <w:szCs w:val="24"/>
          <w:lang w:val="en-IN"/>
        </w:rPr>
        <w:t>political perspectives which leaded</w:t>
      </w:r>
      <w:r w:rsidR="00B8655D">
        <w:rPr>
          <w:rFonts w:ascii="Times New Roman" w:hAnsi="Times New Roman" w:cs="Times New Roman"/>
          <w:sz w:val="24"/>
          <w:szCs w:val="24"/>
          <w:lang w:val="en-IN"/>
        </w:rPr>
        <w:t xml:space="preserve"> to its acceptance or rejection across the globe.</w:t>
      </w:r>
    </w:p>
    <w:p w:rsidR="005D4E6D" w:rsidRDefault="005D4E6D" w:rsidP="005D4E6D">
      <w:pPr>
        <w:spacing w:line="360" w:lineRule="auto"/>
        <w:jc w:val="center"/>
        <w:rPr>
          <w:rFonts w:ascii="Times New Roman" w:hAnsi="Times New Roman" w:cs="Times New Roman"/>
          <w:b/>
          <w:sz w:val="24"/>
          <w:szCs w:val="24"/>
          <w:u w:val="single"/>
          <w:lang w:val="en-IN"/>
        </w:rPr>
      </w:pPr>
      <w:r>
        <w:rPr>
          <w:rFonts w:ascii="Times New Roman" w:hAnsi="Times New Roman" w:cs="Times New Roman"/>
          <w:b/>
          <w:sz w:val="24"/>
          <w:szCs w:val="24"/>
          <w:u w:val="single"/>
          <w:lang w:val="en-IN"/>
        </w:rPr>
        <w:t>INTRODUCTION</w:t>
      </w:r>
    </w:p>
    <w:p w:rsidR="00477C90" w:rsidRDefault="001825CE" w:rsidP="00477C90">
      <w:pPr>
        <w:spacing w:line="360" w:lineRule="auto"/>
        <w:jc w:val="both"/>
        <w:rPr>
          <w:rFonts w:ascii="Times New Roman" w:hAnsi="Times New Roman" w:cs="Times New Roman"/>
          <w:sz w:val="24"/>
          <w:szCs w:val="24"/>
          <w:lang w:val="en-IN"/>
        </w:rPr>
      </w:pPr>
      <w:r>
        <w:rPr>
          <w:rFonts w:ascii="Times New Roman" w:hAnsi="Times New Roman" w:cs="Times New Roman"/>
          <w:sz w:val="24"/>
          <w:szCs w:val="24"/>
          <w:lang w:val="en-IN"/>
        </w:rPr>
        <w:t xml:space="preserve">Same sex marriage in common paralance means marriage between two people who belong to same sex.Till 2023, there are in total 34 countries namely, </w:t>
      </w:r>
      <w:r w:rsidRPr="001825CE">
        <w:rPr>
          <w:rFonts w:ascii="Times New Roman" w:hAnsi="Times New Roman" w:cs="Times New Roman"/>
          <w:sz w:val="24"/>
          <w:szCs w:val="24"/>
          <w:lang w:val="en-IN"/>
        </w:rPr>
        <w:t>Andorra, Argentina, Australia, Austria, Belgium, Brazil, Canada, Chile, Colombia, Costa Rica, Cuba, Denmark, Ecuador, Finland, France, Germany, Iceland, Ireland</w:t>
      </w:r>
      <w:r w:rsidR="00A9659D">
        <w:rPr>
          <w:rFonts w:ascii="Times New Roman" w:hAnsi="Times New Roman" w:cs="Times New Roman"/>
          <w:sz w:val="24"/>
          <w:szCs w:val="24"/>
          <w:lang w:val="en-IN"/>
        </w:rPr>
        <w:t>, Luxembourg, Malta, Mexico,</w:t>
      </w:r>
      <w:r w:rsidRPr="001825CE">
        <w:rPr>
          <w:rFonts w:ascii="Times New Roman" w:hAnsi="Times New Roman" w:cs="Times New Roman"/>
          <w:sz w:val="24"/>
          <w:szCs w:val="24"/>
          <w:lang w:val="en-IN"/>
        </w:rPr>
        <w:t xml:space="preserve"> Netherlands, New Zealand, Norway, Portugal, Slovenia, South Africa, Spain, </w:t>
      </w:r>
      <w:r w:rsidR="00A9659D">
        <w:rPr>
          <w:rFonts w:ascii="Times New Roman" w:hAnsi="Times New Roman" w:cs="Times New Roman"/>
          <w:sz w:val="24"/>
          <w:szCs w:val="24"/>
          <w:lang w:val="en-IN"/>
        </w:rPr>
        <w:t>Sweden, Switzerland, Taiwan,</w:t>
      </w:r>
      <w:r w:rsidRPr="001825CE">
        <w:rPr>
          <w:rFonts w:ascii="Times New Roman" w:hAnsi="Times New Roman" w:cs="Times New Roman"/>
          <w:sz w:val="24"/>
          <w:szCs w:val="24"/>
          <w:lang w:val="en-IN"/>
        </w:rPr>
        <w:t xml:space="preserve"> United Kingdom, the United States of America and Uruguay</w:t>
      </w:r>
      <w:r w:rsidR="00A9659D">
        <w:rPr>
          <w:rFonts w:ascii="Times New Roman" w:hAnsi="Times New Roman" w:cs="Times New Roman"/>
          <w:sz w:val="24"/>
          <w:szCs w:val="24"/>
          <w:lang w:val="en-IN"/>
        </w:rPr>
        <w:t xml:space="preserve"> which has given legal recognition to same sex marriage.</w:t>
      </w:r>
      <w:r w:rsidR="00B6654E">
        <w:rPr>
          <w:rFonts w:ascii="Times New Roman" w:hAnsi="Times New Roman" w:cs="Times New Roman"/>
          <w:sz w:val="24"/>
          <w:szCs w:val="24"/>
          <w:lang w:val="en-IN"/>
        </w:rPr>
        <w:t xml:space="preserve"> This list also includes Estonia whose parliament passed a legislation approving same sex marriage on 20</w:t>
      </w:r>
      <w:r w:rsidR="00B6654E" w:rsidRPr="00B6654E">
        <w:rPr>
          <w:rFonts w:ascii="Times New Roman" w:hAnsi="Times New Roman" w:cs="Times New Roman"/>
          <w:sz w:val="24"/>
          <w:szCs w:val="24"/>
          <w:vertAlign w:val="superscript"/>
          <w:lang w:val="en-IN"/>
        </w:rPr>
        <w:t>th</w:t>
      </w:r>
      <w:r w:rsidR="00B6654E">
        <w:rPr>
          <w:rFonts w:ascii="Times New Roman" w:hAnsi="Times New Roman" w:cs="Times New Roman"/>
          <w:sz w:val="24"/>
          <w:szCs w:val="24"/>
          <w:lang w:val="en-IN"/>
        </w:rPr>
        <w:t xml:space="preserve"> June 2023 which will be effective from 1</w:t>
      </w:r>
      <w:r w:rsidR="00B6654E" w:rsidRPr="00B6654E">
        <w:rPr>
          <w:rFonts w:ascii="Times New Roman" w:hAnsi="Times New Roman" w:cs="Times New Roman"/>
          <w:sz w:val="24"/>
          <w:szCs w:val="24"/>
          <w:vertAlign w:val="superscript"/>
          <w:lang w:val="en-IN"/>
        </w:rPr>
        <w:t>st</w:t>
      </w:r>
      <w:r w:rsidR="00B6654E">
        <w:rPr>
          <w:rFonts w:ascii="Times New Roman" w:hAnsi="Times New Roman" w:cs="Times New Roman"/>
          <w:sz w:val="24"/>
          <w:szCs w:val="24"/>
          <w:lang w:val="en-IN"/>
        </w:rPr>
        <w:t xml:space="preserve"> January 2024.</w:t>
      </w:r>
      <w:r w:rsidR="0096278B">
        <w:rPr>
          <w:rFonts w:ascii="Times New Roman" w:hAnsi="Times New Roman" w:cs="Times New Roman"/>
          <w:sz w:val="24"/>
          <w:szCs w:val="24"/>
          <w:lang w:val="en-IN"/>
        </w:rPr>
        <w:t xml:space="preserve"> However among all places there are five countries where recognition to same sex marriage has not been granted yet, namely Czech Republic, Japan, Phillippines, Thailand and India.</w:t>
      </w:r>
      <w:r w:rsidR="0080656B">
        <w:rPr>
          <w:rFonts w:ascii="Times New Roman" w:hAnsi="Times New Roman" w:cs="Times New Roman"/>
          <w:sz w:val="24"/>
          <w:szCs w:val="24"/>
          <w:lang w:val="en-IN"/>
        </w:rPr>
        <w:t>However the road which lead to recognition was full of hardships which were faced by the advocates who were in favour of same sex marriage as those 34 countries legalized same sex marriage after many campaigns and protests by the LGBT community.</w:t>
      </w:r>
    </w:p>
    <w:p w:rsidR="003A0C53" w:rsidRDefault="003A0C53" w:rsidP="003A0C53">
      <w:pPr>
        <w:spacing w:line="360" w:lineRule="auto"/>
        <w:jc w:val="center"/>
        <w:rPr>
          <w:rFonts w:ascii="Times New Roman" w:hAnsi="Times New Roman" w:cs="Times New Roman"/>
          <w:b/>
          <w:sz w:val="24"/>
          <w:szCs w:val="24"/>
          <w:u w:val="single"/>
          <w:lang w:val="en-IN"/>
        </w:rPr>
      </w:pPr>
      <w:r>
        <w:rPr>
          <w:rFonts w:ascii="Times New Roman" w:hAnsi="Times New Roman" w:cs="Times New Roman"/>
          <w:b/>
          <w:sz w:val="24"/>
          <w:szCs w:val="24"/>
          <w:u w:val="single"/>
          <w:lang w:val="en-IN"/>
        </w:rPr>
        <w:lastRenderedPageBreak/>
        <w:t>HISTORICAL BACKGROUND</w:t>
      </w:r>
    </w:p>
    <w:p w:rsidR="003A0C53" w:rsidRDefault="003A0C53" w:rsidP="003A0C53">
      <w:pPr>
        <w:spacing w:line="360" w:lineRule="auto"/>
        <w:jc w:val="both"/>
        <w:rPr>
          <w:rFonts w:ascii="Times New Roman" w:hAnsi="Times New Roman" w:cs="Times New Roman"/>
          <w:sz w:val="24"/>
          <w:szCs w:val="24"/>
          <w:lang w:val="en-IN"/>
        </w:rPr>
      </w:pPr>
      <w:r>
        <w:rPr>
          <w:rFonts w:ascii="Times New Roman" w:hAnsi="Times New Roman" w:cs="Times New Roman"/>
          <w:sz w:val="24"/>
          <w:szCs w:val="24"/>
          <w:lang w:val="en-IN"/>
        </w:rPr>
        <w:t>When we find and analyze the historical aspect of same sex marriage,it is seen that the historical aspect is quite complicated and complex which existed across different religions and cultures and varies significantly from society to socity with different attitudes and mindset of the society regarding same sex marriages.</w:t>
      </w:r>
    </w:p>
    <w:p w:rsidR="009444E3" w:rsidRDefault="007F02BC" w:rsidP="003A0C53">
      <w:pPr>
        <w:spacing w:line="360" w:lineRule="auto"/>
        <w:jc w:val="both"/>
        <w:rPr>
          <w:rFonts w:ascii="Times New Roman" w:hAnsi="Times New Roman" w:cs="Times New Roman"/>
          <w:sz w:val="24"/>
          <w:szCs w:val="24"/>
          <w:lang w:val="en-IN"/>
        </w:rPr>
      </w:pPr>
      <w:r>
        <w:rPr>
          <w:rFonts w:ascii="Times New Roman" w:hAnsi="Times New Roman" w:cs="Times New Roman"/>
          <w:sz w:val="24"/>
          <w:szCs w:val="24"/>
          <w:lang w:val="en-IN"/>
        </w:rPr>
        <w:t>In Ancient Civilizations,</w:t>
      </w:r>
      <w:r w:rsidR="004F5CF4">
        <w:rPr>
          <w:rFonts w:ascii="Times New Roman" w:hAnsi="Times New Roman" w:cs="Times New Roman"/>
          <w:sz w:val="24"/>
          <w:szCs w:val="24"/>
          <w:lang w:val="en-IN"/>
        </w:rPr>
        <w:t xml:space="preserve"> </w:t>
      </w:r>
      <w:r>
        <w:rPr>
          <w:rFonts w:ascii="Times New Roman" w:hAnsi="Times New Roman" w:cs="Times New Roman"/>
          <w:sz w:val="24"/>
          <w:szCs w:val="24"/>
          <w:lang w:val="en-IN"/>
        </w:rPr>
        <w:t>like Ancient Greece</w:t>
      </w:r>
      <w:r w:rsidR="004F5CF4">
        <w:rPr>
          <w:rFonts w:ascii="Times New Roman" w:hAnsi="Times New Roman" w:cs="Times New Roman"/>
          <w:sz w:val="24"/>
          <w:szCs w:val="24"/>
          <w:lang w:val="en-IN"/>
        </w:rPr>
        <w:t>,</w:t>
      </w:r>
      <w:r w:rsidR="000E36BC">
        <w:rPr>
          <w:rFonts w:ascii="Times New Roman" w:hAnsi="Times New Roman" w:cs="Times New Roman"/>
          <w:sz w:val="24"/>
          <w:szCs w:val="24"/>
          <w:lang w:val="en-IN"/>
        </w:rPr>
        <w:t xml:space="preserve"> </w:t>
      </w:r>
      <w:r w:rsidR="004F5CF4">
        <w:rPr>
          <w:rFonts w:ascii="Times New Roman" w:hAnsi="Times New Roman" w:cs="Times New Roman"/>
          <w:sz w:val="24"/>
          <w:szCs w:val="24"/>
          <w:lang w:val="en-IN"/>
        </w:rPr>
        <w:t>the concept of same sex relationships were part of their customs and norms of the society.Relationship between two man was looked upon with reverence as they were considered part of their social and educational mentorship.(eromenos  and erastes)</w:t>
      </w:r>
      <w:r w:rsidR="004F5CF4">
        <w:rPr>
          <w:rStyle w:val="FootnoteReference"/>
          <w:rFonts w:ascii="Times New Roman" w:hAnsi="Times New Roman" w:cs="Times New Roman"/>
          <w:sz w:val="24"/>
          <w:szCs w:val="24"/>
          <w:lang w:val="en-IN"/>
        </w:rPr>
        <w:footnoteReference w:id="3"/>
      </w:r>
      <w:r w:rsidR="004F5CF4">
        <w:rPr>
          <w:rFonts w:ascii="Times New Roman" w:hAnsi="Times New Roman" w:cs="Times New Roman"/>
          <w:sz w:val="24"/>
          <w:szCs w:val="24"/>
          <w:lang w:val="en-IN"/>
        </w:rPr>
        <w:t>.</w:t>
      </w:r>
      <w:r w:rsidR="008C26FC">
        <w:rPr>
          <w:rFonts w:ascii="Times New Roman" w:hAnsi="Times New Roman" w:cs="Times New Roman"/>
          <w:sz w:val="24"/>
          <w:szCs w:val="24"/>
          <w:lang w:val="en-IN"/>
        </w:rPr>
        <w:t>Same sex relationship,like Ancient Greece also existed in Ancient Rome</w:t>
      </w:r>
      <w:r w:rsidR="009C57BD">
        <w:rPr>
          <w:rFonts w:ascii="Times New Roman" w:hAnsi="Times New Roman" w:cs="Times New Roman"/>
          <w:sz w:val="24"/>
          <w:szCs w:val="24"/>
          <w:lang w:val="en-IN"/>
        </w:rPr>
        <w:t>.However during the time of Medival Europe same sex relationships were disregarded and in some of the cases was even criminalized with it’s punishment which ranged from fine to imprisonment and even death penalty was also imposed in certain scenarios.</w:t>
      </w:r>
    </w:p>
    <w:p w:rsidR="007F02BC" w:rsidRPr="003A0C53" w:rsidRDefault="009444E3" w:rsidP="003A0C53">
      <w:pPr>
        <w:spacing w:line="360" w:lineRule="auto"/>
        <w:jc w:val="both"/>
        <w:rPr>
          <w:rFonts w:ascii="Times New Roman" w:hAnsi="Times New Roman" w:cs="Times New Roman"/>
          <w:sz w:val="24"/>
          <w:szCs w:val="24"/>
          <w:lang w:val="en-IN"/>
        </w:rPr>
      </w:pPr>
      <w:r>
        <w:rPr>
          <w:rFonts w:ascii="Times New Roman" w:hAnsi="Times New Roman" w:cs="Times New Roman"/>
          <w:sz w:val="24"/>
          <w:szCs w:val="24"/>
          <w:lang w:val="en-IN"/>
        </w:rPr>
        <w:t>However things took a turn with with emergence of modern era, where 20</w:t>
      </w:r>
      <w:r w:rsidRPr="009444E3">
        <w:rPr>
          <w:rFonts w:ascii="Times New Roman" w:hAnsi="Times New Roman" w:cs="Times New Roman"/>
          <w:sz w:val="24"/>
          <w:szCs w:val="24"/>
          <w:vertAlign w:val="superscript"/>
          <w:lang w:val="en-IN"/>
        </w:rPr>
        <w:t>th</w:t>
      </w:r>
      <w:r>
        <w:rPr>
          <w:rFonts w:ascii="Times New Roman" w:hAnsi="Times New Roman" w:cs="Times New Roman"/>
          <w:sz w:val="24"/>
          <w:szCs w:val="24"/>
          <w:lang w:val="en-IN"/>
        </w:rPr>
        <w:t xml:space="preserve"> century witnessed various protests and movement regarding the recognition and legalization of the same sex relationships and marriages</w:t>
      </w:r>
      <w:r w:rsidR="00452B3E">
        <w:rPr>
          <w:rFonts w:ascii="Times New Roman" w:hAnsi="Times New Roman" w:cs="Times New Roman"/>
          <w:sz w:val="24"/>
          <w:szCs w:val="24"/>
          <w:lang w:val="en-IN"/>
        </w:rPr>
        <w:t xml:space="preserve">. At the same time,the legal and judical pronouncements </w:t>
      </w:r>
      <w:r w:rsidR="00244ED3">
        <w:rPr>
          <w:rFonts w:ascii="Times New Roman" w:hAnsi="Times New Roman" w:cs="Times New Roman"/>
          <w:sz w:val="24"/>
          <w:szCs w:val="24"/>
          <w:lang w:val="en-IN"/>
        </w:rPr>
        <w:t>by the courts legalizing same sex relationships and unions in most parts of the globe reflected a shift in the acceptance,at both the societal and legal levels,of same sex marriages.</w:t>
      </w:r>
    </w:p>
    <w:p w:rsidR="00477C90" w:rsidRDefault="00477C90" w:rsidP="00477C90">
      <w:pPr>
        <w:spacing w:line="360" w:lineRule="auto"/>
        <w:jc w:val="center"/>
        <w:rPr>
          <w:rFonts w:ascii="Times New Roman" w:hAnsi="Times New Roman" w:cs="Times New Roman"/>
          <w:b/>
          <w:sz w:val="24"/>
          <w:szCs w:val="24"/>
          <w:u w:val="single"/>
          <w:lang w:val="en-IN"/>
        </w:rPr>
      </w:pPr>
      <w:r>
        <w:rPr>
          <w:rFonts w:ascii="Times New Roman" w:hAnsi="Times New Roman" w:cs="Times New Roman"/>
          <w:b/>
          <w:sz w:val="24"/>
          <w:szCs w:val="24"/>
          <w:u w:val="single"/>
          <w:lang w:val="en-IN"/>
        </w:rPr>
        <w:t xml:space="preserve">CURRENT STATE OF SAME-SEX MARRIAGE </w:t>
      </w:r>
    </w:p>
    <w:p w:rsidR="00477C90" w:rsidRDefault="00B82226" w:rsidP="00477C90">
      <w:pPr>
        <w:pStyle w:val="ListParagraph"/>
        <w:numPr>
          <w:ilvl w:val="0"/>
          <w:numId w:val="1"/>
        </w:numPr>
        <w:spacing w:line="360" w:lineRule="auto"/>
        <w:rPr>
          <w:rFonts w:ascii="Times New Roman" w:hAnsi="Times New Roman" w:cs="Times New Roman"/>
          <w:b/>
          <w:sz w:val="24"/>
          <w:szCs w:val="24"/>
          <w:u w:val="single"/>
          <w:lang w:val="en-IN"/>
        </w:rPr>
      </w:pPr>
      <w:r>
        <w:rPr>
          <w:rFonts w:ascii="Times New Roman" w:hAnsi="Times New Roman" w:cs="Times New Roman"/>
          <w:b/>
          <w:sz w:val="24"/>
          <w:szCs w:val="24"/>
          <w:u w:val="single"/>
          <w:lang w:val="en-IN"/>
        </w:rPr>
        <w:t>United States of America</w:t>
      </w:r>
    </w:p>
    <w:p w:rsidR="00CB55D7" w:rsidRDefault="000B6E9A" w:rsidP="007E3CBA">
      <w:pPr>
        <w:spacing w:line="360" w:lineRule="auto"/>
        <w:jc w:val="both"/>
        <w:rPr>
          <w:rFonts w:ascii="Times New Roman" w:hAnsi="Times New Roman" w:cs="Times New Roman"/>
          <w:sz w:val="24"/>
          <w:szCs w:val="24"/>
          <w:lang w:val="en-IN"/>
        </w:rPr>
      </w:pPr>
      <w:r>
        <w:rPr>
          <w:rFonts w:ascii="Times New Roman" w:hAnsi="Times New Roman" w:cs="Times New Roman"/>
          <w:sz w:val="24"/>
          <w:szCs w:val="24"/>
          <w:lang w:val="en-IN"/>
        </w:rPr>
        <w:t>Same sex marriages were earlier not recognized in the United States until,</w:t>
      </w:r>
      <w:r w:rsidR="007E3CBA">
        <w:rPr>
          <w:rFonts w:ascii="Times New Roman" w:hAnsi="Times New Roman" w:cs="Times New Roman"/>
          <w:sz w:val="24"/>
          <w:szCs w:val="24"/>
          <w:lang w:val="en-IN"/>
        </w:rPr>
        <w:t xml:space="preserve"> in </w:t>
      </w:r>
      <w:r>
        <w:rPr>
          <w:rFonts w:ascii="Times New Roman" w:hAnsi="Times New Roman" w:cs="Times New Roman"/>
          <w:sz w:val="24"/>
          <w:szCs w:val="24"/>
          <w:lang w:val="en-IN"/>
        </w:rPr>
        <w:t>2015 when the U</w:t>
      </w:r>
      <w:r w:rsidR="00CD26A7">
        <w:rPr>
          <w:rFonts w:ascii="Times New Roman" w:hAnsi="Times New Roman" w:cs="Times New Roman"/>
          <w:sz w:val="24"/>
          <w:szCs w:val="24"/>
          <w:lang w:val="en-IN"/>
        </w:rPr>
        <w:t>S Supreme Court in its landmark case</w:t>
      </w:r>
      <w:r>
        <w:rPr>
          <w:rFonts w:ascii="Times New Roman" w:hAnsi="Times New Roman" w:cs="Times New Roman"/>
          <w:sz w:val="24"/>
          <w:szCs w:val="24"/>
          <w:lang w:val="en-IN"/>
        </w:rPr>
        <w:t xml:space="preserve">, </w:t>
      </w:r>
      <w:r w:rsidRPr="000B6E9A">
        <w:rPr>
          <w:rFonts w:ascii="Times New Roman" w:hAnsi="Times New Roman" w:cs="Times New Roman"/>
          <w:b/>
          <w:sz w:val="24"/>
          <w:szCs w:val="24"/>
          <w:lang w:val="en-IN"/>
        </w:rPr>
        <w:t>Obergefell v. Hodges</w:t>
      </w:r>
      <w:r>
        <w:rPr>
          <w:rStyle w:val="FootnoteReference"/>
          <w:rFonts w:ascii="Times New Roman" w:hAnsi="Times New Roman" w:cs="Times New Roman"/>
          <w:b/>
          <w:sz w:val="24"/>
          <w:szCs w:val="24"/>
          <w:lang w:val="en-IN"/>
        </w:rPr>
        <w:footnoteReference w:id="4"/>
      </w:r>
      <w:r>
        <w:rPr>
          <w:rFonts w:ascii="Times New Roman" w:hAnsi="Times New Roman" w:cs="Times New Roman"/>
          <w:b/>
          <w:sz w:val="24"/>
          <w:szCs w:val="24"/>
          <w:lang w:val="en-IN"/>
        </w:rPr>
        <w:t xml:space="preserve"> </w:t>
      </w:r>
      <w:r w:rsidR="007E3CBA">
        <w:rPr>
          <w:rFonts w:ascii="Times New Roman" w:hAnsi="Times New Roman" w:cs="Times New Roman"/>
          <w:sz w:val="24"/>
          <w:szCs w:val="24"/>
          <w:lang w:val="en-IN"/>
        </w:rPr>
        <w:t>accepted and gave legal recognition to same sex marriages.</w:t>
      </w:r>
      <w:r w:rsidR="00CD26A7">
        <w:rPr>
          <w:rFonts w:ascii="Times New Roman" w:hAnsi="Times New Roman" w:cs="Times New Roman"/>
          <w:sz w:val="24"/>
          <w:szCs w:val="24"/>
          <w:lang w:val="en-IN"/>
        </w:rPr>
        <w:t>The judgement was a 5:4 majority judgement which was given by Justice Anthony Kennedy.</w:t>
      </w:r>
      <w:r w:rsidR="007E3CBA">
        <w:rPr>
          <w:rFonts w:ascii="Times New Roman" w:hAnsi="Times New Roman" w:cs="Times New Roman"/>
          <w:sz w:val="24"/>
          <w:szCs w:val="24"/>
          <w:lang w:val="en-IN"/>
        </w:rPr>
        <w:t>The court also overruled its judgemnt in the Baker case</w:t>
      </w:r>
      <w:r w:rsidR="007E3CBA">
        <w:rPr>
          <w:rStyle w:val="FootnoteReference"/>
          <w:rFonts w:ascii="Times New Roman" w:hAnsi="Times New Roman" w:cs="Times New Roman"/>
          <w:sz w:val="24"/>
          <w:szCs w:val="24"/>
          <w:lang w:val="en-IN"/>
        </w:rPr>
        <w:footnoteReference w:id="5"/>
      </w:r>
      <w:r w:rsidR="00451DC3">
        <w:rPr>
          <w:rFonts w:ascii="Times New Roman" w:hAnsi="Times New Roman" w:cs="Times New Roman"/>
          <w:sz w:val="24"/>
          <w:szCs w:val="24"/>
          <w:lang w:val="en-IN"/>
        </w:rPr>
        <w:t xml:space="preserve"> lifting the state level bans on the same sex marriage issue and declaring them unconstitutional as per law.The Court also stated that not recognizing the marriage of the same sex community or not granting them a </w:t>
      </w:r>
      <w:r w:rsidR="00451DC3">
        <w:rPr>
          <w:rFonts w:ascii="Times New Roman" w:hAnsi="Times New Roman" w:cs="Times New Roman"/>
          <w:sz w:val="24"/>
          <w:szCs w:val="24"/>
          <w:lang w:val="en-IN"/>
        </w:rPr>
        <w:lastRenderedPageBreak/>
        <w:t>legal marriage certificate of recognition is a violation of due process and clauses which grant equal protection in 14</w:t>
      </w:r>
      <w:r w:rsidR="00451DC3" w:rsidRPr="00451DC3">
        <w:rPr>
          <w:rFonts w:ascii="Times New Roman" w:hAnsi="Times New Roman" w:cs="Times New Roman"/>
          <w:sz w:val="24"/>
          <w:szCs w:val="24"/>
          <w:vertAlign w:val="superscript"/>
          <w:lang w:val="en-IN"/>
        </w:rPr>
        <w:t>th</w:t>
      </w:r>
      <w:r w:rsidR="00451DC3">
        <w:rPr>
          <w:rFonts w:ascii="Times New Roman" w:hAnsi="Times New Roman" w:cs="Times New Roman"/>
          <w:sz w:val="24"/>
          <w:szCs w:val="24"/>
          <w:lang w:val="en-IN"/>
        </w:rPr>
        <w:t xml:space="preserve"> Amendment of the US Constitution</w:t>
      </w:r>
      <w:r w:rsidR="005E68B7">
        <w:rPr>
          <w:rStyle w:val="FootnoteReference"/>
          <w:rFonts w:ascii="Times New Roman" w:hAnsi="Times New Roman" w:cs="Times New Roman"/>
          <w:sz w:val="24"/>
          <w:szCs w:val="24"/>
          <w:lang w:val="en-IN"/>
        </w:rPr>
        <w:footnoteReference w:id="6"/>
      </w:r>
      <w:r w:rsidR="00CD26A7">
        <w:rPr>
          <w:rFonts w:ascii="Times New Roman" w:hAnsi="Times New Roman" w:cs="Times New Roman"/>
          <w:sz w:val="24"/>
          <w:szCs w:val="24"/>
          <w:lang w:val="en-IN"/>
        </w:rPr>
        <w:t>.This was a massive decision which was taken by the US Supreme Court and was widely appreciated by its citizens,with changing their social media handles to rainbow symbol and chanting of their national anthem infront of the white house in rejoice.</w:t>
      </w:r>
      <w:r w:rsidR="00082311" w:rsidRPr="00082311">
        <w:t xml:space="preserve"> </w:t>
      </w:r>
      <w:r w:rsidR="00082311" w:rsidRPr="00082311">
        <w:rPr>
          <w:rFonts w:ascii="Times New Roman" w:hAnsi="Times New Roman" w:cs="Times New Roman"/>
          <w:sz w:val="24"/>
          <w:szCs w:val="24"/>
          <w:lang w:val="en-IN"/>
        </w:rPr>
        <w:t>Outside the courtroom, an emotional Mr. Obergefell expressed his hope that homosexual marriage will soon be history and that it will just be referred to as "marriage."</w:t>
      </w:r>
    </w:p>
    <w:p w:rsidR="007D15B6" w:rsidRPr="007D15B6" w:rsidRDefault="007D15B6" w:rsidP="007D15B6">
      <w:pPr>
        <w:pStyle w:val="ListParagraph"/>
        <w:numPr>
          <w:ilvl w:val="0"/>
          <w:numId w:val="1"/>
        </w:numPr>
        <w:spacing w:line="360" w:lineRule="auto"/>
        <w:jc w:val="both"/>
        <w:rPr>
          <w:rFonts w:ascii="Times New Roman" w:hAnsi="Times New Roman" w:cs="Times New Roman"/>
          <w:sz w:val="24"/>
          <w:szCs w:val="24"/>
          <w:lang w:val="en-IN"/>
        </w:rPr>
      </w:pPr>
      <w:r>
        <w:rPr>
          <w:rFonts w:ascii="Times New Roman" w:hAnsi="Times New Roman" w:cs="Times New Roman"/>
          <w:b/>
          <w:sz w:val="24"/>
          <w:szCs w:val="24"/>
          <w:u w:val="single"/>
          <w:lang w:val="en-IN"/>
        </w:rPr>
        <w:t>UNITED KINGDOM</w:t>
      </w:r>
    </w:p>
    <w:p w:rsidR="00B82226" w:rsidRDefault="001A756C" w:rsidP="00430AD7">
      <w:pPr>
        <w:spacing w:line="360" w:lineRule="auto"/>
        <w:jc w:val="both"/>
        <w:rPr>
          <w:rFonts w:ascii="Times New Roman" w:hAnsi="Times New Roman" w:cs="Times New Roman"/>
          <w:sz w:val="24"/>
          <w:szCs w:val="24"/>
          <w:lang w:val="en-IN"/>
        </w:rPr>
      </w:pPr>
      <w:r>
        <w:rPr>
          <w:rFonts w:ascii="Times New Roman" w:hAnsi="Times New Roman" w:cs="Times New Roman"/>
          <w:sz w:val="24"/>
          <w:szCs w:val="24"/>
          <w:lang w:val="en-IN"/>
        </w:rPr>
        <w:t>Recognition to same sex marriages in United Kingdom has been granted through enactment of enabling legislations.In England and Wales same sex marriage was recognized in the year 29</w:t>
      </w:r>
      <w:r w:rsidRPr="001A756C">
        <w:rPr>
          <w:rFonts w:ascii="Times New Roman" w:hAnsi="Times New Roman" w:cs="Times New Roman"/>
          <w:sz w:val="24"/>
          <w:szCs w:val="24"/>
          <w:vertAlign w:val="superscript"/>
          <w:lang w:val="en-IN"/>
        </w:rPr>
        <w:t>th</w:t>
      </w:r>
      <w:r>
        <w:rPr>
          <w:rFonts w:ascii="Times New Roman" w:hAnsi="Times New Roman" w:cs="Times New Roman"/>
          <w:sz w:val="24"/>
          <w:szCs w:val="24"/>
          <w:lang w:val="en-IN"/>
        </w:rPr>
        <w:t xml:space="preserve"> March 2014</w:t>
      </w:r>
      <w:r>
        <w:rPr>
          <w:rStyle w:val="FootnoteReference"/>
          <w:rFonts w:ascii="Times New Roman" w:hAnsi="Times New Roman" w:cs="Times New Roman"/>
          <w:sz w:val="24"/>
          <w:szCs w:val="24"/>
          <w:lang w:val="en-IN"/>
        </w:rPr>
        <w:footnoteReference w:id="7"/>
      </w:r>
      <w:r w:rsidR="00471977">
        <w:rPr>
          <w:rFonts w:ascii="Times New Roman" w:hAnsi="Times New Roman" w:cs="Times New Roman"/>
          <w:sz w:val="24"/>
          <w:szCs w:val="24"/>
          <w:lang w:val="en-IN"/>
        </w:rPr>
        <w:t>.The same recognition has been granted in Scotland</w:t>
      </w:r>
      <w:r w:rsidR="007705FA">
        <w:rPr>
          <w:rStyle w:val="FootnoteReference"/>
          <w:rFonts w:ascii="Times New Roman" w:hAnsi="Times New Roman" w:cs="Times New Roman"/>
          <w:sz w:val="24"/>
          <w:szCs w:val="24"/>
          <w:lang w:val="en-IN"/>
        </w:rPr>
        <w:footnoteReference w:id="8"/>
      </w:r>
      <w:r w:rsidR="00471977">
        <w:rPr>
          <w:rFonts w:ascii="Times New Roman" w:hAnsi="Times New Roman" w:cs="Times New Roman"/>
          <w:sz w:val="24"/>
          <w:szCs w:val="24"/>
          <w:lang w:val="en-IN"/>
        </w:rPr>
        <w:t xml:space="preserve"> on December 2014 and in Northern Ireland since January 2020.</w:t>
      </w:r>
      <w:r w:rsidR="00430AD7">
        <w:rPr>
          <w:rFonts w:ascii="Times New Roman" w:hAnsi="Times New Roman" w:cs="Times New Roman"/>
          <w:sz w:val="24"/>
          <w:szCs w:val="24"/>
          <w:lang w:val="en-IN"/>
        </w:rPr>
        <w:t xml:space="preserve">Same sex marriages which are done from other jurisdictions have been termed as civil partnerships.However the term “couple”has not been very clear with respect to LGBT community, therefore this confusion was cleared in the case of </w:t>
      </w:r>
      <w:r w:rsidR="00430AD7">
        <w:rPr>
          <w:rFonts w:ascii="Times New Roman" w:hAnsi="Times New Roman" w:cs="Times New Roman"/>
          <w:b/>
          <w:sz w:val="24"/>
          <w:szCs w:val="24"/>
          <w:lang w:val="en-IN"/>
        </w:rPr>
        <w:t>Crake &amp; Butterworth v.Supplementary Benefits Commission</w:t>
      </w:r>
      <w:r w:rsidR="006302ED">
        <w:rPr>
          <w:rStyle w:val="FootnoteReference"/>
          <w:rFonts w:ascii="Times New Roman" w:hAnsi="Times New Roman" w:cs="Times New Roman"/>
          <w:b/>
          <w:sz w:val="24"/>
          <w:szCs w:val="24"/>
          <w:lang w:val="en-IN"/>
        </w:rPr>
        <w:footnoteReference w:id="9"/>
      </w:r>
      <w:r w:rsidR="00430AD7">
        <w:rPr>
          <w:rFonts w:ascii="Times New Roman" w:hAnsi="Times New Roman" w:cs="Times New Roman"/>
          <w:b/>
          <w:sz w:val="24"/>
          <w:szCs w:val="24"/>
          <w:lang w:val="en-IN"/>
        </w:rPr>
        <w:t>,</w:t>
      </w:r>
      <w:r w:rsidR="00430AD7">
        <w:rPr>
          <w:rFonts w:ascii="Times New Roman" w:hAnsi="Times New Roman" w:cs="Times New Roman"/>
          <w:sz w:val="24"/>
          <w:szCs w:val="24"/>
          <w:lang w:val="en-IN"/>
        </w:rPr>
        <w:t xml:space="preserve"> in which certain criterias were laid down in order to determine that whether the “couple” were lawfully living together as husband or wife.On these parameters and criterias their relationship stability,sexual orientation of their relationship,arrangements regarding financial support,etc were determined. </w:t>
      </w:r>
    </w:p>
    <w:p w:rsidR="00C366DB" w:rsidRPr="00C366DB" w:rsidRDefault="00C366DB" w:rsidP="00C366DB">
      <w:pPr>
        <w:pStyle w:val="ListParagraph"/>
        <w:numPr>
          <w:ilvl w:val="0"/>
          <w:numId w:val="1"/>
        </w:numPr>
        <w:spacing w:line="360" w:lineRule="auto"/>
        <w:jc w:val="both"/>
        <w:rPr>
          <w:rFonts w:ascii="Times New Roman" w:hAnsi="Times New Roman" w:cs="Times New Roman"/>
          <w:sz w:val="24"/>
          <w:szCs w:val="24"/>
          <w:lang w:val="en-IN"/>
        </w:rPr>
      </w:pPr>
      <w:r>
        <w:rPr>
          <w:rFonts w:ascii="Times New Roman" w:hAnsi="Times New Roman" w:cs="Times New Roman"/>
          <w:b/>
          <w:sz w:val="24"/>
          <w:szCs w:val="24"/>
          <w:u w:val="single"/>
          <w:lang w:val="en-IN"/>
        </w:rPr>
        <w:t>INDIA</w:t>
      </w:r>
    </w:p>
    <w:p w:rsidR="00C366DB" w:rsidRDefault="00C366DB" w:rsidP="00C366DB">
      <w:pPr>
        <w:spacing w:line="360" w:lineRule="auto"/>
        <w:jc w:val="both"/>
        <w:rPr>
          <w:rFonts w:ascii="Times New Roman" w:hAnsi="Times New Roman" w:cs="Times New Roman"/>
          <w:sz w:val="24"/>
          <w:szCs w:val="24"/>
          <w:lang w:val="en-IN"/>
        </w:rPr>
      </w:pPr>
      <w:r>
        <w:rPr>
          <w:rFonts w:ascii="Times New Roman" w:hAnsi="Times New Roman" w:cs="Times New Roman"/>
          <w:sz w:val="24"/>
          <w:szCs w:val="24"/>
          <w:lang w:val="en-IN"/>
        </w:rPr>
        <w:t>In India, earlier only two genders namely male and female was recognized and marriage rights were only available to them only, i.e heterosexual relationship could only be established among these two genders. LGBT community, unlike today was not even given recognition let alone their marriage, adoption, etc. rights.Earlier this homosexuality was a punishable offence under Section 377</w:t>
      </w:r>
      <w:r>
        <w:rPr>
          <w:rStyle w:val="FootnoteReference"/>
          <w:rFonts w:ascii="Times New Roman" w:hAnsi="Times New Roman" w:cs="Times New Roman"/>
          <w:sz w:val="24"/>
          <w:szCs w:val="24"/>
          <w:lang w:val="en-IN"/>
        </w:rPr>
        <w:footnoteReference w:id="10"/>
      </w:r>
      <w:r>
        <w:rPr>
          <w:rFonts w:ascii="Times New Roman" w:hAnsi="Times New Roman" w:cs="Times New Roman"/>
          <w:sz w:val="24"/>
          <w:szCs w:val="24"/>
          <w:lang w:val="en-IN"/>
        </w:rPr>
        <w:t xml:space="preserve"> of IPC.</w:t>
      </w:r>
      <w:r w:rsidR="00DC5AED">
        <w:rPr>
          <w:rFonts w:ascii="Times New Roman" w:hAnsi="Times New Roman" w:cs="Times New Roman"/>
          <w:sz w:val="24"/>
          <w:szCs w:val="24"/>
          <w:lang w:val="en-IN"/>
        </w:rPr>
        <w:t xml:space="preserve"> However,in one such landmark decision of Delhi High Court,where the court tested the disputed provision’s compliance ,i.e, Section 377 with the Constitutional </w:t>
      </w:r>
      <w:r w:rsidR="00DC5AED">
        <w:rPr>
          <w:rFonts w:ascii="Times New Roman" w:hAnsi="Times New Roman" w:cs="Times New Roman"/>
          <w:sz w:val="24"/>
          <w:szCs w:val="24"/>
          <w:lang w:val="en-IN"/>
        </w:rPr>
        <w:lastRenderedPageBreak/>
        <w:t>priovisons namely Article 14</w:t>
      </w:r>
      <w:r w:rsidR="00DC5AED">
        <w:rPr>
          <w:rStyle w:val="FootnoteReference"/>
          <w:rFonts w:ascii="Times New Roman" w:hAnsi="Times New Roman" w:cs="Times New Roman"/>
          <w:sz w:val="24"/>
          <w:szCs w:val="24"/>
          <w:lang w:val="en-IN"/>
        </w:rPr>
        <w:footnoteReference w:id="11"/>
      </w:r>
      <w:r w:rsidR="00DC5AED">
        <w:rPr>
          <w:rFonts w:ascii="Times New Roman" w:hAnsi="Times New Roman" w:cs="Times New Roman"/>
          <w:sz w:val="24"/>
          <w:szCs w:val="24"/>
          <w:lang w:val="en-IN"/>
        </w:rPr>
        <w:t>,15</w:t>
      </w:r>
      <w:r w:rsidR="00DC5AED">
        <w:rPr>
          <w:rStyle w:val="FootnoteReference"/>
          <w:rFonts w:ascii="Times New Roman" w:hAnsi="Times New Roman" w:cs="Times New Roman"/>
          <w:sz w:val="24"/>
          <w:szCs w:val="24"/>
          <w:lang w:val="en-IN"/>
        </w:rPr>
        <w:footnoteReference w:id="12"/>
      </w:r>
      <w:r w:rsidR="00DC5AED">
        <w:rPr>
          <w:rFonts w:ascii="Times New Roman" w:hAnsi="Times New Roman" w:cs="Times New Roman"/>
          <w:sz w:val="24"/>
          <w:szCs w:val="24"/>
          <w:lang w:val="en-IN"/>
        </w:rPr>
        <w:t>,19</w:t>
      </w:r>
      <w:r w:rsidR="00DC5AED">
        <w:rPr>
          <w:rStyle w:val="FootnoteReference"/>
          <w:rFonts w:ascii="Times New Roman" w:hAnsi="Times New Roman" w:cs="Times New Roman"/>
          <w:sz w:val="24"/>
          <w:szCs w:val="24"/>
          <w:lang w:val="en-IN"/>
        </w:rPr>
        <w:footnoteReference w:id="13"/>
      </w:r>
      <w:r w:rsidR="00DC5AED">
        <w:rPr>
          <w:rFonts w:ascii="Times New Roman" w:hAnsi="Times New Roman" w:cs="Times New Roman"/>
          <w:sz w:val="24"/>
          <w:szCs w:val="24"/>
          <w:lang w:val="en-IN"/>
        </w:rPr>
        <w:t xml:space="preserve"> and 21</w:t>
      </w:r>
      <w:r w:rsidR="00DC5AED">
        <w:rPr>
          <w:rStyle w:val="FootnoteReference"/>
          <w:rFonts w:ascii="Times New Roman" w:hAnsi="Times New Roman" w:cs="Times New Roman"/>
          <w:sz w:val="24"/>
          <w:szCs w:val="24"/>
          <w:lang w:val="en-IN"/>
        </w:rPr>
        <w:footnoteReference w:id="14"/>
      </w:r>
      <w:r w:rsidR="00DC5AED">
        <w:rPr>
          <w:rFonts w:ascii="Times New Roman" w:hAnsi="Times New Roman" w:cs="Times New Roman"/>
          <w:sz w:val="24"/>
          <w:szCs w:val="24"/>
          <w:lang w:val="en-IN"/>
        </w:rPr>
        <w:t>.</w:t>
      </w:r>
      <w:r w:rsidR="004F6C97">
        <w:rPr>
          <w:rFonts w:ascii="Times New Roman" w:hAnsi="Times New Roman" w:cs="Times New Roman"/>
          <w:sz w:val="24"/>
          <w:szCs w:val="24"/>
          <w:lang w:val="en-IN"/>
        </w:rPr>
        <w:t>This case(Naz Foundation v. Government of NCT of Delhi</w:t>
      </w:r>
      <w:r w:rsidR="004F6C97">
        <w:rPr>
          <w:rStyle w:val="FootnoteReference"/>
          <w:rFonts w:ascii="Times New Roman" w:hAnsi="Times New Roman" w:cs="Times New Roman"/>
          <w:sz w:val="24"/>
          <w:szCs w:val="24"/>
          <w:lang w:val="en-IN"/>
        </w:rPr>
        <w:footnoteReference w:id="15"/>
      </w:r>
      <w:r w:rsidR="004F6C97">
        <w:rPr>
          <w:rFonts w:ascii="Times New Roman" w:hAnsi="Times New Roman" w:cs="Times New Roman"/>
          <w:sz w:val="24"/>
          <w:szCs w:val="24"/>
          <w:lang w:val="en-IN"/>
        </w:rPr>
        <w:t>) was the first of its kind which aressed the recognition status of LGBT community.</w:t>
      </w:r>
      <w:r w:rsidR="00E75E2C">
        <w:rPr>
          <w:rFonts w:ascii="Times New Roman" w:hAnsi="Times New Roman" w:cs="Times New Roman"/>
          <w:sz w:val="24"/>
          <w:szCs w:val="24"/>
          <w:lang w:val="en-IN"/>
        </w:rPr>
        <w:t>In this case,it was held by the two judge bench that treating homosexual sex,among adults which is also of consensual nature as a crime(i.e under Section 377) is a clear-cut violation of the fundamental rights which provided and protected by the Constitution of India.The court recognized a person’s dignity and privacy rights within the ambit of Article 21,and held that criminalization of this sex lea</w:t>
      </w:r>
      <w:r w:rsidR="00372005">
        <w:rPr>
          <w:rFonts w:ascii="Times New Roman" w:hAnsi="Times New Roman" w:cs="Times New Roman"/>
          <w:sz w:val="24"/>
          <w:szCs w:val="24"/>
          <w:lang w:val="en-IN"/>
        </w:rPr>
        <w:t>ds to violation of these rights,however the court did not made the whole S</w:t>
      </w:r>
      <w:r w:rsidR="00190EDC">
        <w:rPr>
          <w:rFonts w:ascii="Times New Roman" w:hAnsi="Times New Roman" w:cs="Times New Roman"/>
          <w:sz w:val="24"/>
          <w:szCs w:val="24"/>
          <w:lang w:val="en-IN"/>
        </w:rPr>
        <w:t>ection 377 as unconstitutional.</w:t>
      </w:r>
    </w:p>
    <w:p w:rsidR="00B05784" w:rsidRDefault="00B05784" w:rsidP="00C366DB">
      <w:pPr>
        <w:spacing w:line="360" w:lineRule="auto"/>
        <w:jc w:val="both"/>
        <w:rPr>
          <w:rFonts w:ascii="Times New Roman" w:hAnsi="Times New Roman" w:cs="Times New Roman"/>
          <w:sz w:val="24"/>
          <w:szCs w:val="24"/>
          <w:lang w:val="en-IN"/>
        </w:rPr>
      </w:pPr>
      <w:r>
        <w:rPr>
          <w:rFonts w:ascii="Times New Roman" w:hAnsi="Times New Roman" w:cs="Times New Roman"/>
          <w:sz w:val="24"/>
          <w:szCs w:val="24"/>
          <w:lang w:val="en-IN"/>
        </w:rPr>
        <w:t>However an appeal was preferred before the Supreme Court regarding the Delhi court’s judgement.The Supreme Court then held in this appeal that Section 377 does not violate Article 14,</w:t>
      </w:r>
      <w:r w:rsidR="00F457D2">
        <w:rPr>
          <w:rFonts w:ascii="Times New Roman" w:hAnsi="Times New Roman" w:cs="Times New Roman"/>
          <w:sz w:val="24"/>
          <w:szCs w:val="24"/>
          <w:lang w:val="en-IN"/>
        </w:rPr>
        <w:t xml:space="preserve"> </w:t>
      </w:r>
      <w:r>
        <w:rPr>
          <w:rFonts w:ascii="Times New Roman" w:hAnsi="Times New Roman" w:cs="Times New Roman"/>
          <w:sz w:val="24"/>
          <w:szCs w:val="24"/>
          <w:lang w:val="en-IN"/>
        </w:rPr>
        <w:t>15 and 21 of the Constitution.The court struck down the Delhi High Court’s prior judgement and criminalized carnal intercourse</w:t>
      </w:r>
      <w:r w:rsidR="00F102D0">
        <w:rPr>
          <w:rFonts w:ascii="Times New Roman" w:hAnsi="Times New Roman" w:cs="Times New Roman"/>
          <w:sz w:val="24"/>
          <w:szCs w:val="24"/>
          <w:lang w:val="en-IN"/>
        </w:rPr>
        <w:t xml:space="preserve"> </w:t>
      </w:r>
      <w:r>
        <w:rPr>
          <w:rFonts w:ascii="Times New Roman" w:hAnsi="Times New Roman" w:cs="Times New Roman"/>
          <w:sz w:val="24"/>
          <w:szCs w:val="24"/>
          <w:lang w:val="en-IN"/>
        </w:rPr>
        <w:t>i.e making S377 constitutional.</w:t>
      </w:r>
      <w:r w:rsidR="00047212">
        <w:rPr>
          <w:rStyle w:val="FootnoteReference"/>
          <w:rFonts w:ascii="Times New Roman" w:hAnsi="Times New Roman" w:cs="Times New Roman"/>
          <w:sz w:val="24"/>
          <w:szCs w:val="24"/>
          <w:lang w:val="en-IN"/>
        </w:rPr>
        <w:footnoteReference w:id="16"/>
      </w:r>
    </w:p>
    <w:p w:rsidR="00F102D0" w:rsidRDefault="00F102D0" w:rsidP="00C366DB">
      <w:pPr>
        <w:spacing w:line="360" w:lineRule="auto"/>
        <w:jc w:val="both"/>
        <w:rPr>
          <w:rFonts w:ascii="Times New Roman" w:hAnsi="Times New Roman" w:cs="Times New Roman"/>
          <w:sz w:val="24"/>
          <w:szCs w:val="24"/>
          <w:lang w:val="en-IN"/>
        </w:rPr>
      </w:pPr>
      <w:r>
        <w:rPr>
          <w:rFonts w:ascii="Times New Roman" w:hAnsi="Times New Roman" w:cs="Times New Roman"/>
          <w:sz w:val="24"/>
          <w:szCs w:val="24"/>
          <w:lang w:val="en-IN"/>
        </w:rPr>
        <w:t xml:space="preserve">But, later in 2014 in one of the landmark case namely, </w:t>
      </w:r>
      <w:r w:rsidRPr="00F102D0">
        <w:rPr>
          <w:rFonts w:ascii="Times New Roman" w:hAnsi="Times New Roman" w:cs="Times New Roman"/>
          <w:b/>
          <w:sz w:val="24"/>
          <w:szCs w:val="24"/>
          <w:lang w:val="en-IN"/>
        </w:rPr>
        <w:t>National Legal Services Authority v.</w:t>
      </w:r>
      <w:r w:rsidR="00001795">
        <w:rPr>
          <w:rFonts w:ascii="Times New Roman" w:hAnsi="Times New Roman" w:cs="Times New Roman"/>
          <w:b/>
          <w:sz w:val="24"/>
          <w:szCs w:val="24"/>
          <w:lang w:val="en-IN"/>
        </w:rPr>
        <w:t xml:space="preserve"> Union o</w:t>
      </w:r>
      <w:r w:rsidRPr="00F102D0">
        <w:rPr>
          <w:rFonts w:ascii="Times New Roman" w:hAnsi="Times New Roman" w:cs="Times New Roman"/>
          <w:b/>
          <w:sz w:val="24"/>
          <w:szCs w:val="24"/>
          <w:lang w:val="en-IN"/>
        </w:rPr>
        <w:t xml:space="preserve">f India </w:t>
      </w:r>
      <w:r>
        <w:rPr>
          <w:rStyle w:val="FootnoteReference"/>
          <w:rFonts w:ascii="Times New Roman" w:hAnsi="Times New Roman" w:cs="Times New Roman"/>
          <w:b/>
          <w:sz w:val="24"/>
          <w:szCs w:val="24"/>
          <w:lang w:val="en-IN"/>
        </w:rPr>
        <w:footnoteReference w:id="17"/>
      </w:r>
      <w:r w:rsidR="005164C0">
        <w:rPr>
          <w:rFonts w:ascii="Times New Roman" w:hAnsi="Times New Roman" w:cs="Times New Roman"/>
          <w:b/>
          <w:sz w:val="24"/>
          <w:szCs w:val="24"/>
          <w:lang w:val="en-IN"/>
        </w:rPr>
        <w:t xml:space="preserve"> </w:t>
      </w:r>
      <w:r w:rsidR="005164C0">
        <w:rPr>
          <w:rFonts w:ascii="Times New Roman" w:hAnsi="Times New Roman" w:cs="Times New Roman"/>
          <w:sz w:val="24"/>
          <w:szCs w:val="24"/>
          <w:lang w:val="en-IN"/>
        </w:rPr>
        <w:t>recognized the legal rights of the people of the LGBT community under Article 14,</w:t>
      </w:r>
      <w:r w:rsidR="006E534F">
        <w:rPr>
          <w:rFonts w:ascii="Times New Roman" w:hAnsi="Times New Roman" w:cs="Times New Roman"/>
          <w:sz w:val="24"/>
          <w:szCs w:val="24"/>
          <w:lang w:val="en-IN"/>
        </w:rPr>
        <w:t xml:space="preserve"> </w:t>
      </w:r>
      <w:r w:rsidR="005164C0">
        <w:rPr>
          <w:rFonts w:ascii="Times New Roman" w:hAnsi="Times New Roman" w:cs="Times New Roman"/>
          <w:sz w:val="24"/>
          <w:szCs w:val="24"/>
          <w:lang w:val="en-IN"/>
        </w:rPr>
        <w:t>15,</w:t>
      </w:r>
      <w:r w:rsidR="006E534F">
        <w:rPr>
          <w:rFonts w:ascii="Times New Roman" w:hAnsi="Times New Roman" w:cs="Times New Roman"/>
          <w:sz w:val="24"/>
          <w:szCs w:val="24"/>
          <w:lang w:val="en-IN"/>
        </w:rPr>
        <w:t xml:space="preserve"> </w:t>
      </w:r>
      <w:r w:rsidR="005164C0">
        <w:rPr>
          <w:rFonts w:ascii="Times New Roman" w:hAnsi="Times New Roman" w:cs="Times New Roman"/>
          <w:sz w:val="24"/>
          <w:szCs w:val="24"/>
          <w:lang w:val="en-IN"/>
        </w:rPr>
        <w:t>19 and 21 of the Indian Constitution</w:t>
      </w:r>
      <w:r w:rsidR="006E534F">
        <w:rPr>
          <w:rFonts w:ascii="Times New Roman" w:hAnsi="Times New Roman" w:cs="Times New Roman"/>
          <w:sz w:val="24"/>
          <w:szCs w:val="24"/>
          <w:lang w:val="en-IN"/>
        </w:rPr>
        <w:t>.</w:t>
      </w:r>
      <w:r w:rsidR="00001795">
        <w:rPr>
          <w:rFonts w:ascii="Times New Roman" w:hAnsi="Times New Roman" w:cs="Times New Roman"/>
          <w:sz w:val="24"/>
          <w:szCs w:val="24"/>
          <w:lang w:val="en-IN"/>
        </w:rPr>
        <w:t>This was the first case which guaranteed recognition and rights of the LGBT community people.</w:t>
      </w:r>
    </w:p>
    <w:p w:rsidR="00001795" w:rsidRDefault="00001795" w:rsidP="00C366DB">
      <w:pPr>
        <w:spacing w:line="360" w:lineRule="auto"/>
        <w:jc w:val="both"/>
        <w:rPr>
          <w:rFonts w:ascii="Times New Roman" w:hAnsi="Times New Roman" w:cs="Times New Roman"/>
          <w:sz w:val="24"/>
          <w:szCs w:val="24"/>
          <w:lang w:val="en-IN"/>
        </w:rPr>
      </w:pPr>
      <w:r>
        <w:rPr>
          <w:rFonts w:ascii="Times New Roman" w:hAnsi="Times New Roman" w:cs="Times New Roman"/>
          <w:sz w:val="24"/>
          <w:szCs w:val="24"/>
          <w:lang w:val="en-IN"/>
        </w:rPr>
        <w:t xml:space="preserve">Soon after in 2018 Supreme Court in </w:t>
      </w:r>
      <w:r w:rsidRPr="00001795">
        <w:rPr>
          <w:rFonts w:ascii="Times New Roman" w:hAnsi="Times New Roman" w:cs="Times New Roman"/>
          <w:b/>
          <w:sz w:val="24"/>
          <w:szCs w:val="24"/>
          <w:lang w:val="en-IN"/>
        </w:rPr>
        <w:t>Navtej Singh Johar v. Union of India</w:t>
      </w:r>
      <w:r>
        <w:rPr>
          <w:rFonts w:ascii="Times New Roman" w:hAnsi="Times New Roman" w:cs="Times New Roman"/>
          <w:sz w:val="24"/>
          <w:szCs w:val="24"/>
          <w:lang w:val="en-IN"/>
        </w:rPr>
        <w:t xml:space="preserve"> </w:t>
      </w:r>
      <w:r>
        <w:rPr>
          <w:rStyle w:val="FootnoteReference"/>
          <w:rFonts w:ascii="Times New Roman" w:hAnsi="Times New Roman" w:cs="Times New Roman"/>
          <w:sz w:val="24"/>
          <w:szCs w:val="24"/>
          <w:lang w:val="en-IN"/>
        </w:rPr>
        <w:footnoteReference w:id="18"/>
      </w:r>
      <w:r>
        <w:rPr>
          <w:rFonts w:ascii="Times New Roman" w:hAnsi="Times New Roman" w:cs="Times New Roman"/>
          <w:sz w:val="24"/>
          <w:szCs w:val="24"/>
          <w:lang w:val="en-IN"/>
        </w:rPr>
        <w:t>one of the landmark case recognized consensual same gender intercourse.This case provided cohabitating rights to the LGBT community people soon after they were recognized in NLSA case in 2014.</w:t>
      </w:r>
    </w:p>
    <w:p w:rsidR="00001795" w:rsidRDefault="00001795" w:rsidP="00C366DB">
      <w:pPr>
        <w:spacing w:line="360" w:lineRule="auto"/>
        <w:jc w:val="both"/>
        <w:rPr>
          <w:rFonts w:ascii="Times New Roman" w:hAnsi="Times New Roman" w:cs="Times New Roman"/>
          <w:sz w:val="24"/>
          <w:szCs w:val="24"/>
          <w:lang w:val="en-IN"/>
        </w:rPr>
      </w:pPr>
      <w:r>
        <w:rPr>
          <w:rFonts w:ascii="Times New Roman" w:hAnsi="Times New Roman" w:cs="Times New Roman"/>
          <w:sz w:val="24"/>
          <w:szCs w:val="24"/>
          <w:lang w:val="en-IN"/>
        </w:rPr>
        <w:t>However,there was still one problem which existed with reference to LGBT community,that is regarding their marriage rights as they were not sanctioned to them,neither by any statute nor through any legal pronouncement.</w:t>
      </w:r>
    </w:p>
    <w:p w:rsidR="006B39EA" w:rsidRDefault="00001795" w:rsidP="00C366DB">
      <w:pPr>
        <w:spacing w:line="360" w:lineRule="auto"/>
        <w:jc w:val="both"/>
        <w:rPr>
          <w:rFonts w:ascii="Times New Roman" w:hAnsi="Times New Roman" w:cs="Times New Roman"/>
          <w:sz w:val="24"/>
          <w:szCs w:val="24"/>
          <w:lang w:val="en-IN"/>
        </w:rPr>
      </w:pPr>
      <w:r>
        <w:rPr>
          <w:rFonts w:ascii="Times New Roman" w:hAnsi="Times New Roman" w:cs="Times New Roman"/>
          <w:sz w:val="24"/>
          <w:szCs w:val="24"/>
          <w:lang w:val="en-IN"/>
        </w:rPr>
        <w:lastRenderedPageBreak/>
        <w:t xml:space="preserve">However in </w:t>
      </w:r>
      <w:r w:rsidR="00B759DA">
        <w:rPr>
          <w:rFonts w:ascii="Times New Roman" w:hAnsi="Times New Roman" w:cs="Times New Roman"/>
          <w:sz w:val="24"/>
          <w:szCs w:val="24"/>
          <w:lang w:val="en-IN"/>
        </w:rPr>
        <w:t xml:space="preserve">2023,Supreme Court gave its judgement on marriage rights of the LGBT community in one of the most recent and landmark case of </w:t>
      </w:r>
      <w:r w:rsidR="00B759DA" w:rsidRPr="00B759DA">
        <w:rPr>
          <w:rFonts w:ascii="Times New Roman" w:hAnsi="Times New Roman" w:cs="Times New Roman"/>
          <w:b/>
          <w:sz w:val="24"/>
          <w:szCs w:val="24"/>
          <w:lang w:val="en-IN"/>
        </w:rPr>
        <w:t>Supriyo v. Union of India</w:t>
      </w:r>
      <w:r w:rsidR="00B759DA">
        <w:rPr>
          <w:rStyle w:val="FootnoteReference"/>
          <w:rFonts w:ascii="Times New Roman" w:hAnsi="Times New Roman" w:cs="Times New Roman"/>
          <w:b/>
          <w:sz w:val="24"/>
          <w:szCs w:val="24"/>
          <w:lang w:val="en-IN"/>
        </w:rPr>
        <w:footnoteReference w:id="19"/>
      </w:r>
      <w:r w:rsidR="00AA499F">
        <w:rPr>
          <w:rFonts w:ascii="Times New Roman" w:hAnsi="Times New Roman" w:cs="Times New Roman"/>
          <w:b/>
          <w:sz w:val="24"/>
          <w:szCs w:val="24"/>
          <w:lang w:val="en-IN"/>
        </w:rPr>
        <w:t>,</w:t>
      </w:r>
      <w:r w:rsidR="00AA499F">
        <w:rPr>
          <w:rFonts w:ascii="Times New Roman" w:hAnsi="Times New Roman" w:cs="Times New Roman"/>
          <w:sz w:val="24"/>
          <w:szCs w:val="24"/>
          <w:lang w:val="en-IN"/>
        </w:rPr>
        <w:t xml:space="preserve"> where the main issue was related to marriage rights of same sex people.The Supreme Court in this case observed that the Indian Constitution dosent guarantee any “fundamental right to marry”.The court refused to grant legal recognition to same sex marriage stating that it comes in the domain of the legislature to legalize it or not.Justice Chandrachund in this case stated that “This court cannot make law.It can only interpret it and give effect to it.”</w:t>
      </w:r>
      <w:r w:rsidR="006B39EA">
        <w:rPr>
          <w:rFonts w:ascii="Times New Roman" w:hAnsi="Times New Roman" w:cs="Times New Roman"/>
          <w:sz w:val="24"/>
          <w:szCs w:val="24"/>
          <w:lang w:val="en-IN"/>
        </w:rPr>
        <w:t xml:space="preserve"> The Court also ordered to constitute a high power committee regarding the same issue.</w:t>
      </w:r>
    </w:p>
    <w:p w:rsidR="00E61AAE" w:rsidRDefault="006B39EA" w:rsidP="00C366DB">
      <w:pPr>
        <w:spacing w:line="360" w:lineRule="auto"/>
        <w:jc w:val="both"/>
        <w:rPr>
          <w:rFonts w:ascii="Times New Roman" w:hAnsi="Times New Roman" w:cs="Times New Roman"/>
          <w:sz w:val="24"/>
          <w:szCs w:val="24"/>
          <w:lang w:val="en-IN"/>
        </w:rPr>
      </w:pPr>
      <w:r>
        <w:rPr>
          <w:rFonts w:ascii="Times New Roman" w:hAnsi="Times New Roman" w:cs="Times New Roman"/>
          <w:sz w:val="24"/>
          <w:szCs w:val="24"/>
          <w:lang w:val="en-IN"/>
        </w:rPr>
        <w:t>On the basis of the abovementioned it can be concluded that marriage rights has not yet been conferred to LGBT community in India however they are legally recognized.</w:t>
      </w:r>
    </w:p>
    <w:p w:rsidR="00001795" w:rsidRPr="00E61AAE" w:rsidRDefault="00E61AAE" w:rsidP="00E61AAE">
      <w:pPr>
        <w:pStyle w:val="ListParagraph"/>
        <w:numPr>
          <w:ilvl w:val="0"/>
          <w:numId w:val="1"/>
        </w:numPr>
        <w:spacing w:line="360" w:lineRule="auto"/>
        <w:jc w:val="both"/>
        <w:rPr>
          <w:rFonts w:ascii="Times New Roman" w:hAnsi="Times New Roman" w:cs="Times New Roman"/>
          <w:sz w:val="24"/>
          <w:szCs w:val="24"/>
          <w:lang w:val="en-IN"/>
        </w:rPr>
      </w:pPr>
      <w:r>
        <w:rPr>
          <w:rFonts w:ascii="Times New Roman" w:hAnsi="Times New Roman" w:cs="Times New Roman"/>
          <w:b/>
          <w:sz w:val="24"/>
          <w:szCs w:val="24"/>
          <w:u w:val="single"/>
          <w:lang w:val="en-IN"/>
        </w:rPr>
        <w:t>SOUTH AFRICA</w:t>
      </w:r>
    </w:p>
    <w:p w:rsidR="00E61AAE" w:rsidRDefault="00E61AAE" w:rsidP="00E61AAE">
      <w:pPr>
        <w:spacing w:line="360" w:lineRule="auto"/>
        <w:jc w:val="both"/>
        <w:rPr>
          <w:rFonts w:ascii="Times New Roman" w:hAnsi="Times New Roman" w:cs="Times New Roman"/>
          <w:sz w:val="24"/>
          <w:szCs w:val="24"/>
          <w:lang w:val="en-IN"/>
        </w:rPr>
      </w:pPr>
      <w:r>
        <w:rPr>
          <w:rFonts w:ascii="Times New Roman" w:hAnsi="Times New Roman" w:cs="Times New Roman"/>
          <w:sz w:val="24"/>
          <w:szCs w:val="24"/>
          <w:lang w:val="en-IN"/>
        </w:rPr>
        <w:t>Same sex marriage has also been legally recognized in South Africa since 2006,</w:t>
      </w:r>
      <w:r w:rsidR="00FC0AA3">
        <w:rPr>
          <w:rFonts w:ascii="Times New Roman" w:hAnsi="Times New Roman" w:cs="Times New Roman"/>
          <w:sz w:val="24"/>
          <w:szCs w:val="24"/>
          <w:lang w:val="en-IN"/>
        </w:rPr>
        <w:t xml:space="preserve"> </w:t>
      </w:r>
      <w:r>
        <w:rPr>
          <w:rFonts w:ascii="Times New Roman" w:hAnsi="Times New Roman" w:cs="Times New Roman"/>
          <w:sz w:val="24"/>
          <w:szCs w:val="24"/>
          <w:lang w:val="en-IN"/>
        </w:rPr>
        <w:t>when the Civil Union Act came in force.</w:t>
      </w:r>
      <w:r w:rsidR="000D6961">
        <w:rPr>
          <w:rFonts w:ascii="Times New Roman" w:hAnsi="Times New Roman" w:cs="Times New Roman"/>
          <w:sz w:val="24"/>
          <w:szCs w:val="24"/>
          <w:lang w:val="en-IN"/>
        </w:rPr>
        <w:t xml:space="preserve">The South African court in the case of </w:t>
      </w:r>
      <w:r w:rsidR="000D6961" w:rsidRPr="000D6961">
        <w:rPr>
          <w:rFonts w:ascii="Times New Roman" w:hAnsi="Times New Roman" w:cs="Times New Roman"/>
          <w:b/>
          <w:sz w:val="24"/>
          <w:szCs w:val="24"/>
          <w:lang w:val="en-IN"/>
        </w:rPr>
        <w:t>Minister of Home Affairs v. Fourie</w:t>
      </w:r>
      <w:r w:rsidR="000D6961">
        <w:rPr>
          <w:rStyle w:val="FootnoteReference"/>
          <w:rFonts w:ascii="Times New Roman" w:hAnsi="Times New Roman" w:cs="Times New Roman"/>
          <w:b/>
          <w:sz w:val="24"/>
          <w:szCs w:val="24"/>
          <w:lang w:val="en-IN"/>
        </w:rPr>
        <w:footnoteReference w:id="20"/>
      </w:r>
      <w:r w:rsidR="000D6961">
        <w:rPr>
          <w:rFonts w:ascii="Times New Roman" w:hAnsi="Times New Roman" w:cs="Times New Roman"/>
          <w:b/>
          <w:sz w:val="24"/>
          <w:szCs w:val="24"/>
          <w:lang w:val="en-IN"/>
        </w:rPr>
        <w:t xml:space="preserve"> </w:t>
      </w:r>
      <w:r w:rsidR="000D6961">
        <w:rPr>
          <w:rFonts w:ascii="Times New Roman" w:hAnsi="Times New Roman" w:cs="Times New Roman"/>
          <w:sz w:val="24"/>
          <w:szCs w:val="24"/>
          <w:lang w:val="en-IN"/>
        </w:rPr>
        <w:t>interpreted the definition of marriage to include spouses who are of homogeneous sex as the South Africa’s Constitution grants equal all its citizen equal protection of law irrespective of their sexual orientation.</w:t>
      </w:r>
    </w:p>
    <w:p w:rsidR="00FC0AA3" w:rsidRPr="009A5EE9" w:rsidRDefault="009A5EE9" w:rsidP="009A5EE9">
      <w:pPr>
        <w:pStyle w:val="ListParagraph"/>
        <w:numPr>
          <w:ilvl w:val="0"/>
          <w:numId w:val="1"/>
        </w:numPr>
        <w:spacing w:line="360" w:lineRule="auto"/>
        <w:jc w:val="both"/>
        <w:rPr>
          <w:rFonts w:ascii="Times New Roman" w:hAnsi="Times New Roman" w:cs="Times New Roman"/>
          <w:sz w:val="24"/>
          <w:szCs w:val="24"/>
          <w:lang w:val="en-IN"/>
        </w:rPr>
      </w:pPr>
      <w:r>
        <w:rPr>
          <w:rFonts w:ascii="Times New Roman" w:hAnsi="Times New Roman" w:cs="Times New Roman"/>
          <w:b/>
          <w:sz w:val="24"/>
          <w:szCs w:val="24"/>
          <w:u w:val="single"/>
          <w:lang w:val="en-IN"/>
        </w:rPr>
        <w:t>AUSTRALIA</w:t>
      </w:r>
    </w:p>
    <w:p w:rsidR="009A5EE9" w:rsidRDefault="009A5EE9" w:rsidP="009A5EE9">
      <w:pPr>
        <w:spacing w:line="360" w:lineRule="auto"/>
        <w:jc w:val="both"/>
        <w:rPr>
          <w:rFonts w:ascii="Times New Roman" w:hAnsi="Times New Roman" w:cs="Times New Roman"/>
          <w:sz w:val="24"/>
          <w:szCs w:val="24"/>
          <w:lang w:val="en-IN"/>
        </w:rPr>
      </w:pPr>
      <w:r>
        <w:rPr>
          <w:rFonts w:ascii="Times New Roman" w:hAnsi="Times New Roman" w:cs="Times New Roman"/>
          <w:sz w:val="24"/>
          <w:szCs w:val="24"/>
          <w:lang w:val="en-IN"/>
        </w:rPr>
        <w:t>The picture in Australia relating to same sex marriage is not very clear as thses rights are considered by fact,</w:t>
      </w:r>
      <w:r w:rsidR="004B0077">
        <w:rPr>
          <w:rFonts w:ascii="Times New Roman" w:hAnsi="Times New Roman" w:cs="Times New Roman"/>
          <w:sz w:val="24"/>
          <w:szCs w:val="24"/>
          <w:lang w:val="en-IN"/>
        </w:rPr>
        <w:t xml:space="preserve"> </w:t>
      </w:r>
      <w:r>
        <w:rPr>
          <w:rFonts w:ascii="Times New Roman" w:hAnsi="Times New Roman" w:cs="Times New Roman"/>
          <w:sz w:val="24"/>
          <w:szCs w:val="24"/>
          <w:lang w:val="en-IN"/>
        </w:rPr>
        <w:t>that is de facto as per the Australian feredral law.However each and every state in Australia is empowered to make laws regulating rights of same sex people in their own respective territories.However they are prohibited marrying under the Federal Marriage Act of 1961,as amended in 2004.</w:t>
      </w:r>
    </w:p>
    <w:p w:rsidR="008847ED" w:rsidRDefault="008847ED" w:rsidP="008847ED">
      <w:pPr>
        <w:spacing w:line="360" w:lineRule="auto"/>
        <w:jc w:val="center"/>
        <w:rPr>
          <w:rFonts w:ascii="Times New Roman" w:hAnsi="Times New Roman" w:cs="Times New Roman"/>
          <w:b/>
          <w:sz w:val="24"/>
          <w:szCs w:val="24"/>
          <w:u w:val="single"/>
          <w:lang w:val="en-IN"/>
        </w:rPr>
      </w:pPr>
      <w:r>
        <w:rPr>
          <w:rFonts w:ascii="Times New Roman" w:hAnsi="Times New Roman" w:cs="Times New Roman"/>
          <w:b/>
          <w:sz w:val="24"/>
          <w:szCs w:val="24"/>
          <w:u w:val="single"/>
          <w:lang w:val="en-IN"/>
        </w:rPr>
        <w:t>CONCLUSION</w:t>
      </w:r>
    </w:p>
    <w:p w:rsidR="00371BCD" w:rsidRDefault="00B60213" w:rsidP="00B60213">
      <w:pPr>
        <w:spacing w:line="360" w:lineRule="auto"/>
        <w:jc w:val="both"/>
        <w:rPr>
          <w:rFonts w:ascii="Times New Roman" w:hAnsi="Times New Roman" w:cs="Times New Roman"/>
          <w:sz w:val="24"/>
          <w:szCs w:val="24"/>
          <w:lang w:val="en-IN"/>
        </w:rPr>
      </w:pPr>
      <w:r>
        <w:rPr>
          <w:rFonts w:ascii="Times New Roman" w:hAnsi="Times New Roman" w:cs="Times New Roman"/>
          <w:sz w:val="24"/>
          <w:szCs w:val="24"/>
          <w:lang w:val="en-IN"/>
        </w:rPr>
        <w:t xml:space="preserve">It can be concluded that the legal recognition of same sex marriage greatly depends upon a country’s institutional forces,in simple terms its law making agencies that is the legislature and the judiciary.This fact can be seen from this article where same sex marriage was legally </w:t>
      </w:r>
      <w:r>
        <w:rPr>
          <w:rFonts w:ascii="Times New Roman" w:hAnsi="Times New Roman" w:cs="Times New Roman"/>
          <w:sz w:val="24"/>
          <w:szCs w:val="24"/>
          <w:lang w:val="en-IN"/>
        </w:rPr>
        <w:lastRenderedPageBreak/>
        <w:t>recognized in United States of America,United Kingdom,and South Africa through various statutes which were enacted for its recognition and upto to some extent through the judicial pronouncements of the courts.Eventhough,the primary reason why same sex marriage is not recognized in In</w:t>
      </w:r>
      <w:r w:rsidR="00371BCD">
        <w:rPr>
          <w:rFonts w:ascii="Times New Roman" w:hAnsi="Times New Roman" w:cs="Times New Roman"/>
          <w:sz w:val="24"/>
          <w:szCs w:val="24"/>
          <w:lang w:val="en-IN"/>
        </w:rPr>
        <w:t>dia is due to the absence of enacted statute</w:t>
      </w:r>
      <w:r>
        <w:rPr>
          <w:rFonts w:ascii="Times New Roman" w:hAnsi="Times New Roman" w:cs="Times New Roman"/>
          <w:sz w:val="24"/>
          <w:szCs w:val="24"/>
          <w:lang w:val="en-IN"/>
        </w:rPr>
        <w:t xml:space="preserve"> statute regarding such issue as it was rightly held in Supriyo case.</w:t>
      </w:r>
      <w:r w:rsidR="00371BCD">
        <w:rPr>
          <w:rFonts w:ascii="Times New Roman" w:hAnsi="Times New Roman" w:cs="Times New Roman"/>
          <w:sz w:val="24"/>
          <w:szCs w:val="24"/>
          <w:lang w:val="en-IN"/>
        </w:rPr>
        <w:t>Same sex marriage is still seen as an offence in many Arab countries as it is criminalized in their respective statutes,made by their law making bodies. Hence the country’s institutional forces play a major role in determining the status-quo of same sex marriage rights.</w:t>
      </w:r>
      <w:r w:rsidR="009859CB">
        <w:rPr>
          <w:rFonts w:ascii="Times New Roman" w:hAnsi="Times New Roman" w:cs="Times New Roman"/>
          <w:sz w:val="24"/>
          <w:szCs w:val="24"/>
          <w:lang w:val="en-IN"/>
        </w:rPr>
        <w:t>However,the consensus of the majority people of the country is relevant ,the legislature would enact law if it deems necessary,that is with a view what the enacted legislation would result in the betterment of the nation and would adress the pressing matters in hand and not solely on the will of the people.For eg,a nation which is in a state of war with other nations or is plagued with diseases, to them same sex marriage is not a pressing matter and the legislature would not address it.</w:t>
      </w:r>
    </w:p>
    <w:p w:rsidR="009859CB" w:rsidRDefault="00C237E9" w:rsidP="009859CB">
      <w:pPr>
        <w:spacing w:line="360" w:lineRule="auto"/>
        <w:jc w:val="center"/>
        <w:rPr>
          <w:rFonts w:ascii="Times New Roman" w:hAnsi="Times New Roman" w:cs="Times New Roman"/>
          <w:b/>
          <w:sz w:val="24"/>
          <w:szCs w:val="24"/>
          <w:u w:val="single"/>
          <w:lang w:val="en-IN"/>
        </w:rPr>
      </w:pPr>
      <w:r>
        <w:rPr>
          <w:rFonts w:ascii="Times New Roman" w:hAnsi="Times New Roman" w:cs="Times New Roman"/>
          <w:b/>
          <w:sz w:val="24"/>
          <w:szCs w:val="24"/>
          <w:u w:val="single"/>
          <w:lang w:val="en-IN"/>
        </w:rPr>
        <w:t>CITATION(20</w:t>
      </w:r>
      <w:r w:rsidRPr="00C237E9">
        <w:rPr>
          <w:rFonts w:ascii="Times New Roman" w:hAnsi="Times New Roman" w:cs="Times New Roman"/>
          <w:b/>
          <w:sz w:val="24"/>
          <w:szCs w:val="24"/>
          <w:u w:val="single"/>
          <w:vertAlign w:val="superscript"/>
          <w:lang w:val="en-IN"/>
        </w:rPr>
        <w:t>th</w:t>
      </w:r>
      <w:r>
        <w:rPr>
          <w:rFonts w:ascii="Times New Roman" w:hAnsi="Times New Roman" w:cs="Times New Roman"/>
          <w:b/>
          <w:sz w:val="24"/>
          <w:szCs w:val="24"/>
          <w:u w:val="single"/>
          <w:lang w:val="en-IN"/>
        </w:rPr>
        <w:t xml:space="preserve"> Edition)</w:t>
      </w:r>
    </w:p>
    <w:p w:rsidR="00C237E9" w:rsidRDefault="00FE7A45" w:rsidP="00FE7A45">
      <w:pPr>
        <w:pStyle w:val="ListParagraph"/>
        <w:numPr>
          <w:ilvl w:val="0"/>
          <w:numId w:val="2"/>
        </w:numPr>
        <w:spacing w:line="360" w:lineRule="auto"/>
        <w:rPr>
          <w:rFonts w:ascii="Times New Roman" w:hAnsi="Times New Roman" w:cs="Times New Roman"/>
          <w:b/>
          <w:sz w:val="24"/>
          <w:szCs w:val="24"/>
          <w:u w:val="single"/>
          <w:lang w:val="en-IN"/>
        </w:rPr>
      </w:pPr>
      <w:r>
        <w:rPr>
          <w:rFonts w:ascii="Times New Roman" w:hAnsi="Times New Roman" w:cs="Times New Roman"/>
          <w:b/>
          <w:sz w:val="24"/>
          <w:szCs w:val="24"/>
          <w:u w:val="single"/>
          <w:lang w:val="en-IN"/>
        </w:rPr>
        <w:t>CASES</w:t>
      </w:r>
    </w:p>
    <w:p w:rsidR="00FE7A45" w:rsidRPr="00FE7A45" w:rsidRDefault="00FE7A45" w:rsidP="00FE7A45">
      <w:pPr>
        <w:pStyle w:val="ListParagraph"/>
        <w:numPr>
          <w:ilvl w:val="0"/>
          <w:numId w:val="1"/>
        </w:numPr>
        <w:spacing w:line="360" w:lineRule="auto"/>
        <w:rPr>
          <w:rFonts w:ascii="Times New Roman" w:hAnsi="Times New Roman" w:cs="Times New Roman"/>
          <w:b/>
          <w:sz w:val="24"/>
          <w:szCs w:val="24"/>
          <w:u w:val="single"/>
          <w:lang w:val="en-IN"/>
        </w:rPr>
      </w:pPr>
      <w:r>
        <w:rPr>
          <w:rFonts w:ascii="Times New Roman" w:hAnsi="Times New Roman" w:cs="Times New Roman"/>
          <w:sz w:val="24"/>
          <w:szCs w:val="24"/>
          <w:lang w:val="en-IN"/>
        </w:rPr>
        <w:t xml:space="preserve">Obergefell v. Hodges </w:t>
      </w:r>
      <w:r w:rsidRPr="00FE7A45">
        <w:rPr>
          <w:rFonts w:ascii="Times New Roman" w:hAnsi="Times New Roman" w:cs="Times New Roman"/>
          <w:sz w:val="24"/>
          <w:szCs w:val="24"/>
          <w:lang w:val="en-IN"/>
        </w:rPr>
        <w:t>576 U.S. 2015</w:t>
      </w:r>
    </w:p>
    <w:p w:rsidR="00FE7A45" w:rsidRDefault="00FE7A45" w:rsidP="00FE7A45">
      <w:pPr>
        <w:pStyle w:val="ListParagraph"/>
        <w:numPr>
          <w:ilvl w:val="0"/>
          <w:numId w:val="1"/>
        </w:numPr>
        <w:spacing w:line="360" w:lineRule="auto"/>
        <w:rPr>
          <w:rFonts w:ascii="Times New Roman" w:hAnsi="Times New Roman" w:cs="Times New Roman"/>
          <w:sz w:val="24"/>
          <w:szCs w:val="24"/>
          <w:lang w:val="en-IN"/>
        </w:rPr>
      </w:pPr>
      <w:r w:rsidRPr="00FE7A45">
        <w:rPr>
          <w:rFonts w:ascii="Times New Roman" w:hAnsi="Times New Roman" w:cs="Times New Roman"/>
          <w:sz w:val="24"/>
          <w:szCs w:val="24"/>
          <w:lang w:val="en-IN"/>
        </w:rPr>
        <w:t>Baker v. Nelson 291 Minn. 310, 191 N.W.2d 185 (1971)</w:t>
      </w:r>
    </w:p>
    <w:p w:rsidR="00172420" w:rsidRDefault="005369B2" w:rsidP="00FE7A45">
      <w:pPr>
        <w:pStyle w:val="ListParagraph"/>
        <w:numPr>
          <w:ilvl w:val="0"/>
          <w:numId w:val="1"/>
        </w:numPr>
        <w:spacing w:line="360" w:lineRule="auto"/>
        <w:rPr>
          <w:rFonts w:ascii="Times New Roman" w:hAnsi="Times New Roman" w:cs="Times New Roman"/>
          <w:sz w:val="24"/>
          <w:szCs w:val="24"/>
          <w:lang w:val="en-IN"/>
        </w:rPr>
      </w:pPr>
      <w:r w:rsidRPr="005369B2">
        <w:rPr>
          <w:rFonts w:ascii="Times New Roman" w:hAnsi="Times New Roman" w:cs="Times New Roman"/>
          <w:sz w:val="24"/>
          <w:szCs w:val="24"/>
          <w:lang w:val="en-IN"/>
        </w:rPr>
        <w:t>Crake &amp; Butterworth v.Supplementary Benefits Commission</w:t>
      </w:r>
      <w:r w:rsidR="00D3100A">
        <w:rPr>
          <w:rFonts w:ascii="Times New Roman" w:hAnsi="Times New Roman" w:cs="Times New Roman"/>
          <w:sz w:val="24"/>
          <w:szCs w:val="24"/>
          <w:lang w:val="en-IN"/>
        </w:rPr>
        <w:t xml:space="preserve"> </w:t>
      </w:r>
      <w:r w:rsidR="00D3100A" w:rsidRPr="00D3100A">
        <w:rPr>
          <w:rFonts w:ascii="Times New Roman" w:hAnsi="Times New Roman" w:cs="Times New Roman"/>
          <w:sz w:val="24"/>
          <w:szCs w:val="24"/>
          <w:lang w:val="en-IN"/>
        </w:rPr>
        <w:t>[1982] 1 All ER 498</w:t>
      </w:r>
    </w:p>
    <w:p w:rsidR="00D3100A" w:rsidRDefault="00D3100A" w:rsidP="00FE7A45">
      <w:pPr>
        <w:pStyle w:val="ListParagraph"/>
        <w:numPr>
          <w:ilvl w:val="0"/>
          <w:numId w:val="1"/>
        </w:numPr>
        <w:spacing w:line="360" w:lineRule="auto"/>
        <w:rPr>
          <w:rFonts w:ascii="Times New Roman" w:hAnsi="Times New Roman" w:cs="Times New Roman"/>
          <w:sz w:val="24"/>
          <w:szCs w:val="24"/>
          <w:lang w:val="en-IN"/>
        </w:rPr>
      </w:pPr>
      <w:r w:rsidRPr="00D3100A">
        <w:rPr>
          <w:rFonts w:ascii="Times New Roman" w:hAnsi="Times New Roman" w:cs="Times New Roman"/>
          <w:sz w:val="24"/>
          <w:szCs w:val="24"/>
          <w:lang w:val="en-IN"/>
        </w:rPr>
        <w:t>Naz Foundation v. Government of NCT of Delhi</w:t>
      </w:r>
      <w:r>
        <w:rPr>
          <w:rFonts w:ascii="Times New Roman" w:hAnsi="Times New Roman" w:cs="Times New Roman"/>
          <w:sz w:val="24"/>
          <w:szCs w:val="24"/>
          <w:lang w:val="en-IN"/>
        </w:rPr>
        <w:t xml:space="preserve"> </w:t>
      </w:r>
      <w:r w:rsidRPr="00D3100A">
        <w:rPr>
          <w:rFonts w:ascii="Times New Roman" w:hAnsi="Times New Roman" w:cs="Times New Roman"/>
          <w:sz w:val="24"/>
          <w:szCs w:val="24"/>
          <w:lang w:val="en-IN"/>
        </w:rPr>
        <w:t>WP(C) No. 7455/2001</w:t>
      </w:r>
    </w:p>
    <w:p w:rsidR="004B0077" w:rsidRDefault="004B0077" w:rsidP="00FE7A45">
      <w:pPr>
        <w:pStyle w:val="ListParagraph"/>
        <w:numPr>
          <w:ilvl w:val="0"/>
          <w:numId w:val="1"/>
        </w:numPr>
        <w:spacing w:line="360" w:lineRule="auto"/>
        <w:rPr>
          <w:rFonts w:ascii="Times New Roman" w:hAnsi="Times New Roman" w:cs="Times New Roman"/>
          <w:sz w:val="24"/>
          <w:szCs w:val="24"/>
          <w:lang w:val="en-IN"/>
        </w:rPr>
      </w:pPr>
      <w:r w:rsidRPr="004B0077">
        <w:rPr>
          <w:rFonts w:ascii="Times New Roman" w:hAnsi="Times New Roman" w:cs="Times New Roman"/>
          <w:sz w:val="24"/>
          <w:szCs w:val="24"/>
          <w:lang w:val="en-IN"/>
        </w:rPr>
        <w:t>Suresh Kumar Koushal v. Naz Foundation(2013)</w:t>
      </w:r>
    </w:p>
    <w:p w:rsidR="004B0077" w:rsidRDefault="004B0077" w:rsidP="00FE7A45">
      <w:pPr>
        <w:pStyle w:val="ListParagraph"/>
        <w:numPr>
          <w:ilvl w:val="0"/>
          <w:numId w:val="1"/>
        </w:numPr>
        <w:spacing w:line="360" w:lineRule="auto"/>
        <w:rPr>
          <w:rFonts w:ascii="Times New Roman" w:hAnsi="Times New Roman" w:cs="Times New Roman"/>
          <w:sz w:val="24"/>
          <w:szCs w:val="24"/>
          <w:lang w:val="en-IN"/>
        </w:rPr>
      </w:pPr>
      <w:r w:rsidRPr="004B0077">
        <w:rPr>
          <w:rFonts w:ascii="Times New Roman" w:hAnsi="Times New Roman" w:cs="Times New Roman"/>
          <w:sz w:val="24"/>
          <w:szCs w:val="24"/>
          <w:lang w:val="en-IN"/>
        </w:rPr>
        <w:t>National Legal Services Authority v. Union of India</w:t>
      </w:r>
      <w:r>
        <w:rPr>
          <w:rFonts w:ascii="Times New Roman" w:hAnsi="Times New Roman" w:cs="Times New Roman"/>
          <w:sz w:val="24"/>
          <w:szCs w:val="24"/>
          <w:lang w:val="en-IN"/>
        </w:rPr>
        <w:t xml:space="preserve"> </w:t>
      </w:r>
      <w:r w:rsidRPr="004B0077">
        <w:rPr>
          <w:rFonts w:ascii="Times New Roman" w:hAnsi="Times New Roman" w:cs="Times New Roman"/>
          <w:sz w:val="24"/>
          <w:szCs w:val="24"/>
          <w:lang w:val="en-IN"/>
        </w:rPr>
        <w:t>2014 INSC 275</w:t>
      </w:r>
    </w:p>
    <w:p w:rsidR="004B0077" w:rsidRDefault="004B0077" w:rsidP="00FE7A45">
      <w:pPr>
        <w:pStyle w:val="ListParagraph"/>
        <w:numPr>
          <w:ilvl w:val="0"/>
          <w:numId w:val="1"/>
        </w:numPr>
        <w:spacing w:line="360" w:lineRule="auto"/>
        <w:rPr>
          <w:rFonts w:ascii="Times New Roman" w:hAnsi="Times New Roman" w:cs="Times New Roman"/>
          <w:sz w:val="24"/>
          <w:szCs w:val="24"/>
          <w:lang w:val="en-IN"/>
        </w:rPr>
      </w:pPr>
      <w:r>
        <w:rPr>
          <w:rFonts w:ascii="Times New Roman" w:hAnsi="Times New Roman" w:cs="Times New Roman"/>
          <w:sz w:val="24"/>
          <w:szCs w:val="24"/>
          <w:lang w:val="en-IN"/>
        </w:rPr>
        <w:t xml:space="preserve">Navtej </w:t>
      </w:r>
      <w:r w:rsidRPr="004B0077">
        <w:rPr>
          <w:rFonts w:ascii="Times New Roman" w:hAnsi="Times New Roman" w:cs="Times New Roman"/>
          <w:sz w:val="24"/>
          <w:szCs w:val="24"/>
          <w:lang w:val="en-IN"/>
        </w:rPr>
        <w:t>Singh Johar v. Union of India</w:t>
      </w:r>
      <w:r>
        <w:rPr>
          <w:rFonts w:ascii="Times New Roman" w:hAnsi="Times New Roman" w:cs="Times New Roman"/>
          <w:sz w:val="24"/>
          <w:szCs w:val="24"/>
          <w:lang w:val="en-IN"/>
        </w:rPr>
        <w:t xml:space="preserve"> </w:t>
      </w:r>
      <w:r w:rsidRPr="004B0077">
        <w:rPr>
          <w:rFonts w:ascii="Times New Roman" w:hAnsi="Times New Roman" w:cs="Times New Roman"/>
          <w:sz w:val="24"/>
          <w:szCs w:val="24"/>
          <w:lang w:val="en-IN"/>
        </w:rPr>
        <w:t>2018 INSC 790</w:t>
      </w:r>
    </w:p>
    <w:p w:rsidR="004B0077" w:rsidRDefault="004B0077" w:rsidP="00FE7A45">
      <w:pPr>
        <w:pStyle w:val="ListParagraph"/>
        <w:numPr>
          <w:ilvl w:val="0"/>
          <w:numId w:val="1"/>
        </w:numPr>
        <w:spacing w:line="360" w:lineRule="auto"/>
        <w:rPr>
          <w:rFonts w:ascii="Times New Roman" w:hAnsi="Times New Roman" w:cs="Times New Roman"/>
          <w:sz w:val="24"/>
          <w:szCs w:val="24"/>
          <w:lang w:val="en-IN"/>
        </w:rPr>
      </w:pPr>
      <w:r w:rsidRPr="004B0077">
        <w:rPr>
          <w:rFonts w:ascii="Times New Roman" w:hAnsi="Times New Roman" w:cs="Times New Roman"/>
          <w:sz w:val="24"/>
          <w:szCs w:val="24"/>
          <w:lang w:val="en-IN"/>
        </w:rPr>
        <w:t>Supriyo v. Union of India</w:t>
      </w:r>
      <w:r>
        <w:rPr>
          <w:rFonts w:ascii="Times New Roman" w:hAnsi="Times New Roman" w:cs="Times New Roman"/>
          <w:sz w:val="24"/>
          <w:szCs w:val="24"/>
          <w:lang w:val="en-IN"/>
        </w:rPr>
        <w:t xml:space="preserve"> W.P(C) No.1011/2022</w:t>
      </w:r>
    </w:p>
    <w:p w:rsidR="004B0077" w:rsidRDefault="004B0077" w:rsidP="00FE7A45">
      <w:pPr>
        <w:pStyle w:val="ListParagraph"/>
        <w:numPr>
          <w:ilvl w:val="0"/>
          <w:numId w:val="1"/>
        </w:numPr>
        <w:spacing w:line="360" w:lineRule="auto"/>
        <w:rPr>
          <w:rFonts w:ascii="Times New Roman" w:hAnsi="Times New Roman" w:cs="Times New Roman"/>
          <w:sz w:val="24"/>
          <w:szCs w:val="24"/>
          <w:lang w:val="en-IN"/>
        </w:rPr>
      </w:pPr>
      <w:r w:rsidRPr="004B0077">
        <w:rPr>
          <w:rFonts w:ascii="Times New Roman" w:hAnsi="Times New Roman" w:cs="Times New Roman"/>
          <w:sz w:val="24"/>
          <w:szCs w:val="24"/>
          <w:lang w:val="en-IN"/>
        </w:rPr>
        <w:t>Minister of Home Affairs v. Fourie</w:t>
      </w:r>
      <w:r>
        <w:rPr>
          <w:rFonts w:ascii="Times New Roman" w:hAnsi="Times New Roman" w:cs="Times New Roman"/>
          <w:sz w:val="24"/>
          <w:szCs w:val="24"/>
          <w:lang w:val="en-IN"/>
        </w:rPr>
        <w:t xml:space="preserve"> </w:t>
      </w:r>
      <w:r w:rsidRPr="004B0077">
        <w:rPr>
          <w:rFonts w:ascii="Times New Roman" w:hAnsi="Times New Roman" w:cs="Times New Roman"/>
          <w:sz w:val="24"/>
          <w:szCs w:val="24"/>
          <w:lang w:val="en-IN"/>
        </w:rPr>
        <w:t>[2005] ZACC 19</w:t>
      </w:r>
    </w:p>
    <w:p w:rsidR="00CC1738" w:rsidRPr="00CC1738" w:rsidRDefault="00CC1738" w:rsidP="00CC1738">
      <w:pPr>
        <w:pStyle w:val="ListParagraph"/>
        <w:numPr>
          <w:ilvl w:val="0"/>
          <w:numId w:val="2"/>
        </w:numPr>
        <w:spacing w:line="360" w:lineRule="auto"/>
        <w:rPr>
          <w:rFonts w:ascii="Times New Roman" w:hAnsi="Times New Roman" w:cs="Times New Roman"/>
          <w:sz w:val="24"/>
          <w:szCs w:val="24"/>
          <w:lang w:val="en-IN"/>
        </w:rPr>
      </w:pPr>
      <w:r>
        <w:rPr>
          <w:rFonts w:ascii="Times New Roman" w:hAnsi="Times New Roman" w:cs="Times New Roman"/>
          <w:b/>
          <w:sz w:val="24"/>
          <w:szCs w:val="24"/>
          <w:u w:val="single"/>
          <w:lang w:val="en-IN"/>
        </w:rPr>
        <w:t>STATUTES/CONSTITUTIONS</w:t>
      </w:r>
    </w:p>
    <w:p w:rsidR="00CC1738" w:rsidRDefault="008A6B5F" w:rsidP="00CC1738">
      <w:pPr>
        <w:pStyle w:val="ListParagraph"/>
        <w:numPr>
          <w:ilvl w:val="0"/>
          <w:numId w:val="3"/>
        </w:numPr>
        <w:spacing w:line="360" w:lineRule="auto"/>
        <w:rPr>
          <w:rFonts w:ascii="Times New Roman" w:hAnsi="Times New Roman" w:cs="Times New Roman"/>
          <w:sz w:val="24"/>
          <w:szCs w:val="24"/>
          <w:lang w:val="en-IN"/>
        </w:rPr>
      </w:pPr>
      <w:r>
        <w:rPr>
          <w:rFonts w:ascii="Times New Roman" w:hAnsi="Times New Roman" w:cs="Times New Roman"/>
          <w:sz w:val="24"/>
          <w:szCs w:val="24"/>
          <w:lang w:val="en-IN"/>
        </w:rPr>
        <w:t xml:space="preserve">Indian Constitution-Article 14,15,16,19 and 21 </w:t>
      </w:r>
    </w:p>
    <w:p w:rsidR="008A6B5F" w:rsidRDefault="008A6B5F" w:rsidP="00CC1738">
      <w:pPr>
        <w:pStyle w:val="ListParagraph"/>
        <w:numPr>
          <w:ilvl w:val="0"/>
          <w:numId w:val="3"/>
        </w:numPr>
        <w:spacing w:line="360" w:lineRule="auto"/>
        <w:rPr>
          <w:rFonts w:ascii="Times New Roman" w:hAnsi="Times New Roman" w:cs="Times New Roman"/>
          <w:sz w:val="24"/>
          <w:szCs w:val="24"/>
          <w:lang w:val="en-IN"/>
        </w:rPr>
      </w:pPr>
      <w:r>
        <w:rPr>
          <w:rFonts w:ascii="Times New Roman" w:hAnsi="Times New Roman" w:cs="Times New Roman"/>
          <w:sz w:val="24"/>
          <w:szCs w:val="24"/>
          <w:lang w:val="en-IN"/>
        </w:rPr>
        <w:t xml:space="preserve">Sections- Section377 of Indian Penal Code </w:t>
      </w:r>
    </w:p>
    <w:p w:rsidR="00D826A5" w:rsidRDefault="00D826A5" w:rsidP="00D826A5">
      <w:pPr>
        <w:pStyle w:val="ListParagraph"/>
        <w:numPr>
          <w:ilvl w:val="0"/>
          <w:numId w:val="2"/>
        </w:numPr>
        <w:spacing w:line="360" w:lineRule="auto"/>
        <w:rPr>
          <w:rFonts w:ascii="Times New Roman" w:hAnsi="Times New Roman" w:cs="Times New Roman"/>
          <w:b/>
          <w:sz w:val="24"/>
          <w:szCs w:val="24"/>
          <w:u w:val="single"/>
          <w:lang w:val="en-IN"/>
        </w:rPr>
      </w:pPr>
      <w:r w:rsidRPr="00D826A5">
        <w:rPr>
          <w:rFonts w:ascii="Times New Roman" w:hAnsi="Times New Roman" w:cs="Times New Roman"/>
          <w:b/>
          <w:sz w:val="24"/>
          <w:szCs w:val="24"/>
          <w:u w:val="single"/>
          <w:lang w:val="en-IN"/>
        </w:rPr>
        <w:t>INTERNET SOURCES</w:t>
      </w:r>
    </w:p>
    <w:p w:rsidR="00D826A5" w:rsidRPr="00EA1375" w:rsidRDefault="00E90D79" w:rsidP="00D826A5">
      <w:pPr>
        <w:pStyle w:val="ListParagraph"/>
        <w:numPr>
          <w:ilvl w:val="0"/>
          <w:numId w:val="4"/>
        </w:numPr>
        <w:spacing w:line="360" w:lineRule="auto"/>
        <w:rPr>
          <w:rFonts w:ascii="Times New Roman" w:hAnsi="Times New Roman" w:cs="Times New Roman"/>
          <w:b/>
          <w:sz w:val="24"/>
          <w:szCs w:val="24"/>
          <w:u w:val="single"/>
          <w:lang w:val="en-IN"/>
        </w:rPr>
      </w:pPr>
      <w:r>
        <w:rPr>
          <w:rFonts w:ascii="Times New Roman" w:hAnsi="Times New Roman" w:cs="Times New Roman"/>
          <w:sz w:val="24"/>
          <w:szCs w:val="24"/>
          <w:lang w:val="en-IN"/>
        </w:rPr>
        <w:t>(SCC n.d.)</w:t>
      </w:r>
    </w:p>
    <w:p w:rsidR="00EA1375" w:rsidRPr="002C5C60" w:rsidRDefault="00EA1375" w:rsidP="00EA1375">
      <w:pPr>
        <w:pStyle w:val="ListParagraph"/>
        <w:numPr>
          <w:ilvl w:val="0"/>
          <w:numId w:val="4"/>
        </w:numPr>
        <w:spacing w:line="360" w:lineRule="auto"/>
        <w:rPr>
          <w:rFonts w:ascii="Times New Roman" w:hAnsi="Times New Roman" w:cs="Times New Roman"/>
          <w:b/>
          <w:sz w:val="24"/>
          <w:szCs w:val="24"/>
          <w:u w:val="single"/>
          <w:lang w:val="en-IN"/>
        </w:rPr>
      </w:pPr>
      <w:r>
        <w:rPr>
          <w:rFonts w:ascii="Times New Roman" w:hAnsi="Times New Roman" w:cs="Times New Roman"/>
          <w:sz w:val="24"/>
          <w:szCs w:val="24"/>
          <w:lang w:val="en-IN"/>
        </w:rPr>
        <w:t>Indiankanoon.org</w:t>
      </w:r>
    </w:p>
    <w:p w:rsidR="00E90D79" w:rsidRPr="00E90D79" w:rsidRDefault="00E90D79" w:rsidP="00E90D79">
      <w:pPr>
        <w:spacing w:line="360" w:lineRule="auto"/>
        <w:rPr>
          <w:rFonts w:ascii="Times New Roman" w:hAnsi="Times New Roman" w:cs="Times New Roman"/>
          <w:b/>
          <w:sz w:val="24"/>
          <w:szCs w:val="24"/>
          <w:u w:val="single"/>
          <w:lang w:val="en-IN"/>
        </w:rPr>
      </w:pPr>
    </w:p>
    <w:p w:rsidR="008847ED" w:rsidRPr="008847ED" w:rsidRDefault="008847ED" w:rsidP="008847ED">
      <w:pPr>
        <w:spacing w:line="360" w:lineRule="auto"/>
        <w:rPr>
          <w:rFonts w:ascii="Times New Roman" w:hAnsi="Times New Roman" w:cs="Times New Roman"/>
          <w:sz w:val="24"/>
          <w:szCs w:val="24"/>
          <w:lang w:val="en-IN"/>
        </w:rPr>
      </w:pPr>
    </w:p>
    <w:p w:rsidR="00B82226" w:rsidRPr="00B82226" w:rsidRDefault="00B82226" w:rsidP="00B82226">
      <w:pPr>
        <w:spacing w:line="360" w:lineRule="auto"/>
        <w:rPr>
          <w:rFonts w:ascii="Times New Roman" w:hAnsi="Times New Roman" w:cs="Times New Roman"/>
          <w:b/>
          <w:sz w:val="24"/>
          <w:szCs w:val="24"/>
          <w:u w:val="single"/>
          <w:lang w:val="en-IN"/>
        </w:rPr>
      </w:pPr>
    </w:p>
    <w:p w:rsidR="00D92DBD" w:rsidRPr="00A00D39" w:rsidRDefault="00D92DBD" w:rsidP="008139AB">
      <w:pPr>
        <w:spacing w:line="360" w:lineRule="auto"/>
        <w:jc w:val="both"/>
        <w:rPr>
          <w:rFonts w:ascii="Times New Roman" w:hAnsi="Times New Roman" w:cs="Times New Roman"/>
          <w:sz w:val="24"/>
          <w:szCs w:val="24"/>
          <w:lang w:val="en-IN"/>
        </w:rPr>
      </w:pPr>
    </w:p>
    <w:p w:rsidR="002C4114" w:rsidRPr="008E2C15" w:rsidRDefault="002C4114" w:rsidP="002C4114">
      <w:pPr>
        <w:spacing w:line="360" w:lineRule="auto"/>
        <w:jc w:val="center"/>
        <w:rPr>
          <w:rFonts w:ascii="Times New Roman" w:hAnsi="Times New Roman" w:cs="Times New Roman"/>
          <w:b/>
          <w:sz w:val="24"/>
          <w:szCs w:val="24"/>
          <w:lang w:val="en-IN"/>
        </w:rPr>
      </w:pPr>
    </w:p>
    <w:sectPr w:rsidR="002C4114" w:rsidRPr="008E2C15" w:rsidSect="002D4894">
      <w:pgSz w:w="12240" w:h="15840"/>
      <w:pgMar w:top="1440" w:right="1440" w:bottom="1440" w:left="1440"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B464F" w:rsidRDefault="004B464F" w:rsidP="00F4579C">
      <w:pPr>
        <w:spacing w:after="0" w:line="240" w:lineRule="auto"/>
      </w:pPr>
      <w:r>
        <w:separator/>
      </w:r>
    </w:p>
  </w:endnote>
  <w:endnote w:type="continuationSeparator" w:id="1">
    <w:p w:rsidR="004B464F" w:rsidRDefault="004B464F" w:rsidP="00F4579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B464F" w:rsidRDefault="004B464F" w:rsidP="00F4579C">
      <w:pPr>
        <w:spacing w:after="0" w:line="240" w:lineRule="auto"/>
      </w:pPr>
      <w:r>
        <w:separator/>
      </w:r>
    </w:p>
  </w:footnote>
  <w:footnote w:type="continuationSeparator" w:id="1">
    <w:p w:rsidR="004B464F" w:rsidRDefault="004B464F" w:rsidP="00F4579C">
      <w:pPr>
        <w:spacing w:after="0" w:line="240" w:lineRule="auto"/>
      </w:pPr>
      <w:r>
        <w:continuationSeparator/>
      </w:r>
    </w:p>
  </w:footnote>
  <w:footnote w:id="2">
    <w:p w:rsidR="00F4579C" w:rsidRPr="005E68B7" w:rsidRDefault="00F4579C" w:rsidP="004F5CF4">
      <w:pPr>
        <w:pStyle w:val="FootnoteText"/>
        <w:jc w:val="both"/>
        <w:rPr>
          <w:rFonts w:ascii="Times New Roman" w:hAnsi="Times New Roman" w:cs="Times New Roman"/>
          <w:lang w:val="en-IN"/>
        </w:rPr>
      </w:pPr>
      <w:r w:rsidRPr="005E68B7">
        <w:rPr>
          <w:rStyle w:val="FootnoteReference"/>
        </w:rPr>
        <w:footnoteRef/>
      </w:r>
      <w:r w:rsidRPr="005E68B7">
        <w:t xml:space="preserve"> </w:t>
      </w:r>
      <w:r w:rsidRPr="005E68B7">
        <w:rPr>
          <w:rFonts w:ascii="Times New Roman" w:hAnsi="Times New Roman" w:cs="Times New Roman"/>
        </w:rPr>
        <w:t>LGBTQIA+ is an abbreviation for lesbian, gay, bisexual, transgender, queer or questioning, intersex, asexual, and more. These terms are used to describe a person’s sexual orientation or gender identity. The community through long struggles and movements has been officially recognized for its rights in several nations.</w:t>
      </w:r>
    </w:p>
  </w:footnote>
  <w:footnote w:id="3">
    <w:p w:rsidR="004F5CF4" w:rsidRPr="005E68B7" w:rsidRDefault="004F5CF4" w:rsidP="004F5CF4">
      <w:pPr>
        <w:pStyle w:val="FootnoteText"/>
        <w:jc w:val="both"/>
        <w:rPr>
          <w:lang w:val="en-IN"/>
        </w:rPr>
      </w:pPr>
      <w:r w:rsidRPr="005E68B7">
        <w:rPr>
          <w:rStyle w:val="FootnoteReference"/>
        </w:rPr>
        <w:footnoteRef/>
      </w:r>
      <w:r w:rsidRPr="005E68B7">
        <w:t xml:space="preserve"> In ancient Greece, an eromenos was the younger and passive (or 'receptive') partner in a male homosexual relationship. The partner of an eromenos was the erastes, the older and active partner. The eromenos was often depicted as beautiful, beardless and more youthful-looking than the erastes.</w:t>
      </w:r>
    </w:p>
  </w:footnote>
  <w:footnote w:id="4">
    <w:p w:rsidR="000B6E9A" w:rsidRPr="005E68B7" w:rsidRDefault="000B6E9A">
      <w:pPr>
        <w:pStyle w:val="FootnoteText"/>
        <w:rPr>
          <w:rFonts w:ascii="Times New Roman" w:hAnsi="Times New Roman" w:cs="Times New Roman"/>
          <w:lang w:val="en-IN"/>
        </w:rPr>
      </w:pPr>
      <w:r w:rsidRPr="005E68B7">
        <w:rPr>
          <w:rStyle w:val="FootnoteReference"/>
          <w:rFonts w:ascii="Times New Roman" w:hAnsi="Times New Roman" w:cs="Times New Roman"/>
        </w:rPr>
        <w:footnoteRef/>
      </w:r>
      <w:r w:rsidRPr="005E68B7">
        <w:rPr>
          <w:rFonts w:ascii="Times New Roman" w:hAnsi="Times New Roman" w:cs="Times New Roman"/>
        </w:rPr>
        <w:t xml:space="preserve"> 576 U.S. 2015</w:t>
      </w:r>
    </w:p>
  </w:footnote>
  <w:footnote w:id="5">
    <w:p w:rsidR="007E3CBA" w:rsidRPr="007E3CBA" w:rsidRDefault="007E3CBA">
      <w:pPr>
        <w:pStyle w:val="FootnoteText"/>
        <w:rPr>
          <w:sz w:val="16"/>
          <w:szCs w:val="16"/>
          <w:lang w:val="en-IN"/>
        </w:rPr>
      </w:pPr>
      <w:r w:rsidRPr="005E68B7">
        <w:rPr>
          <w:rStyle w:val="FootnoteReference"/>
        </w:rPr>
        <w:footnoteRef/>
      </w:r>
      <w:r w:rsidRPr="005E68B7">
        <w:t xml:space="preserve"> Baker v. Nelson 291 Minn. 310, 191 N.W.2d 185 (1971)</w:t>
      </w:r>
    </w:p>
  </w:footnote>
  <w:footnote w:id="6">
    <w:p w:rsidR="005E68B7" w:rsidRPr="00CD26A7" w:rsidRDefault="005E68B7">
      <w:pPr>
        <w:pStyle w:val="FootnoteText"/>
        <w:rPr>
          <w:rFonts w:ascii="Times New Roman" w:hAnsi="Times New Roman" w:cs="Times New Roman"/>
          <w:lang w:val="en-IN"/>
        </w:rPr>
      </w:pPr>
      <w:r w:rsidRPr="00CD26A7">
        <w:rPr>
          <w:rStyle w:val="FootnoteReference"/>
          <w:rFonts w:ascii="Times New Roman" w:hAnsi="Times New Roman" w:cs="Times New Roman"/>
        </w:rPr>
        <w:footnoteRef/>
      </w:r>
      <w:r w:rsidRPr="00CD26A7">
        <w:rPr>
          <w:rFonts w:ascii="Times New Roman" w:hAnsi="Times New Roman" w:cs="Times New Roman"/>
        </w:rPr>
        <w:t xml:space="preserve"> </w:t>
      </w:r>
      <w:hyperlink r:id="rId1" w:history="1">
        <w:r w:rsidR="00CD26A7" w:rsidRPr="00CD26A7">
          <w:rPr>
            <w:rStyle w:val="Hyperlink"/>
            <w:rFonts w:ascii="Times New Roman" w:hAnsi="Times New Roman" w:cs="Times New Roman"/>
          </w:rPr>
          <w:t>14th Amendment | U.S. Constitution | US Law | LII / Legal Information Institute (cornell.edu)</w:t>
        </w:r>
      </w:hyperlink>
    </w:p>
  </w:footnote>
  <w:footnote w:id="7">
    <w:p w:rsidR="001A756C" w:rsidRPr="001A756C" w:rsidRDefault="001A756C">
      <w:pPr>
        <w:pStyle w:val="FootnoteText"/>
        <w:rPr>
          <w:rFonts w:ascii="Times New Roman" w:hAnsi="Times New Roman" w:cs="Times New Roman"/>
          <w:lang w:val="en-IN"/>
        </w:rPr>
      </w:pPr>
      <w:r w:rsidRPr="001A756C">
        <w:rPr>
          <w:rStyle w:val="FootnoteReference"/>
          <w:rFonts w:ascii="Times New Roman" w:hAnsi="Times New Roman" w:cs="Times New Roman"/>
        </w:rPr>
        <w:footnoteRef/>
      </w:r>
      <w:r w:rsidRPr="001A756C">
        <w:rPr>
          <w:rFonts w:ascii="Times New Roman" w:hAnsi="Times New Roman" w:cs="Times New Roman"/>
        </w:rPr>
        <w:t xml:space="preserve"> The Marriage (Same Sex Couples) Act 2013</w:t>
      </w:r>
    </w:p>
  </w:footnote>
  <w:footnote w:id="8">
    <w:p w:rsidR="007705FA" w:rsidRPr="007705FA" w:rsidRDefault="007705FA">
      <w:pPr>
        <w:pStyle w:val="FootnoteText"/>
        <w:rPr>
          <w:lang w:val="en-IN"/>
        </w:rPr>
      </w:pPr>
      <w:r>
        <w:rPr>
          <w:rStyle w:val="FootnoteReference"/>
        </w:rPr>
        <w:footnoteRef/>
      </w:r>
      <w:r>
        <w:t xml:space="preserve"> </w:t>
      </w:r>
      <w:r w:rsidRPr="007705FA">
        <w:rPr>
          <w:rFonts w:ascii="Times New Roman" w:hAnsi="Times New Roman" w:cs="Times New Roman"/>
        </w:rPr>
        <w:t>The Marriage and Civil Partnership (Scotland) Act 2014</w:t>
      </w:r>
    </w:p>
  </w:footnote>
  <w:footnote w:id="9">
    <w:p w:rsidR="006302ED" w:rsidRPr="00DC5AED" w:rsidRDefault="006302ED">
      <w:pPr>
        <w:pStyle w:val="FootnoteText"/>
        <w:rPr>
          <w:lang w:val="en-IN"/>
        </w:rPr>
      </w:pPr>
      <w:r>
        <w:rPr>
          <w:rStyle w:val="FootnoteReference"/>
        </w:rPr>
        <w:footnoteRef/>
      </w:r>
      <w:r>
        <w:t xml:space="preserve"> </w:t>
      </w:r>
      <w:r w:rsidRPr="006302ED">
        <w:rPr>
          <w:rFonts w:ascii="Times New Roman" w:hAnsi="Times New Roman" w:cs="Times New Roman"/>
        </w:rPr>
        <w:t>[</w:t>
      </w:r>
      <w:r w:rsidRPr="00DC5AED">
        <w:rPr>
          <w:rFonts w:ascii="Times New Roman" w:hAnsi="Times New Roman" w:cs="Times New Roman"/>
        </w:rPr>
        <w:t>1982] 1 All ER 498</w:t>
      </w:r>
    </w:p>
  </w:footnote>
  <w:footnote w:id="10">
    <w:p w:rsidR="00C366DB" w:rsidRPr="00DC5AED" w:rsidRDefault="00C366DB" w:rsidP="00EF10A7">
      <w:pPr>
        <w:pStyle w:val="FootnoteText"/>
        <w:jc w:val="both"/>
        <w:rPr>
          <w:lang w:val="en-IN"/>
        </w:rPr>
      </w:pPr>
      <w:r w:rsidRPr="00DC5AED">
        <w:rPr>
          <w:rStyle w:val="FootnoteReference"/>
        </w:rPr>
        <w:footnoteRef/>
      </w:r>
      <w:r w:rsidRPr="00DC5AED">
        <w:t xml:space="preserve"> </w:t>
      </w:r>
      <w:r w:rsidR="00EF10A7" w:rsidRPr="00DC5AED">
        <w:rPr>
          <w:rFonts w:ascii="Times New Roman" w:hAnsi="Times New Roman" w:cs="Times New Roman"/>
          <w:color w:val="000000"/>
          <w:shd w:val="clear" w:color="auto" w:fill="FFFFFF"/>
        </w:rPr>
        <w:t>Whoever voluntarily has carnal inter</w:t>
      </w:r>
      <w:r w:rsidR="00EF10A7" w:rsidRPr="00DC5AED">
        <w:rPr>
          <w:rFonts w:ascii="Times New Roman" w:hAnsi="Times New Roman" w:cs="Times New Roman"/>
          <w:color w:val="000000"/>
          <w:shd w:val="clear" w:color="auto" w:fill="FFFFFF"/>
        </w:rPr>
        <w:softHyphen/>
        <w:t>course against the order of nature with any man, woman or animal, shall be punished with 1[imprisonment for life], or with impris</w:t>
      </w:r>
      <w:r w:rsidR="00EF10A7" w:rsidRPr="00DC5AED">
        <w:rPr>
          <w:rFonts w:ascii="Times New Roman" w:hAnsi="Times New Roman" w:cs="Times New Roman"/>
          <w:color w:val="000000"/>
          <w:shd w:val="clear" w:color="auto" w:fill="FFFFFF"/>
        </w:rPr>
        <w:softHyphen/>
        <w:t>onment of either description for a term which may extend to ten years, and shall also be liable to fine. Explanation.—Penetration is sufficient to constitute the carnal intercourse necessary to the offence described in this section.</w:t>
      </w:r>
    </w:p>
  </w:footnote>
  <w:footnote w:id="11">
    <w:p w:rsidR="00DC5AED" w:rsidRPr="00F457D2" w:rsidRDefault="00DC5AED" w:rsidP="0096212E">
      <w:pPr>
        <w:pStyle w:val="FootnoteText"/>
        <w:jc w:val="both"/>
        <w:rPr>
          <w:rFonts w:ascii="Times New Roman" w:hAnsi="Times New Roman" w:cs="Times New Roman"/>
          <w:lang w:val="en-IN"/>
        </w:rPr>
      </w:pPr>
      <w:r w:rsidRPr="00F457D2">
        <w:rPr>
          <w:rStyle w:val="FootnoteReference"/>
          <w:rFonts w:ascii="Times New Roman" w:hAnsi="Times New Roman" w:cs="Times New Roman"/>
        </w:rPr>
        <w:footnoteRef/>
      </w:r>
      <w:r w:rsidRPr="00F457D2">
        <w:rPr>
          <w:rFonts w:ascii="Times New Roman" w:hAnsi="Times New Roman" w:cs="Times New Roman"/>
        </w:rPr>
        <w:t xml:space="preserve"> </w:t>
      </w:r>
      <w:r w:rsidRPr="00F457D2">
        <w:rPr>
          <w:rFonts w:ascii="Times New Roman" w:hAnsi="Times New Roman" w:cs="Times New Roman"/>
          <w:color w:val="000000"/>
          <w:shd w:val="clear" w:color="auto" w:fill="FFFFFF"/>
        </w:rPr>
        <w:t>Equality before law The State shall not deny to any person equality before the law or the equal protection of the laws within the territory of India Prohibition of discrimination on grounds of religion, race, caste, sex or place of birth</w:t>
      </w:r>
    </w:p>
  </w:footnote>
  <w:footnote w:id="12">
    <w:p w:rsidR="00DC5AED" w:rsidRPr="00F457D2" w:rsidRDefault="00DC5AED" w:rsidP="0096212E">
      <w:pPr>
        <w:pStyle w:val="FootnoteText"/>
        <w:jc w:val="both"/>
        <w:rPr>
          <w:rFonts w:ascii="Times New Roman" w:hAnsi="Times New Roman" w:cs="Times New Roman"/>
          <w:lang w:val="en-IN"/>
        </w:rPr>
      </w:pPr>
      <w:r w:rsidRPr="00F457D2">
        <w:rPr>
          <w:rStyle w:val="FootnoteReference"/>
          <w:rFonts w:ascii="Times New Roman" w:hAnsi="Times New Roman" w:cs="Times New Roman"/>
        </w:rPr>
        <w:footnoteRef/>
      </w:r>
      <w:r w:rsidRPr="00F457D2">
        <w:rPr>
          <w:rFonts w:ascii="Times New Roman" w:hAnsi="Times New Roman" w:cs="Times New Roman"/>
        </w:rPr>
        <w:t xml:space="preserve"> </w:t>
      </w:r>
      <w:r w:rsidRPr="00F457D2">
        <w:rPr>
          <w:rFonts w:ascii="Times New Roman" w:hAnsi="Times New Roman" w:cs="Times New Roman"/>
          <w:color w:val="000000"/>
          <w:shd w:val="clear" w:color="auto" w:fill="FFFFFF"/>
        </w:rPr>
        <w:t>Prohibition of discrimination on grounds of religion, race, caste, sex or place of birth</w:t>
      </w:r>
    </w:p>
  </w:footnote>
  <w:footnote w:id="13">
    <w:p w:rsidR="00DC5AED" w:rsidRPr="00F457D2" w:rsidRDefault="00DC5AED" w:rsidP="0096212E">
      <w:pPr>
        <w:pStyle w:val="FootnoteText"/>
        <w:jc w:val="both"/>
        <w:rPr>
          <w:rFonts w:ascii="Times New Roman" w:hAnsi="Times New Roman" w:cs="Times New Roman"/>
          <w:lang w:val="en-IN"/>
        </w:rPr>
      </w:pPr>
      <w:r w:rsidRPr="00F457D2">
        <w:rPr>
          <w:rStyle w:val="FootnoteReference"/>
          <w:rFonts w:ascii="Times New Roman" w:hAnsi="Times New Roman" w:cs="Times New Roman"/>
        </w:rPr>
        <w:footnoteRef/>
      </w:r>
      <w:r w:rsidRPr="00F457D2">
        <w:rPr>
          <w:rFonts w:ascii="Times New Roman" w:hAnsi="Times New Roman" w:cs="Times New Roman"/>
        </w:rPr>
        <w:t xml:space="preserve"> </w:t>
      </w:r>
      <w:r w:rsidRPr="00F457D2">
        <w:rPr>
          <w:rFonts w:ascii="Times New Roman" w:hAnsi="Times New Roman" w:cs="Times New Roman"/>
          <w:color w:val="000000"/>
          <w:shd w:val="clear" w:color="auto" w:fill="FFFFFF"/>
        </w:rPr>
        <w:t>Protection of certain rights regarding freedom of speech etc</w:t>
      </w:r>
    </w:p>
  </w:footnote>
  <w:footnote w:id="14">
    <w:p w:rsidR="00DC5AED" w:rsidRPr="00F457D2" w:rsidRDefault="00DC5AED" w:rsidP="0096212E">
      <w:pPr>
        <w:pStyle w:val="FootnoteText"/>
        <w:jc w:val="both"/>
        <w:rPr>
          <w:rFonts w:ascii="Times New Roman" w:hAnsi="Times New Roman" w:cs="Times New Roman"/>
          <w:lang w:val="en-IN"/>
        </w:rPr>
      </w:pPr>
      <w:r w:rsidRPr="00F457D2">
        <w:rPr>
          <w:rStyle w:val="FootnoteReference"/>
          <w:rFonts w:ascii="Times New Roman" w:hAnsi="Times New Roman" w:cs="Times New Roman"/>
        </w:rPr>
        <w:footnoteRef/>
      </w:r>
      <w:r w:rsidRPr="00F457D2">
        <w:rPr>
          <w:rFonts w:ascii="Times New Roman" w:hAnsi="Times New Roman" w:cs="Times New Roman"/>
        </w:rPr>
        <w:t xml:space="preserve"> </w:t>
      </w:r>
      <w:r w:rsidR="00396DD6" w:rsidRPr="00F457D2">
        <w:rPr>
          <w:rFonts w:ascii="Times New Roman" w:hAnsi="Times New Roman" w:cs="Times New Roman"/>
        </w:rPr>
        <w:t xml:space="preserve"> Protection of life and personal liberty No person shall be deprived of his life or personal liberty except according to procedure established by law</w:t>
      </w:r>
    </w:p>
  </w:footnote>
  <w:footnote w:id="15">
    <w:p w:rsidR="004F6C97" w:rsidRPr="00F457D2" w:rsidRDefault="004F6C97">
      <w:pPr>
        <w:pStyle w:val="FootnoteText"/>
        <w:rPr>
          <w:rFonts w:ascii="Times New Roman" w:hAnsi="Times New Roman" w:cs="Times New Roman"/>
          <w:lang w:val="en-IN"/>
        </w:rPr>
      </w:pPr>
      <w:r w:rsidRPr="00F457D2">
        <w:rPr>
          <w:rStyle w:val="FootnoteReference"/>
          <w:rFonts w:ascii="Times New Roman" w:hAnsi="Times New Roman" w:cs="Times New Roman"/>
        </w:rPr>
        <w:footnoteRef/>
      </w:r>
      <w:r w:rsidRPr="00F457D2">
        <w:rPr>
          <w:rFonts w:ascii="Times New Roman" w:hAnsi="Times New Roman" w:cs="Times New Roman"/>
        </w:rPr>
        <w:t xml:space="preserve"> WP(C) No. 7455/2001</w:t>
      </w:r>
    </w:p>
  </w:footnote>
  <w:footnote w:id="16">
    <w:p w:rsidR="00047212" w:rsidRPr="00047212" w:rsidRDefault="00047212">
      <w:pPr>
        <w:pStyle w:val="FootnoteText"/>
        <w:rPr>
          <w:lang w:val="en-IN"/>
        </w:rPr>
      </w:pPr>
      <w:r w:rsidRPr="00F457D2">
        <w:rPr>
          <w:rStyle w:val="FootnoteReference"/>
          <w:rFonts w:ascii="Times New Roman" w:hAnsi="Times New Roman" w:cs="Times New Roman"/>
        </w:rPr>
        <w:footnoteRef/>
      </w:r>
      <w:r w:rsidRPr="00F457D2">
        <w:rPr>
          <w:rFonts w:ascii="Times New Roman" w:hAnsi="Times New Roman" w:cs="Times New Roman"/>
        </w:rPr>
        <w:t xml:space="preserve"> </w:t>
      </w:r>
      <w:r w:rsidRPr="00F457D2">
        <w:rPr>
          <w:rFonts w:ascii="Times New Roman" w:hAnsi="Times New Roman" w:cs="Times New Roman"/>
          <w:lang w:val="en-IN"/>
        </w:rPr>
        <w:t>Suresh Kumar Koushal v. Naz Foundation</w:t>
      </w:r>
      <w:r w:rsidR="00B51C26">
        <w:rPr>
          <w:rFonts w:ascii="Times New Roman" w:hAnsi="Times New Roman" w:cs="Times New Roman"/>
          <w:lang w:val="en-IN"/>
        </w:rPr>
        <w:t>(2013)</w:t>
      </w:r>
    </w:p>
  </w:footnote>
  <w:footnote w:id="17">
    <w:p w:rsidR="00F102D0" w:rsidRPr="00F102D0" w:rsidRDefault="00F102D0">
      <w:pPr>
        <w:pStyle w:val="FootnoteText"/>
        <w:rPr>
          <w:lang w:val="en-IN"/>
        </w:rPr>
      </w:pPr>
      <w:r>
        <w:rPr>
          <w:rStyle w:val="FootnoteReference"/>
        </w:rPr>
        <w:footnoteRef/>
      </w:r>
      <w:r>
        <w:t xml:space="preserve"> </w:t>
      </w:r>
      <w:r w:rsidRPr="00F102D0">
        <w:rPr>
          <w:rFonts w:ascii="Times New Roman" w:hAnsi="Times New Roman" w:cs="Times New Roman"/>
          <w:lang w:val="en-IN"/>
        </w:rPr>
        <w:t>2014 INSC 275</w:t>
      </w:r>
    </w:p>
  </w:footnote>
  <w:footnote w:id="18">
    <w:p w:rsidR="00001795" w:rsidRPr="00001795" w:rsidRDefault="00001795">
      <w:pPr>
        <w:pStyle w:val="FootnoteText"/>
        <w:rPr>
          <w:rFonts w:ascii="Times New Roman" w:hAnsi="Times New Roman" w:cs="Times New Roman"/>
          <w:lang w:val="en-IN"/>
        </w:rPr>
      </w:pPr>
      <w:r>
        <w:rPr>
          <w:rStyle w:val="FootnoteReference"/>
        </w:rPr>
        <w:footnoteRef/>
      </w:r>
      <w:r>
        <w:t xml:space="preserve"> </w:t>
      </w:r>
      <w:r>
        <w:rPr>
          <w:rFonts w:ascii="Times New Roman" w:hAnsi="Times New Roman" w:cs="Times New Roman"/>
        </w:rPr>
        <w:t>2018 INSC 790</w:t>
      </w:r>
    </w:p>
  </w:footnote>
  <w:footnote w:id="19">
    <w:p w:rsidR="00AA499F" w:rsidRPr="00AA499F" w:rsidRDefault="00B759DA">
      <w:pPr>
        <w:pStyle w:val="FootnoteText"/>
        <w:rPr>
          <w:rFonts w:ascii="Times New Roman" w:hAnsi="Times New Roman" w:cs="Times New Roman"/>
        </w:rPr>
      </w:pPr>
      <w:r>
        <w:rPr>
          <w:rStyle w:val="FootnoteReference"/>
        </w:rPr>
        <w:footnoteRef/>
      </w:r>
      <w:r>
        <w:t xml:space="preserve"> </w:t>
      </w:r>
      <w:r w:rsidR="00A017AD">
        <w:rPr>
          <w:rFonts w:ascii="Times New Roman" w:hAnsi="Times New Roman" w:cs="Times New Roman"/>
        </w:rPr>
        <w:t>W.P(C) No. 1011/2022</w:t>
      </w:r>
    </w:p>
  </w:footnote>
  <w:footnote w:id="20">
    <w:p w:rsidR="000D6961" w:rsidRPr="000D6961" w:rsidRDefault="000D6961">
      <w:pPr>
        <w:pStyle w:val="FootnoteText"/>
        <w:rPr>
          <w:lang w:val="en-IN"/>
        </w:rPr>
      </w:pPr>
      <w:r>
        <w:rPr>
          <w:rStyle w:val="FootnoteReference"/>
        </w:rPr>
        <w:footnoteRef/>
      </w:r>
      <w:r>
        <w:t xml:space="preserve"> </w:t>
      </w:r>
      <w:r w:rsidRPr="000D6961">
        <w:rPr>
          <w:rFonts w:ascii="Times New Roman" w:hAnsi="Times New Roman" w:cs="Times New Roman"/>
        </w:rPr>
        <w:t>[2005] ZACC 19</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683ACB"/>
    <w:multiLevelType w:val="hybridMultilevel"/>
    <w:tmpl w:val="8C46D4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F1D0908"/>
    <w:multiLevelType w:val="hybridMultilevel"/>
    <w:tmpl w:val="746CDF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F1306B8"/>
    <w:multiLevelType w:val="hybridMultilevel"/>
    <w:tmpl w:val="28E8BDC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69C7DD2"/>
    <w:multiLevelType w:val="hybridMultilevel"/>
    <w:tmpl w:val="6106C0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footnotePr>
    <w:footnote w:id="0"/>
    <w:footnote w:id="1"/>
  </w:footnotePr>
  <w:endnotePr>
    <w:endnote w:id="0"/>
    <w:endnote w:id="1"/>
  </w:endnotePr>
  <w:compat>
    <w:useFELayout/>
  </w:compat>
  <w:rsids>
    <w:rsidRoot w:val="006F62D2"/>
    <w:rsid w:val="00001795"/>
    <w:rsid w:val="00047212"/>
    <w:rsid w:val="00057261"/>
    <w:rsid w:val="00082311"/>
    <w:rsid w:val="000B6E9A"/>
    <w:rsid w:val="000D6961"/>
    <w:rsid w:val="000E36BC"/>
    <w:rsid w:val="00172420"/>
    <w:rsid w:val="001825CE"/>
    <w:rsid w:val="00190EDC"/>
    <w:rsid w:val="001A756C"/>
    <w:rsid w:val="001E3E7B"/>
    <w:rsid w:val="00211375"/>
    <w:rsid w:val="00244ED3"/>
    <w:rsid w:val="00262DC5"/>
    <w:rsid w:val="002C4114"/>
    <w:rsid w:val="002C5C60"/>
    <w:rsid w:val="002D4894"/>
    <w:rsid w:val="002F57F2"/>
    <w:rsid w:val="00371BCD"/>
    <w:rsid w:val="00372005"/>
    <w:rsid w:val="00396DD6"/>
    <w:rsid w:val="003A0C53"/>
    <w:rsid w:val="00430AD7"/>
    <w:rsid w:val="00451DC3"/>
    <w:rsid w:val="00452B3E"/>
    <w:rsid w:val="00471977"/>
    <w:rsid w:val="00477C90"/>
    <w:rsid w:val="004A6313"/>
    <w:rsid w:val="004B0077"/>
    <w:rsid w:val="004B464F"/>
    <w:rsid w:val="004F5CF4"/>
    <w:rsid w:val="004F6C97"/>
    <w:rsid w:val="005164C0"/>
    <w:rsid w:val="005369B2"/>
    <w:rsid w:val="005D4E6D"/>
    <w:rsid w:val="005E68B7"/>
    <w:rsid w:val="006302ED"/>
    <w:rsid w:val="006B39EA"/>
    <w:rsid w:val="006D4237"/>
    <w:rsid w:val="006E534F"/>
    <w:rsid w:val="006F62D2"/>
    <w:rsid w:val="00747BAA"/>
    <w:rsid w:val="00761EBF"/>
    <w:rsid w:val="007705FA"/>
    <w:rsid w:val="007C0BA9"/>
    <w:rsid w:val="007D15B6"/>
    <w:rsid w:val="007E3CBA"/>
    <w:rsid w:val="007F02BC"/>
    <w:rsid w:val="0080656B"/>
    <w:rsid w:val="008139AB"/>
    <w:rsid w:val="008847ED"/>
    <w:rsid w:val="008924D6"/>
    <w:rsid w:val="008A6B5F"/>
    <w:rsid w:val="008C26FC"/>
    <w:rsid w:val="008E2C15"/>
    <w:rsid w:val="009444E3"/>
    <w:rsid w:val="0096212E"/>
    <w:rsid w:val="0096278B"/>
    <w:rsid w:val="009859CB"/>
    <w:rsid w:val="009A5EE9"/>
    <w:rsid w:val="009C57BD"/>
    <w:rsid w:val="00A00D39"/>
    <w:rsid w:val="00A017AD"/>
    <w:rsid w:val="00A83BB7"/>
    <w:rsid w:val="00A9659D"/>
    <w:rsid w:val="00AA499F"/>
    <w:rsid w:val="00AA77A5"/>
    <w:rsid w:val="00B01E20"/>
    <w:rsid w:val="00B05784"/>
    <w:rsid w:val="00B51C26"/>
    <w:rsid w:val="00B60213"/>
    <w:rsid w:val="00B6654E"/>
    <w:rsid w:val="00B759DA"/>
    <w:rsid w:val="00B82226"/>
    <w:rsid w:val="00B8655D"/>
    <w:rsid w:val="00C237E9"/>
    <w:rsid w:val="00C366DB"/>
    <w:rsid w:val="00C95549"/>
    <w:rsid w:val="00CB55D7"/>
    <w:rsid w:val="00CC1738"/>
    <w:rsid w:val="00CD26A7"/>
    <w:rsid w:val="00D3100A"/>
    <w:rsid w:val="00D826A5"/>
    <w:rsid w:val="00D92DBD"/>
    <w:rsid w:val="00DC5AED"/>
    <w:rsid w:val="00DD45E2"/>
    <w:rsid w:val="00E36BBB"/>
    <w:rsid w:val="00E61AAE"/>
    <w:rsid w:val="00E75E2C"/>
    <w:rsid w:val="00E90D79"/>
    <w:rsid w:val="00EA1375"/>
    <w:rsid w:val="00EF10A7"/>
    <w:rsid w:val="00F102D0"/>
    <w:rsid w:val="00F4579C"/>
    <w:rsid w:val="00F457D2"/>
    <w:rsid w:val="00FC0AA3"/>
    <w:rsid w:val="00FE7A4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45E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F4579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4579C"/>
    <w:rPr>
      <w:sz w:val="20"/>
      <w:szCs w:val="20"/>
    </w:rPr>
  </w:style>
  <w:style w:type="character" w:styleId="FootnoteReference">
    <w:name w:val="footnote reference"/>
    <w:basedOn w:val="DefaultParagraphFont"/>
    <w:uiPriority w:val="99"/>
    <w:semiHidden/>
    <w:unhideWhenUsed/>
    <w:rsid w:val="00F4579C"/>
    <w:rPr>
      <w:vertAlign w:val="superscript"/>
    </w:rPr>
  </w:style>
  <w:style w:type="paragraph" w:styleId="ListParagraph">
    <w:name w:val="List Paragraph"/>
    <w:basedOn w:val="Normal"/>
    <w:uiPriority w:val="34"/>
    <w:qFormat/>
    <w:rsid w:val="00477C90"/>
    <w:pPr>
      <w:ind w:left="720"/>
      <w:contextualSpacing/>
    </w:pPr>
  </w:style>
  <w:style w:type="character" w:styleId="Hyperlink">
    <w:name w:val="Hyperlink"/>
    <w:basedOn w:val="DefaultParagraphFont"/>
    <w:uiPriority w:val="99"/>
    <w:semiHidden/>
    <w:unhideWhenUsed/>
    <w:rsid w:val="00CD26A7"/>
    <w:rPr>
      <w:color w:val="0000FF"/>
      <w:u w:val="single"/>
    </w:rPr>
  </w:style>
  <w:style w:type="character" w:styleId="FollowedHyperlink">
    <w:name w:val="FollowedHyperlink"/>
    <w:basedOn w:val="DefaultParagraphFont"/>
    <w:uiPriority w:val="99"/>
    <w:semiHidden/>
    <w:unhideWhenUsed/>
    <w:rsid w:val="006302ED"/>
    <w:rPr>
      <w:color w:val="800080" w:themeColor="followedHyperlink"/>
      <w:u w:val="single"/>
    </w:rPr>
  </w:style>
  <w:style w:type="paragraph" w:styleId="BalloonText">
    <w:name w:val="Balloon Text"/>
    <w:basedOn w:val="Normal"/>
    <w:link w:val="BalloonTextChar"/>
    <w:uiPriority w:val="99"/>
    <w:semiHidden/>
    <w:unhideWhenUsed/>
    <w:rsid w:val="00EA137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137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0195017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www.law.cornell.edu/constitution/amendmentxi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Art</b:Tag>
    <b:SourceType>InternetSite</b:SourceType>
    <b:Guid>{C09805C6-FF42-4CF0-A1C7-70D335C0C13F}</b:Guid>
    <b:LCID>0</b:LCID>
    <b:Title>Article 14,15,16,19 and 21 of Indian Constitution</b:Title>
    <b:InternetSiteTitle>Indian Kanoon</b:InternetSiteTitle>
    <b:RefOrder>1</b:RefOrder>
  </b:Source>
</b:Sources>
</file>

<file path=customXml/itemProps1.xml><?xml version="1.0" encoding="utf-8"?>
<ds:datastoreItem xmlns:ds="http://schemas.openxmlformats.org/officeDocument/2006/customXml" ds:itemID="{797D8726-E27B-4B25-9748-821542B12F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1793</TotalTime>
  <Pages>7</Pages>
  <Words>1760</Words>
  <Characters>10034</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Asus</cp:lastModifiedBy>
  <cp:revision>81</cp:revision>
  <dcterms:created xsi:type="dcterms:W3CDTF">2023-11-24T03:59:00Z</dcterms:created>
  <dcterms:modified xsi:type="dcterms:W3CDTF">2023-11-25T13:21:00Z</dcterms:modified>
</cp:coreProperties>
</file>