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45DB1" w14:textId="1FB4E0DA" w:rsidR="00BC3AAB" w:rsidRDefault="00BC3AAB" w:rsidP="000631CB">
      <w:pPr>
        <w:spacing w:after="0" w:line="360" w:lineRule="auto"/>
        <w:jc w:val="center"/>
        <w:rPr>
          <w:rFonts w:ascii="Times New Roman" w:eastAsia="Times New Roman" w:hAnsi="Times New Roman" w:cs="Times New Roman"/>
          <w:color w:val="000000"/>
          <w:kern w:val="0"/>
          <w:sz w:val="28"/>
          <w:szCs w:val="28"/>
          <w:lang w:eastAsia="en-IN"/>
          <w14:ligatures w14:val="none"/>
        </w:rPr>
      </w:pPr>
      <w:r w:rsidRPr="00BC3AAB">
        <w:rPr>
          <w:rFonts w:ascii="Times New Roman" w:eastAsia="Times New Roman" w:hAnsi="Times New Roman" w:cs="Times New Roman"/>
          <w:color w:val="000000"/>
          <w:kern w:val="0"/>
          <w:sz w:val="28"/>
          <w:szCs w:val="28"/>
          <w:lang w:eastAsia="en-IN"/>
          <w14:ligatures w14:val="none"/>
        </w:rPr>
        <w:t xml:space="preserve">Legal Evolution of Vaccination Mandates in Public Health Emergencies: Lessons from </w:t>
      </w:r>
      <w:r w:rsidR="00C27A3F" w:rsidRPr="00BC3AAB">
        <w:rPr>
          <w:rFonts w:ascii="Times New Roman" w:eastAsia="Times New Roman" w:hAnsi="Times New Roman" w:cs="Times New Roman"/>
          <w:color w:val="000000"/>
          <w:kern w:val="0"/>
          <w:sz w:val="28"/>
          <w:szCs w:val="28"/>
          <w:lang w:eastAsia="en-IN"/>
          <w14:ligatures w14:val="none"/>
        </w:rPr>
        <w:t>COVID-19.</w:t>
      </w:r>
    </w:p>
    <w:p w14:paraId="257FCC1E" w14:textId="77777777" w:rsidR="008032EC" w:rsidRPr="00C27A3F" w:rsidRDefault="008032EC" w:rsidP="000631CB">
      <w:pPr>
        <w:spacing w:after="0" w:line="360" w:lineRule="auto"/>
        <w:jc w:val="center"/>
        <w:rPr>
          <w:rFonts w:ascii="Times New Roman" w:eastAsia="Times New Roman" w:hAnsi="Times New Roman" w:cs="Times New Roman"/>
          <w:color w:val="000000"/>
          <w:kern w:val="0"/>
          <w:sz w:val="28"/>
          <w:szCs w:val="28"/>
          <w:lang w:eastAsia="en-IN"/>
          <w14:ligatures w14:val="none"/>
        </w:rPr>
      </w:pPr>
    </w:p>
    <w:p w14:paraId="70981D5B" w14:textId="77777777" w:rsidR="00C27A3F" w:rsidRPr="00BC3AAB" w:rsidRDefault="00C27A3F" w:rsidP="00880176">
      <w:pPr>
        <w:spacing w:after="0" w:line="360" w:lineRule="auto"/>
        <w:rPr>
          <w:rFonts w:ascii="Times New Roman" w:eastAsia="Times New Roman" w:hAnsi="Times New Roman" w:cs="Times New Roman"/>
          <w:kern w:val="0"/>
          <w:sz w:val="24"/>
          <w:szCs w:val="24"/>
          <w:lang w:eastAsia="en-IN"/>
          <w14:ligatures w14:val="none"/>
        </w:rPr>
      </w:pPr>
    </w:p>
    <w:p w14:paraId="6BFDF618" w14:textId="77777777" w:rsidR="00C27A3F" w:rsidRPr="00880176" w:rsidRDefault="00C27A3F"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1C40C98C" w14:textId="5160071E" w:rsidR="00C27A3F" w:rsidRPr="00880176" w:rsidRDefault="00BC3AAB" w:rsidP="00880176">
      <w:pPr>
        <w:spacing w:after="0" w:line="360" w:lineRule="auto"/>
        <w:jc w:val="both"/>
        <w:rPr>
          <w:rFonts w:ascii="Times New Roman" w:eastAsia="Times New Roman" w:hAnsi="Times New Roman" w:cs="Times New Roman"/>
          <w:b/>
          <w:bCs/>
          <w:color w:val="000000"/>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 xml:space="preserve"> </w:t>
      </w:r>
      <w:r w:rsidR="00C27A3F" w:rsidRPr="00BC3AAB">
        <w:rPr>
          <w:rFonts w:ascii="Times New Roman" w:eastAsia="Times New Roman" w:hAnsi="Times New Roman" w:cs="Times New Roman"/>
          <w:b/>
          <w:bCs/>
          <w:color w:val="000000"/>
          <w:kern w:val="0"/>
          <w:sz w:val="24"/>
          <w:szCs w:val="24"/>
          <w:lang w:eastAsia="en-IN"/>
          <w14:ligatures w14:val="none"/>
        </w:rPr>
        <w:t>INTRODUCTION </w:t>
      </w:r>
    </w:p>
    <w:p w14:paraId="35B53C8F" w14:textId="77777777" w:rsidR="00C27A3F" w:rsidRPr="00BC3AAB" w:rsidRDefault="00C27A3F" w:rsidP="00880176">
      <w:pPr>
        <w:spacing w:after="0" w:line="360" w:lineRule="auto"/>
        <w:jc w:val="both"/>
        <w:rPr>
          <w:rFonts w:ascii="Times New Roman" w:eastAsia="Times New Roman" w:hAnsi="Times New Roman" w:cs="Times New Roman"/>
          <w:color w:val="000000"/>
          <w:kern w:val="0"/>
          <w:sz w:val="24"/>
          <w:szCs w:val="24"/>
          <w:lang w:eastAsia="en-IN"/>
          <w14:ligatures w14:val="none"/>
        </w:rPr>
      </w:pPr>
    </w:p>
    <w:p w14:paraId="1837984B" w14:textId="271DE55D" w:rsidR="00BC3AAB" w:rsidRPr="00BC3AAB" w:rsidRDefault="00C27A3F"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color w:val="000000"/>
          <w:kern w:val="0"/>
          <w:sz w:val="24"/>
          <w:szCs w:val="24"/>
          <w:lang w:eastAsia="en-IN"/>
          <w14:ligatures w14:val="none"/>
        </w:rPr>
        <w:t xml:space="preserve">The </w:t>
      </w:r>
      <w:r w:rsidR="00BC3AAB" w:rsidRPr="00BC3AAB">
        <w:rPr>
          <w:rFonts w:ascii="Times New Roman" w:eastAsia="Times New Roman" w:hAnsi="Times New Roman" w:cs="Times New Roman"/>
          <w:color w:val="000000"/>
          <w:kern w:val="0"/>
          <w:sz w:val="24"/>
          <w:szCs w:val="24"/>
          <w:lang w:eastAsia="en-IN"/>
          <w14:ligatures w14:val="none"/>
        </w:rPr>
        <w:t>emergence of COVID-19 in late 2019 sparked a global health crisis that was unprecedented and that would change how society, governments, and legal systems dealt with public health emergencies moving forward. As the world struggled to cope with the virus' terrible effects, it became increasingly obvious that vaccination would be essential to halting the disease's spread and ultimately putting an end to the pandemic. As a result of this realization, the legal environment surrounding vaccination requirements became complex and dynamic, generating significant concerns about people's rights, the public's health, and the obligations of governments during emergencies.</w:t>
      </w:r>
      <w:r w:rsidRPr="00880176">
        <w:rPr>
          <w:rStyle w:val="FootnoteReference"/>
          <w:rFonts w:ascii="Times New Roman" w:eastAsia="Times New Roman" w:hAnsi="Times New Roman" w:cs="Times New Roman"/>
          <w:kern w:val="0"/>
          <w:sz w:val="24"/>
          <w:szCs w:val="24"/>
          <w:lang w:eastAsia="en-IN"/>
          <w14:ligatures w14:val="none"/>
        </w:rPr>
        <w:footnoteReference w:id="1"/>
      </w:r>
    </w:p>
    <w:p w14:paraId="27DA2C3F" w14:textId="77777777" w:rsidR="00BC3AAB" w:rsidRPr="00BC3AAB"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Understanding the legislative evolution of vaccine requirements in the context of COVID-19 is vital not only for a full assessment of the pandemic response but also for preparing for future public health disasters. The legislative framework governing vaccine mandates, historical precedents for such mandates, issues and debates that have arisen, and the lessons learned from the COVID-19 experience are all examined in this study. It also takes into account the global perspective on immunization requirements, providing a thorough understanding of worldwide responses.</w:t>
      </w:r>
    </w:p>
    <w:p w14:paraId="77E02CCC" w14:textId="77777777" w:rsidR="00BC3AAB" w:rsidRPr="00BC3AAB"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This study intends to offer useful insights and suggestions for future policy development and legal responses as the world continues to navigate the difficulties of public health emergencies and immunisations. We want to shed light on the difficult topic of vaccination mandates by analysing the legal development of mandates during COVID-19.</w:t>
      </w:r>
    </w:p>
    <w:p w14:paraId="6E238BFD" w14:textId="77777777" w:rsidR="00BC3AAB" w:rsidRPr="00880176" w:rsidRDefault="00BC3AAB" w:rsidP="00880176">
      <w:pPr>
        <w:spacing w:after="240" w:line="360" w:lineRule="auto"/>
        <w:rPr>
          <w:rFonts w:ascii="Times New Roman" w:eastAsia="Times New Roman" w:hAnsi="Times New Roman" w:cs="Times New Roman"/>
          <w:kern w:val="0"/>
          <w:sz w:val="24"/>
          <w:szCs w:val="24"/>
          <w:lang w:eastAsia="en-IN"/>
          <w14:ligatures w14:val="none"/>
        </w:rPr>
      </w:pPr>
    </w:p>
    <w:p w14:paraId="06ED47A7" w14:textId="77777777" w:rsidR="008032EC" w:rsidRPr="00880176" w:rsidRDefault="008032EC" w:rsidP="00880176">
      <w:pPr>
        <w:spacing w:after="240" w:line="360" w:lineRule="auto"/>
        <w:rPr>
          <w:rFonts w:ascii="Times New Roman" w:eastAsia="Times New Roman" w:hAnsi="Times New Roman" w:cs="Times New Roman"/>
          <w:kern w:val="0"/>
          <w:sz w:val="24"/>
          <w:szCs w:val="24"/>
          <w:lang w:eastAsia="en-IN"/>
          <w14:ligatures w14:val="none"/>
        </w:rPr>
      </w:pPr>
    </w:p>
    <w:p w14:paraId="64BE48BE" w14:textId="234CB83E" w:rsidR="00BC3AAB" w:rsidRPr="00BC3AAB" w:rsidRDefault="00BC3AAB" w:rsidP="00880176">
      <w:pPr>
        <w:spacing w:after="0" w:line="360" w:lineRule="auto"/>
        <w:jc w:val="both"/>
        <w:rPr>
          <w:rFonts w:ascii="Times New Roman" w:eastAsia="Times New Roman" w:hAnsi="Times New Roman" w:cs="Times New Roman"/>
          <w:b/>
          <w:bCs/>
          <w:kern w:val="0"/>
          <w:sz w:val="24"/>
          <w:szCs w:val="24"/>
          <w:lang w:eastAsia="en-IN"/>
          <w14:ligatures w14:val="none"/>
        </w:rPr>
      </w:pPr>
      <w:r w:rsidRPr="00BC3AAB">
        <w:rPr>
          <w:rFonts w:ascii="Times New Roman" w:eastAsia="Times New Roman" w:hAnsi="Times New Roman" w:cs="Times New Roman"/>
          <w:b/>
          <w:bCs/>
          <w:color w:val="000000"/>
          <w:kern w:val="0"/>
          <w:sz w:val="24"/>
          <w:szCs w:val="24"/>
          <w:lang w:eastAsia="en-IN"/>
          <w14:ligatures w14:val="none"/>
        </w:rPr>
        <w:lastRenderedPageBreak/>
        <w:t>COVID-19 and the Emergence of Va</w:t>
      </w:r>
      <w:r w:rsidR="008032EC" w:rsidRPr="00880176">
        <w:rPr>
          <w:rFonts w:ascii="Times New Roman" w:eastAsia="Times New Roman" w:hAnsi="Times New Roman" w:cs="Times New Roman"/>
          <w:b/>
          <w:bCs/>
          <w:color w:val="000000"/>
          <w:kern w:val="0"/>
          <w:sz w:val="24"/>
          <w:szCs w:val="24"/>
          <w:lang w:eastAsia="en-IN"/>
          <w14:ligatures w14:val="none"/>
        </w:rPr>
        <w:t>c</w:t>
      </w:r>
      <w:r w:rsidRPr="00BC3AAB">
        <w:rPr>
          <w:rFonts w:ascii="Times New Roman" w:eastAsia="Times New Roman" w:hAnsi="Times New Roman" w:cs="Times New Roman"/>
          <w:b/>
          <w:bCs/>
          <w:color w:val="000000"/>
          <w:kern w:val="0"/>
          <w:sz w:val="24"/>
          <w:szCs w:val="24"/>
          <w:lang w:eastAsia="en-IN"/>
          <w14:ligatures w14:val="none"/>
        </w:rPr>
        <w:t>cination Mandates</w:t>
      </w:r>
    </w:p>
    <w:p w14:paraId="72F98726" w14:textId="77777777" w:rsidR="00BC3AAB" w:rsidRPr="00BC3AAB" w:rsidRDefault="00BC3AAB" w:rsidP="00880176">
      <w:pPr>
        <w:spacing w:after="0" w:line="360" w:lineRule="auto"/>
        <w:rPr>
          <w:rFonts w:ascii="Times New Roman" w:eastAsia="Times New Roman" w:hAnsi="Times New Roman" w:cs="Times New Roman"/>
          <w:kern w:val="0"/>
          <w:sz w:val="24"/>
          <w:szCs w:val="24"/>
          <w:lang w:eastAsia="en-IN"/>
          <w14:ligatures w14:val="none"/>
        </w:rPr>
      </w:pPr>
    </w:p>
    <w:p w14:paraId="69C2ACBF" w14:textId="129AE3BD" w:rsidR="00BC3AAB" w:rsidRPr="00BC3AAB"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The COVID-19 pandemic, caused by the new coronavirus SARS-CoV-2, quickly became a global crisis, offering an unprecedented challenge to public health institutions and governments around the world. As the virus spread swiftly, wreaking havoc on both health and the economy, the necessity for comprehensive ways to restrict its spread and mitigate its damage became clear. Vaccination emerged as a vital instrument in this fight, prompting governments around the world to seek vaccination mandates to encourage, and in some cases, demand, vaccination of their populations. This section investigates how COVID-19 resulted in vaccine mandates and the evolving responses of governments and legal systems.</w:t>
      </w:r>
      <w:r w:rsidR="008065CF" w:rsidRPr="00880176">
        <w:rPr>
          <w:rStyle w:val="FootnoteReference"/>
          <w:rFonts w:ascii="Times New Roman" w:eastAsia="Times New Roman" w:hAnsi="Times New Roman" w:cs="Times New Roman"/>
          <w:kern w:val="0"/>
          <w:sz w:val="24"/>
          <w:szCs w:val="24"/>
          <w:lang w:eastAsia="en-IN"/>
          <w14:ligatures w14:val="none"/>
        </w:rPr>
        <w:footnoteReference w:id="2"/>
      </w:r>
    </w:p>
    <w:p w14:paraId="6C6A039C" w14:textId="5DA06772" w:rsidR="00BC3AAB" w:rsidRPr="00BC3AAB" w:rsidRDefault="00BC3AAB" w:rsidP="00880176">
      <w:pPr>
        <w:spacing w:after="240" w:line="360" w:lineRule="auto"/>
        <w:rPr>
          <w:rFonts w:ascii="Times New Roman" w:eastAsia="Times New Roman" w:hAnsi="Times New Roman" w:cs="Times New Roman"/>
          <w:kern w:val="0"/>
          <w:sz w:val="24"/>
          <w:szCs w:val="24"/>
          <w:lang w:eastAsia="en-IN"/>
          <w14:ligatures w14:val="none"/>
        </w:rPr>
      </w:pPr>
    </w:p>
    <w:p w14:paraId="7C275491" w14:textId="0B29AEEA" w:rsidR="00BC3AAB" w:rsidRPr="00880176" w:rsidRDefault="00BC3AAB" w:rsidP="00880176">
      <w:pPr>
        <w:spacing w:after="0" w:line="360" w:lineRule="auto"/>
        <w:jc w:val="both"/>
        <w:rPr>
          <w:rFonts w:ascii="Times New Roman" w:eastAsia="Times New Roman" w:hAnsi="Times New Roman" w:cs="Times New Roman"/>
          <w:b/>
          <w:bCs/>
          <w:color w:val="000000"/>
          <w:kern w:val="0"/>
          <w:sz w:val="24"/>
          <w:szCs w:val="24"/>
          <w:lang w:eastAsia="en-IN"/>
          <w14:ligatures w14:val="none"/>
        </w:rPr>
      </w:pPr>
      <w:r w:rsidRPr="00BC3AAB">
        <w:rPr>
          <w:rFonts w:ascii="Times New Roman" w:eastAsia="Times New Roman" w:hAnsi="Times New Roman" w:cs="Times New Roman"/>
          <w:b/>
          <w:bCs/>
          <w:color w:val="000000"/>
          <w:kern w:val="0"/>
          <w:sz w:val="24"/>
          <w:szCs w:val="24"/>
          <w:lang w:eastAsia="en-IN"/>
          <w14:ligatures w14:val="none"/>
        </w:rPr>
        <w:t>The Initial Response to the COVID-19 Pandemic</w:t>
      </w:r>
    </w:p>
    <w:p w14:paraId="6D42BE68" w14:textId="77777777" w:rsidR="000631CB" w:rsidRPr="00BC3AAB"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0BE43C69" w14:textId="77777777" w:rsidR="00BC3AAB" w:rsidRPr="00880176" w:rsidRDefault="00BC3AAB" w:rsidP="00880176">
      <w:pPr>
        <w:spacing w:after="0" w:line="360" w:lineRule="auto"/>
        <w:jc w:val="both"/>
        <w:rPr>
          <w:rFonts w:ascii="Times New Roman" w:eastAsia="Times New Roman" w:hAnsi="Times New Roman" w:cs="Times New Roman"/>
          <w:color w:val="000000"/>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When the novel coronavirus was discovered, countries took a variety of precautions to limit its spread. Lockdowns, travel restrictions, and mask mandates were among the measures implemented. However, it became clear that developing herd immunity by vaccination was the best sustainable method of viral management. The discovery of various COVID-19 vaccines at an unprecedented rate highlighted the possibility for immunization to control the pandemic.</w:t>
      </w:r>
    </w:p>
    <w:p w14:paraId="4DEE33D4" w14:textId="77777777" w:rsidR="00BC3AAB" w:rsidRPr="00880176" w:rsidRDefault="00BC3AAB" w:rsidP="00880176">
      <w:pPr>
        <w:spacing w:after="0" w:line="360" w:lineRule="auto"/>
        <w:rPr>
          <w:rFonts w:ascii="Times New Roman" w:eastAsia="Times New Roman" w:hAnsi="Times New Roman" w:cs="Times New Roman"/>
          <w:kern w:val="0"/>
          <w:sz w:val="24"/>
          <w:szCs w:val="24"/>
          <w:lang w:eastAsia="en-IN"/>
          <w14:ligatures w14:val="none"/>
        </w:rPr>
      </w:pPr>
    </w:p>
    <w:p w14:paraId="02BC372E" w14:textId="77777777" w:rsidR="000631CB" w:rsidRPr="00BC3AAB" w:rsidRDefault="000631CB" w:rsidP="00880176">
      <w:pPr>
        <w:spacing w:after="0" w:line="360" w:lineRule="auto"/>
        <w:rPr>
          <w:rFonts w:ascii="Times New Roman" w:eastAsia="Times New Roman" w:hAnsi="Times New Roman" w:cs="Times New Roman"/>
          <w:b/>
          <w:bCs/>
          <w:kern w:val="0"/>
          <w:sz w:val="24"/>
          <w:szCs w:val="24"/>
          <w:lang w:eastAsia="en-IN"/>
          <w14:ligatures w14:val="none"/>
        </w:rPr>
      </w:pPr>
    </w:p>
    <w:p w14:paraId="464721E2" w14:textId="77777777" w:rsidR="00BC3AAB" w:rsidRPr="00BC3AAB" w:rsidRDefault="00BC3AAB" w:rsidP="00880176">
      <w:pPr>
        <w:spacing w:after="0" w:line="360" w:lineRule="auto"/>
        <w:jc w:val="both"/>
        <w:rPr>
          <w:rFonts w:ascii="Times New Roman" w:eastAsia="Times New Roman" w:hAnsi="Times New Roman" w:cs="Times New Roman"/>
          <w:b/>
          <w:bCs/>
          <w:kern w:val="0"/>
          <w:sz w:val="24"/>
          <w:szCs w:val="24"/>
          <w:lang w:eastAsia="en-IN"/>
          <w14:ligatures w14:val="none"/>
        </w:rPr>
      </w:pPr>
      <w:r w:rsidRPr="00BC3AAB">
        <w:rPr>
          <w:rFonts w:ascii="Times New Roman" w:eastAsia="Times New Roman" w:hAnsi="Times New Roman" w:cs="Times New Roman"/>
          <w:b/>
          <w:bCs/>
          <w:color w:val="000000"/>
          <w:kern w:val="0"/>
          <w:sz w:val="24"/>
          <w:szCs w:val="24"/>
          <w:lang w:eastAsia="en-IN"/>
          <w14:ligatures w14:val="none"/>
        </w:rPr>
        <w:t>Evolution of Vaccination Policies during the Pandemic</w:t>
      </w:r>
    </w:p>
    <w:p w14:paraId="31EBBB16" w14:textId="77777777" w:rsidR="00BC3AAB" w:rsidRPr="00BC3AAB" w:rsidRDefault="00BC3AAB" w:rsidP="00880176">
      <w:pPr>
        <w:spacing w:after="0" w:line="360" w:lineRule="auto"/>
        <w:rPr>
          <w:rFonts w:ascii="Times New Roman" w:eastAsia="Times New Roman" w:hAnsi="Times New Roman" w:cs="Times New Roman"/>
          <w:kern w:val="0"/>
          <w:sz w:val="24"/>
          <w:szCs w:val="24"/>
          <w:lang w:eastAsia="en-IN"/>
          <w14:ligatures w14:val="none"/>
        </w:rPr>
      </w:pPr>
    </w:p>
    <w:p w14:paraId="3B75089E" w14:textId="77777777" w:rsidR="00BC3AAB" w:rsidRPr="00BC3AAB"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The pandemic's changing nature resulted in considerable adjustments in vaccination programmes as new facts and concerns emerged. The initial priority was to ensure vaccine supply, distribution, and prioritization of immunization for high-risk groups. Vaccination tactics changed throughout time to reach a broader population, with age-based eligibility and, finally, universal access.</w:t>
      </w:r>
    </w:p>
    <w:p w14:paraId="13D87622" w14:textId="77777777" w:rsidR="00BC3AAB" w:rsidRPr="00BC3AAB" w:rsidRDefault="00BC3AAB" w:rsidP="00880176">
      <w:pPr>
        <w:spacing w:after="0" w:line="360" w:lineRule="auto"/>
        <w:rPr>
          <w:rFonts w:ascii="Times New Roman" w:eastAsia="Times New Roman" w:hAnsi="Times New Roman" w:cs="Times New Roman"/>
          <w:kern w:val="0"/>
          <w:sz w:val="24"/>
          <w:szCs w:val="24"/>
          <w:lang w:eastAsia="en-IN"/>
          <w14:ligatures w14:val="none"/>
        </w:rPr>
      </w:pPr>
    </w:p>
    <w:p w14:paraId="7238BCEE" w14:textId="77777777" w:rsidR="00BC3AAB" w:rsidRPr="00BC3AAB"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 xml:space="preserve">As the pandemic progressed, governments began to investigate various strategies to promote vaccination. This includes the creation of vaccination campaigns, incentives, and public awareness efforts. However, in response to rising vaccine reluctance and the necessity to attain </w:t>
      </w:r>
      <w:r w:rsidRPr="00BC3AAB">
        <w:rPr>
          <w:rFonts w:ascii="Times New Roman" w:eastAsia="Times New Roman" w:hAnsi="Times New Roman" w:cs="Times New Roman"/>
          <w:color w:val="000000"/>
          <w:kern w:val="0"/>
          <w:sz w:val="24"/>
          <w:szCs w:val="24"/>
          <w:lang w:eastAsia="en-IN"/>
          <w14:ligatures w14:val="none"/>
        </w:rPr>
        <w:lastRenderedPageBreak/>
        <w:t>a herd immunity threshold, several governments have turned to mandates to assure increased immunization rates.</w:t>
      </w:r>
    </w:p>
    <w:p w14:paraId="05B4FAB7" w14:textId="77777777" w:rsidR="00BC3AAB" w:rsidRPr="00BC3AAB" w:rsidRDefault="00BC3AAB" w:rsidP="00880176">
      <w:pPr>
        <w:spacing w:after="0" w:line="360" w:lineRule="auto"/>
        <w:rPr>
          <w:rFonts w:ascii="Times New Roman" w:eastAsia="Times New Roman" w:hAnsi="Times New Roman" w:cs="Times New Roman"/>
          <w:kern w:val="0"/>
          <w:sz w:val="24"/>
          <w:szCs w:val="24"/>
          <w:lang w:eastAsia="en-IN"/>
          <w14:ligatures w14:val="none"/>
        </w:rPr>
      </w:pPr>
    </w:p>
    <w:p w14:paraId="0B02E286" w14:textId="77777777" w:rsidR="00BC3AAB" w:rsidRPr="00BC3AAB"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The pandemic's changing nature resulted in considerable adjustments in vaccination programmes as new facts and concerns emerged. The initial priority was to ensure vaccine supply, distribution, and prioritisation of immunisation for high-risk groups. Vaccination tactics changed throughout time to reach a broader population, with age-based eligibility and, finally, universal access. As the pandemic progressed, governments began to investigate various strategies to promote vaccination. This includes the creation of vaccination campaigns, incentives, and public awareness efforts. However, in response to rising vaccine reluctance and the necessity to attain a herd immunity threshold, several governments have turned to mandates to assure increased immunization rates.</w:t>
      </w:r>
    </w:p>
    <w:p w14:paraId="08B8F052" w14:textId="099D8D92" w:rsidR="00BC3AAB" w:rsidRPr="00BC3AAB" w:rsidRDefault="00BC3AAB" w:rsidP="00880176">
      <w:pPr>
        <w:spacing w:after="240" w:line="360" w:lineRule="auto"/>
        <w:rPr>
          <w:rFonts w:ascii="Times New Roman" w:eastAsia="Times New Roman" w:hAnsi="Times New Roman" w:cs="Times New Roman"/>
          <w:kern w:val="0"/>
          <w:sz w:val="24"/>
          <w:szCs w:val="24"/>
          <w:lang w:eastAsia="en-IN"/>
          <w14:ligatures w14:val="none"/>
        </w:rPr>
      </w:pPr>
    </w:p>
    <w:p w14:paraId="39E831C3" w14:textId="76E74DC9" w:rsidR="00BC3AAB" w:rsidRPr="00BC3AAB" w:rsidRDefault="00BC3AAB" w:rsidP="00880176">
      <w:pPr>
        <w:spacing w:after="0" w:line="360" w:lineRule="auto"/>
        <w:jc w:val="both"/>
        <w:rPr>
          <w:rFonts w:ascii="Times New Roman" w:eastAsia="Times New Roman" w:hAnsi="Times New Roman" w:cs="Times New Roman"/>
          <w:b/>
          <w:bCs/>
          <w:kern w:val="0"/>
          <w:sz w:val="24"/>
          <w:szCs w:val="24"/>
          <w:lang w:eastAsia="en-IN"/>
          <w14:ligatures w14:val="none"/>
        </w:rPr>
      </w:pPr>
      <w:r w:rsidRPr="00BC3AAB">
        <w:rPr>
          <w:rFonts w:ascii="Times New Roman" w:eastAsia="Times New Roman" w:hAnsi="Times New Roman" w:cs="Times New Roman"/>
          <w:b/>
          <w:bCs/>
          <w:color w:val="000000"/>
          <w:kern w:val="0"/>
          <w:sz w:val="24"/>
          <w:szCs w:val="24"/>
          <w:lang w:eastAsia="en-IN"/>
          <w14:ligatures w14:val="none"/>
        </w:rPr>
        <w:t xml:space="preserve">The Establishment of </w:t>
      </w:r>
      <w:r w:rsidRPr="00880176">
        <w:rPr>
          <w:rFonts w:ascii="Times New Roman" w:eastAsia="Times New Roman" w:hAnsi="Times New Roman" w:cs="Times New Roman"/>
          <w:b/>
          <w:bCs/>
          <w:color w:val="000000"/>
          <w:kern w:val="0"/>
          <w:sz w:val="24"/>
          <w:szCs w:val="24"/>
          <w:lang w:eastAsia="en-IN"/>
          <w14:ligatures w14:val="none"/>
        </w:rPr>
        <w:t xml:space="preserve">Legal </w:t>
      </w:r>
      <w:r w:rsidRPr="00BC3AAB">
        <w:rPr>
          <w:rFonts w:ascii="Times New Roman" w:eastAsia="Times New Roman" w:hAnsi="Times New Roman" w:cs="Times New Roman"/>
          <w:b/>
          <w:bCs/>
          <w:color w:val="000000"/>
          <w:kern w:val="0"/>
          <w:sz w:val="24"/>
          <w:szCs w:val="24"/>
          <w:lang w:eastAsia="en-IN"/>
          <w14:ligatures w14:val="none"/>
        </w:rPr>
        <w:t>Frameworks for Future Public Health Emergencies</w:t>
      </w:r>
    </w:p>
    <w:p w14:paraId="1BC9D39E" w14:textId="77777777" w:rsidR="00BC3AAB" w:rsidRPr="00BC3AAB" w:rsidRDefault="00BC3AAB" w:rsidP="00880176">
      <w:pPr>
        <w:spacing w:after="0" w:line="360" w:lineRule="auto"/>
        <w:rPr>
          <w:rFonts w:ascii="Times New Roman" w:eastAsia="Times New Roman" w:hAnsi="Times New Roman" w:cs="Times New Roman"/>
          <w:kern w:val="0"/>
          <w:sz w:val="24"/>
          <w:szCs w:val="24"/>
          <w:lang w:eastAsia="en-IN"/>
          <w14:ligatures w14:val="none"/>
        </w:rPr>
      </w:pPr>
    </w:p>
    <w:p w14:paraId="74C0375F" w14:textId="4D1DEB56" w:rsidR="00BC3AAB" w:rsidRPr="00880176"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r w:rsidRPr="00BC3AAB">
        <w:rPr>
          <w:rFonts w:ascii="Times New Roman" w:eastAsia="Times New Roman" w:hAnsi="Times New Roman" w:cs="Times New Roman"/>
          <w:color w:val="000000"/>
          <w:kern w:val="0"/>
          <w:sz w:val="24"/>
          <w:szCs w:val="24"/>
          <w:lang w:eastAsia="en-IN"/>
          <w14:ligatures w14:val="none"/>
        </w:rPr>
        <w:t xml:space="preserve">In the aftermath of the COVID-19 pandemic, governments and legislative bodies around the world have embarked on a comprehensive evaluation of the legislative changes implemented during the crisis. This retrospective analysis has focused on assessing the effectiveness of vaccination mandates within the framework of existing laws and regulations. It has also entailed an examination of the legal challenges and court rulings that emerged in response to vaccination mandates, elucidating the legal boundaries and constitutional considerations surrounding such measures. Importantly, these post-pandemic reviews have aimed to enhance legal clarity by clarifying the conditions and duration under which vaccination mandates can be implemented, and by specifying the legal recourse available to individuals who may contest these mandates. </w:t>
      </w:r>
      <w:r w:rsidR="008065CF" w:rsidRPr="00880176">
        <w:rPr>
          <w:rStyle w:val="FootnoteReference"/>
          <w:rFonts w:ascii="Times New Roman" w:eastAsia="Times New Roman" w:hAnsi="Times New Roman" w:cs="Times New Roman"/>
          <w:color w:val="000000"/>
          <w:kern w:val="0"/>
          <w:sz w:val="24"/>
          <w:szCs w:val="24"/>
          <w:lang w:eastAsia="en-IN"/>
          <w14:ligatures w14:val="none"/>
        </w:rPr>
        <w:footnoteReference w:id="3"/>
      </w:r>
      <w:r w:rsidRPr="00BC3AAB">
        <w:rPr>
          <w:rFonts w:ascii="Times New Roman" w:eastAsia="Times New Roman" w:hAnsi="Times New Roman" w:cs="Times New Roman"/>
          <w:color w:val="000000"/>
          <w:kern w:val="0"/>
          <w:sz w:val="24"/>
          <w:szCs w:val="24"/>
          <w:lang w:eastAsia="en-IN"/>
          <w14:ligatures w14:val="none"/>
        </w:rPr>
        <w:t>Furthermore, they have stressed the importance of striking a delicate balance between upholding individual rights and promoting public health within the constraints of existing legislation. These post-pandemic legislative adjustments are not only shaping the landscape for future public health emergencies but are also contributing to the refinement and adaptation of legislative laws to better address the complexities of global health crises and vaccination mandates.</w:t>
      </w:r>
    </w:p>
    <w:p w14:paraId="5EE3E9A3" w14:textId="77777777" w:rsidR="00BC3AAB" w:rsidRPr="00880176"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542D6BE1" w14:textId="6A8B0C07" w:rsidR="000631CB" w:rsidRPr="00880176"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Establishing legal frameworks for vaccination mandates is a crucial step in public health emergency preparedness. These frameworks are underpinned by the fundamental need to balance the state's authority to protect public health with individual rights and liberties. Legislation should be well-crafted to provide clear legal authority for public health agencies or government bodies to issue vaccination mandates, grounded in the state's police power. Constitutional considerations are paramount, with courts meticulously reviewing mandates to ensure they respect individual freedoms. Clarity in the legislation is essential, defining the scope, applicability, and specific triggers for vaccination mandates, particularly during public health emergencies. Addressing exemptions, such as medical, religious, and philosophical, is pivotal, and criteria for qualifying for these exemptions should be explicit. Enforcement mechanisms, penalties for non-compliance, and procedures for implementation must be well-defined. Additionally, the legislation should include provisions for data collection, regular review, and adaptation to evolving conditions, and transparency in decision-making. Coordination with federal and international law is vital, and public education and awareness efforts can help build trust and address concerns. In essence, well-structured legal frameworks are the cornerstone of effective vaccination mandates in public health emergencies, ensuring both public health protection and the preservation of individual rights.</w:t>
      </w:r>
      <w:r w:rsidR="008032EC" w:rsidRPr="00880176">
        <w:rPr>
          <w:rStyle w:val="FootnoteReference"/>
          <w:rFonts w:ascii="Times New Roman" w:eastAsia="Times New Roman" w:hAnsi="Times New Roman" w:cs="Times New Roman"/>
          <w:kern w:val="0"/>
          <w:sz w:val="24"/>
          <w:szCs w:val="24"/>
          <w:lang w:eastAsia="en-IN"/>
          <w14:ligatures w14:val="none"/>
        </w:rPr>
        <w:footnoteReference w:id="4"/>
      </w:r>
    </w:p>
    <w:p w14:paraId="42F57408" w14:textId="77777777" w:rsidR="008032EC" w:rsidRPr="00880176" w:rsidRDefault="008032EC"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5CCAE671" w14:textId="51B2C1AB" w:rsidR="000631CB" w:rsidRPr="00880176" w:rsidRDefault="000631CB" w:rsidP="00880176">
      <w:pPr>
        <w:spacing w:after="0" w:line="360" w:lineRule="auto"/>
        <w:jc w:val="both"/>
        <w:rPr>
          <w:rFonts w:ascii="Times New Roman" w:eastAsia="Times New Roman" w:hAnsi="Times New Roman" w:cs="Times New Roman"/>
          <w:b/>
          <w:bCs/>
          <w:kern w:val="0"/>
          <w:sz w:val="24"/>
          <w:szCs w:val="24"/>
          <w:lang w:eastAsia="en-IN"/>
          <w14:ligatures w14:val="none"/>
        </w:rPr>
      </w:pPr>
      <w:r w:rsidRPr="00880176">
        <w:rPr>
          <w:rFonts w:ascii="Times New Roman" w:eastAsia="Times New Roman" w:hAnsi="Times New Roman" w:cs="Times New Roman"/>
          <w:b/>
          <w:bCs/>
          <w:kern w:val="0"/>
          <w:sz w:val="24"/>
          <w:szCs w:val="24"/>
          <w:lang w:eastAsia="en-IN"/>
          <w14:ligatures w14:val="none"/>
        </w:rPr>
        <w:t>International Comparisons</w:t>
      </w:r>
    </w:p>
    <w:p w14:paraId="7997162E" w14:textId="148C15AE"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74E77C89" w14:textId="02E34D81"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International comparisons of vaccination mandates in public health emergencies are an essential tool for policymakers and public health officials. These comparisons provide a window into the various legal approaches taken by different countries, which reflect their distinct legal traditions, political landscapes, and healthcare systems. Nations can identify commonalities and differences among these approaches by conducting a comparative analysis, gaining insights into which strategies have proven most effective under various circumstances. In addition, identifying best practises and lessons learned from countries that have successfully implemented vaccination mandates provides valuable models for others seeking to improve their own legal frameworks.</w:t>
      </w:r>
    </w:p>
    <w:p w14:paraId="3F5CAB59" w14:textId="77777777"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14D506E0" w14:textId="7F593756"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lastRenderedPageBreak/>
        <w:t>While international experiences are valuable sources of knowledge, legal frameworks must be thoughtfully adapted to the local context, taking into account the influence of specific legal, cultural, and public health conditions. Collaborative data sharing and global legal strategy alignment are critical not only for addressing cross-border public health threats, but also for building trust and fostering cooperation among nations. In essence, these international comparisons enable countries to make informed decisions, tailor strategies to their specific contexts, and contribute to global efforts aimed at ensuring global public health and well-being.</w:t>
      </w:r>
    </w:p>
    <w:p w14:paraId="0FA2A81E" w14:textId="77777777" w:rsidR="00E75E0D" w:rsidRPr="00880176" w:rsidRDefault="00E75E0D" w:rsidP="00880176">
      <w:pPr>
        <w:spacing w:after="0" w:line="360" w:lineRule="auto"/>
        <w:jc w:val="both"/>
        <w:rPr>
          <w:rFonts w:ascii="Times New Roman" w:eastAsia="Times New Roman" w:hAnsi="Times New Roman" w:cs="Times New Roman"/>
          <w:b/>
          <w:bCs/>
          <w:kern w:val="0"/>
          <w:sz w:val="24"/>
          <w:szCs w:val="24"/>
          <w:lang w:eastAsia="en-IN"/>
          <w14:ligatures w14:val="none"/>
        </w:rPr>
      </w:pPr>
    </w:p>
    <w:p w14:paraId="50BE288F" w14:textId="4F59E889" w:rsidR="00E75E0D" w:rsidRPr="00880176" w:rsidRDefault="00E75E0D"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b/>
          <w:bCs/>
          <w:kern w:val="0"/>
          <w:sz w:val="24"/>
          <w:szCs w:val="24"/>
          <w:lang w:eastAsia="en-IN"/>
          <w14:ligatures w14:val="none"/>
        </w:rPr>
        <w:t>Ongoing Evaluation of mandates</w:t>
      </w:r>
    </w:p>
    <w:p w14:paraId="30A71C04" w14:textId="77777777" w:rsidR="00E75E0D" w:rsidRPr="00880176" w:rsidRDefault="00E75E0D"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3557BEBF" w14:textId="15236D07" w:rsidR="00C27A3F" w:rsidRPr="00880176" w:rsidRDefault="00E75E0D"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 xml:space="preserve">Continually evaluating vaccination mandates is a critical aspect of public health policy, particularly in the context of dynamic public health emergencies. A multifaceted approach is used in the process: Adapting to Changing Conditions - The fluidity of public health crises, such as pandemics, distinguishes them. Mandates must evolve to remain effective as the landscape changes due to new disease variants, altered transmission rates, and shifting priorities. Regular Evaluation - Ongoing evaluation thoroughly examines the impact of vaccination mandates. It covers a wide range of topics, from vaccination coverage and disease control to the broader social and economic consequences of these mandates. </w:t>
      </w:r>
      <w:r w:rsidR="008032EC" w:rsidRPr="00880176">
        <w:rPr>
          <w:rStyle w:val="FootnoteReference"/>
          <w:rFonts w:ascii="Times New Roman" w:eastAsia="Times New Roman" w:hAnsi="Times New Roman" w:cs="Times New Roman"/>
          <w:kern w:val="0"/>
          <w:sz w:val="24"/>
          <w:szCs w:val="24"/>
          <w:lang w:eastAsia="en-IN"/>
          <w14:ligatures w14:val="none"/>
        </w:rPr>
        <w:footnoteReference w:id="5"/>
      </w:r>
    </w:p>
    <w:p w14:paraId="341F9F04" w14:textId="77777777" w:rsidR="00C27A3F" w:rsidRPr="00880176" w:rsidRDefault="00C27A3F"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60B76C2D" w14:textId="239B015D" w:rsidR="00E75E0D" w:rsidRPr="00880176" w:rsidRDefault="00E75E0D"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Data-Driven Decision-Making - To make informed decisions, policymakers rely on data and evidence. This includes tracking vaccination rates, disease incidence, and assessing the overall effectiveness of mandates. Stakeholder Involvement - The participation of</w:t>
      </w:r>
      <w:r w:rsidRPr="00880176">
        <w:rPr>
          <w:rFonts w:ascii="Times New Roman" w:eastAsia="Times New Roman" w:hAnsi="Times New Roman" w:cs="Times New Roman"/>
          <w:kern w:val="0"/>
          <w:sz w:val="24"/>
          <w:szCs w:val="24"/>
          <w:lang w:eastAsia="en-IN"/>
          <w14:ligatures w14:val="none"/>
        </w:rPr>
        <w:t xml:space="preserve"> </w:t>
      </w:r>
      <w:r w:rsidRPr="00880176">
        <w:rPr>
          <w:rFonts w:ascii="Times New Roman" w:eastAsia="Times New Roman" w:hAnsi="Times New Roman" w:cs="Times New Roman"/>
          <w:kern w:val="0"/>
          <w:sz w:val="24"/>
          <w:szCs w:val="24"/>
          <w:lang w:eastAsia="en-IN"/>
          <w14:ligatures w14:val="none"/>
        </w:rPr>
        <w:t xml:space="preserve">This includes tracking vaccination rates, disease incidence, and assessing the overall effectiveness of mandates. Stakeholder Engagement - The participation of relevant stakeholders, such as public health experts, healthcare professionals, and the general public, is essential. Their feedback is invaluable in providing valuable insights and ensuring that mandates remain well-informed and accepted. Legal Framework Flexibility - Legal frameworks must be adaptable to changing public health circumstances. This may include changes to exemption criteria, mandate scope expansions or limitations, and changes to enforcement measures. Communication and Public Awareness - Transparent communication about the rationale for changing mandates and how it benefits public health is critical. </w:t>
      </w:r>
      <w:r w:rsidR="002F4DD2" w:rsidRPr="00880176">
        <w:rPr>
          <w:rStyle w:val="FootnoteReference"/>
          <w:rFonts w:ascii="Times New Roman" w:eastAsia="Times New Roman" w:hAnsi="Times New Roman" w:cs="Times New Roman"/>
          <w:kern w:val="0"/>
          <w:sz w:val="24"/>
          <w:szCs w:val="24"/>
          <w:lang w:eastAsia="en-IN"/>
          <w14:ligatures w14:val="none"/>
        </w:rPr>
        <w:footnoteReference w:id="6"/>
      </w:r>
      <w:r w:rsidRPr="00880176">
        <w:rPr>
          <w:rFonts w:ascii="Times New Roman" w:eastAsia="Times New Roman" w:hAnsi="Times New Roman" w:cs="Times New Roman"/>
          <w:kern w:val="0"/>
          <w:sz w:val="24"/>
          <w:szCs w:val="24"/>
          <w:lang w:eastAsia="en-IN"/>
          <w14:ligatures w14:val="none"/>
        </w:rPr>
        <w:t xml:space="preserve">Mandates are more likely to gain public acceptance and </w:t>
      </w:r>
      <w:r w:rsidRPr="00880176">
        <w:rPr>
          <w:rFonts w:ascii="Times New Roman" w:eastAsia="Times New Roman" w:hAnsi="Times New Roman" w:cs="Times New Roman"/>
          <w:kern w:val="0"/>
          <w:sz w:val="24"/>
          <w:szCs w:val="24"/>
          <w:lang w:eastAsia="en-IN"/>
          <w14:ligatures w14:val="none"/>
        </w:rPr>
        <w:lastRenderedPageBreak/>
        <w:t>support when they are perceived as necessary and evidence-based. Experience-Based Learning - The insights gained from evaluating mandates</w:t>
      </w:r>
      <w:r w:rsidRPr="00880176">
        <w:rPr>
          <w:rFonts w:ascii="Times New Roman" w:eastAsia="Times New Roman" w:hAnsi="Times New Roman" w:cs="Times New Roman"/>
          <w:kern w:val="0"/>
          <w:sz w:val="24"/>
          <w:szCs w:val="24"/>
          <w:lang w:eastAsia="en-IN"/>
          <w14:ligatures w14:val="none"/>
        </w:rPr>
        <w:t xml:space="preserve">. </w:t>
      </w:r>
      <w:r w:rsidRPr="00880176">
        <w:rPr>
          <w:rFonts w:ascii="Times New Roman" w:eastAsia="Times New Roman" w:hAnsi="Times New Roman" w:cs="Times New Roman"/>
          <w:kern w:val="0"/>
          <w:sz w:val="24"/>
          <w:szCs w:val="24"/>
          <w:lang w:eastAsia="en-IN"/>
          <w14:ligatures w14:val="none"/>
        </w:rPr>
        <w:t xml:space="preserve">Communication and Public Awareness - Transparent communication about the rationale for changing mandates and how it benefits public health is critical. Mandates are more likely to gain public acceptance and support when they are perceived as necessary and evidence-based. </w:t>
      </w:r>
    </w:p>
    <w:p w14:paraId="0AC2389B" w14:textId="77777777" w:rsidR="00C27A3F" w:rsidRPr="00880176" w:rsidRDefault="00C27A3F"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307BE309" w14:textId="77777777" w:rsidR="00C27A3F" w:rsidRPr="00880176" w:rsidRDefault="00E75E0D"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Learning from Experience - Insights gained from evaluating mandates in previous public health emergencies inform future crisis decision-making. It is critical to continuously improve legal frameworks based on these experiences. Collaboration with other countries and international organisations can provide insights into effective public health strategies and the global context. Sharing experiences and best practises can aid in the refinement of mandates. Ethical Considerations - As mandates are modified, it is critical to consider the ethical implications, such as equity, individual rights, and the burden placed on specific populations.</w:t>
      </w:r>
    </w:p>
    <w:p w14:paraId="6BEB2E4A" w14:textId="77777777" w:rsidR="00C27A3F" w:rsidRPr="00880176" w:rsidRDefault="00C27A3F"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1D342E94" w14:textId="124EC616" w:rsidR="00BC3AAB" w:rsidRPr="00880176" w:rsidRDefault="00E75E0D" w:rsidP="00880176">
      <w:pPr>
        <w:spacing w:after="0" w:line="360" w:lineRule="auto"/>
        <w:jc w:val="both"/>
        <w:rPr>
          <w:rFonts w:ascii="Times New Roman" w:eastAsia="Times New Roman" w:hAnsi="Times New Roman" w:cs="Times New Roman"/>
          <w:b/>
          <w:bCs/>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Policy Improvement</w:t>
      </w:r>
      <w:r w:rsidR="00C27A3F" w:rsidRPr="00880176">
        <w:rPr>
          <w:rFonts w:ascii="Times New Roman" w:eastAsia="Times New Roman" w:hAnsi="Times New Roman" w:cs="Times New Roman"/>
          <w:kern w:val="0"/>
          <w:sz w:val="24"/>
          <w:szCs w:val="24"/>
          <w:lang w:eastAsia="en-IN"/>
          <w14:ligatures w14:val="none"/>
        </w:rPr>
        <w:t xml:space="preserve"> </w:t>
      </w:r>
      <w:r w:rsidR="00C27A3F" w:rsidRPr="00880176">
        <w:rPr>
          <w:rFonts w:ascii="Times New Roman" w:eastAsia="Times New Roman" w:hAnsi="Times New Roman" w:cs="Times New Roman"/>
          <w:kern w:val="0"/>
          <w:sz w:val="24"/>
          <w:szCs w:val="24"/>
          <w:lang w:eastAsia="en-IN"/>
          <w14:ligatures w14:val="none"/>
        </w:rPr>
        <w:t>Policymakers should be prepared to refine mandates as needed based on the findings and insights gained from ongoing evaluation. Legislative changes, public health orders, or administrative changes may be required. To summarise, ongoing evaluation of vaccination mandates ensures that they remain relevant and effective in addressing public health emergencies. This process entails adapting mandates to changing circumstances, assessing their impact on a regular basis, and making data-driven, evidence-based decisions. This evaluation relies on flexibility, stakeholder engagement, and open communication to allow mandates to evolve and protect public health while respecting individual rights and ethical considerations.</w:t>
      </w:r>
      <w:r w:rsidR="002F4DD2" w:rsidRPr="00880176">
        <w:rPr>
          <w:rStyle w:val="FootnoteReference"/>
          <w:rFonts w:ascii="Times New Roman" w:eastAsia="Times New Roman" w:hAnsi="Times New Roman" w:cs="Times New Roman"/>
          <w:b/>
          <w:bCs/>
          <w:kern w:val="0"/>
          <w:sz w:val="24"/>
          <w:szCs w:val="24"/>
          <w:lang w:eastAsia="en-IN"/>
          <w14:ligatures w14:val="none"/>
        </w:rPr>
        <w:footnoteReference w:id="7"/>
      </w:r>
    </w:p>
    <w:p w14:paraId="69835DCA" w14:textId="77777777" w:rsidR="00BC3AAB" w:rsidRPr="00880176"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45A5BF92" w14:textId="77777777" w:rsidR="00BC3AAB" w:rsidRPr="00880176" w:rsidRDefault="00BC3AAB" w:rsidP="00880176">
      <w:pPr>
        <w:spacing w:after="0" w:line="360" w:lineRule="auto"/>
        <w:jc w:val="both"/>
        <w:rPr>
          <w:rFonts w:ascii="Times New Roman" w:eastAsia="Times New Roman" w:hAnsi="Times New Roman" w:cs="Times New Roman"/>
          <w:b/>
          <w:bCs/>
          <w:kern w:val="0"/>
          <w:sz w:val="24"/>
          <w:szCs w:val="24"/>
          <w:lang w:eastAsia="en-IN"/>
          <w14:ligatures w14:val="none"/>
        </w:rPr>
      </w:pPr>
      <w:r w:rsidRPr="00880176">
        <w:rPr>
          <w:rFonts w:ascii="Times New Roman" w:eastAsia="Times New Roman" w:hAnsi="Times New Roman" w:cs="Times New Roman"/>
          <w:b/>
          <w:bCs/>
          <w:kern w:val="0"/>
          <w:sz w:val="24"/>
          <w:szCs w:val="24"/>
          <w:lang w:eastAsia="en-IN"/>
          <w14:ligatures w14:val="none"/>
        </w:rPr>
        <w:t>CONCLUSION</w:t>
      </w:r>
    </w:p>
    <w:p w14:paraId="2F319405" w14:textId="77777777" w:rsidR="00BC3AAB" w:rsidRPr="00880176" w:rsidRDefault="00BC3AAB"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6EE9E375" w14:textId="77777777"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The legal evolution of vaccination mandates in response to public health emergencies, as exemplified by the COVID-19 pandemic, has provided the global community with valuable lessons and insights. Governments have used their legal authority to protect public health through vaccination mandates throughout history, and this practise has endured and evolved. The COVID-19 experience taught us a variety of lessons.</w:t>
      </w:r>
    </w:p>
    <w:p w14:paraId="1DC7F226" w14:textId="77777777"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1AA14BFC" w14:textId="755873DC"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The pandemic, first and foremost, highlighted the delicate balance between individual rights and collective public health imperatives. Courts and legislatures have wrestled with the conflict between personal liberties and the need for widespread vaccination, reaffirming the principle that mandates must be reasonable, necessary, and proportionate to a given public health threat.</w:t>
      </w:r>
      <w:r w:rsidR="002F4DD2" w:rsidRPr="00880176">
        <w:rPr>
          <w:rStyle w:val="FootnoteReference"/>
          <w:rFonts w:ascii="Times New Roman" w:eastAsia="Times New Roman" w:hAnsi="Times New Roman" w:cs="Times New Roman"/>
          <w:kern w:val="0"/>
          <w:sz w:val="24"/>
          <w:szCs w:val="24"/>
          <w:lang w:eastAsia="en-IN"/>
          <w14:ligatures w14:val="none"/>
        </w:rPr>
        <w:footnoteReference w:id="8"/>
      </w:r>
    </w:p>
    <w:p w14:paraId="38ECD485" w14:textId="77777777"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p>
    <w:p w14:paraId="47CAAB7C" w14:textId="6ED7AF76" w:rsidR="000631CB"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Furthermore, COVID-19 has emphasised the significance of clear legal frameworks that give governments the authority to enforce vaccination mandates. Exemptions, enforcement mechanisms, and data collection must all be addressed in these frameworks, while also allowing for regular review and adaptation to changing circumstances. During a crisis, legal responses must be adaptable and swift.</w:t>
      </w:r>
      <w:r w:rsidRPr="00880176">
        <w:rPr>
          <w:rFonts w:ascii="Times New Roman" w:eastAsia="Times New Roman" w:hAnsi="Times New Roman" w:cs="Times New Roman"/>
          <w:kern w:val="0"/>
          <w:sz w:val="24"/>
          <w:szCs w:val="24"/>
          <w:lang w:eastAsia="en-IN"/>
          <w14:ligatures w14:val="none"/>
        </w:rPr>
        <w:t xml:space="preserve"> </w:t>
      </w:r>
      <w:r w:rsidRPr="00880176">
        <w:rPr>
          <w:rFonts w:ascii="Times New Roman" w:eastAsia="Times New Roman" w:hAnsi="Times New Roman" w:cs="Times New Roman"/>
          <w:kern w:val="0"/>
          <w:sz w:val="24"/>
          <w:szCs w:val="24"/>
          <w:lang w:eastAsia="en-IN"/>
          <w14:ligatures w14:val="none"/>
        </w:rPr>
        <w:t>International comparisons have shed light on various legal approaches, revealing a range of strategies used by different countries. These comparative studies aid in the identification of best practises and allow countries to learn from one another.</w:t>
      </w:r>
    </w:p>
    <w:p w14:paraId="11AAB7E9" w14:textId="53A14D90" w:rsidR="003C632A" w:rsidRPr="00880176" w:rsidRDefault="000631CB" w:rsidP="00880176">
      <w:pPr>
        <w:spacing w:after="0" w:line="360" w:lineRule="auto"/>
        <w:jc w:val="both"/>
        <w:rPr>
          <w:rFonts w:ascii="Times New Roman" w:eastAsia="Times New Roman" w:hAnsi="Times New Roman" w:cs="Times New Roman"/>
          <w:kern w:val="0"/>
          <w:sz w:val="24"/>
          <w:szCs w:val="24"/>
          <w:lang w:eastAsia="en-IN"/>
          <w14:ligatures w14:val="none"/>
        </w:rPr>
      </w:pPr>
      <w:r w:rsidRPr="00880176">
        <w:rPr>
          <w:rFonts w:ascii="Times New Roman" w:eastAsia="Times New Roman" w:hAnsi="Times New Roman" w:cs="Times New Roman"/>
          <w:kern w:val="0"/>
          <w:sz w:val="24"/>
          <w:szCs w:val="24"/>
          <w:lang w:eastAsia="en-IN"/>
          <w14:ligatures w14:val="none"/>
        </w:rPr>
        <w:t>F</w:t>
      </w:r>
      <w:r w:rsidRPr="00880176">
        <w:rPr>
          <w:rFonts w:ascii="Times New Roman" w:eastAsia="Times New Roman" w:hAnsi="Times New Roman" w:cs="Times New Roman"/>
          <w:kern w:val="0"/>
          <w:sz w:val="24"/>
          <w:szCs w:val="24"/>
          <w:lang w:eastAsia="en-IN"/>
          <w14:ligatures w14:val="none"/>
        </w:rPr>
        <w:t>inally, the global response to the COVID-19 pandemic has highlighted the importance of proactive communication and education efforts. A successful vaccination campaign requires establishing public trust, combating misinformation, and explaining the rationale behind mandates.</w:t>
      </w:r>
      <w:r w:rsidR="00BC3AAB" w:rsidRPr="00880176">
        <w:rPr>
          <w:rFonts w:ascii="Times New Roman" w:eastAsia="Times New Roman" w:hAnsi="Times New Roman" w:cs="Times New Roman"/>
          <w:kern w:val="0"/>
          <w:sz w:val="24"/>
          <w:szCs w:val="24"/>
          <w:lang w:eastAsia="en-IN"/>
          <w14:ligatures w14:val="none"/>
        </w:rPr>
        <w:br/>
      </w:r>
    </w:p>
    <w:sectPr w:rsidR="003C632A" w:rsidRPr="008801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A9877" w14:textId="77777777" w:rsidR="00EC7D39" w:rsidRDefault="00EC7D39" w:rsidP="00C27A3F">
      <w:pPr>
        <w:spacing w:after="0" w:line="240" w:lineRule="auto"/>
      </w:pPr>
      <w:r>
        <w:separator/>
      </w:r>
    </w:p>
  </w:endnote>
  <w:endnote w:type="continuationSeparator" w:id="0">
    <w:p w14:paraId="1F0B1F53" w14:textId="77777777" w:rsidR="00EC7D39" w:rsidRDefault="00EC7D39" w:rsidP="00C27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86C5C" w14:textId="77777777" w:rsidR="00EC7D39" w:rsidRDefault="00EC7D39" w:rsidP="00C27A3F">
      <w:pPr>
        <w:spacing w:after="0" w:line="240" w:lineRule="auto"/>
      </w:pPr>
      <w:r>
        <w:separator/>
      </w:r>
    </w:p>
  </w:footnote>
  <w:footnote w:type="continuationSeparator" w:id="0">
    <w:p w14:paraId="0DADC526" w14:textId="77777777" w:rsidR="00EC7D39" w:rsidRDefault="00EC7D39" w:rsidP="00C27A3F">
      <w:pPr>
        <w:spacing w:after="0" w:line="240" w:lineRule="auto"/>
      </w:pPr>
      <w:r>
        <w:continuationSeparator/>
      </w:r>
    </w:p>
  </w:footnote>
  <w:footnote w:id="1">
    <w:p w14:paraId="40F4F5C1" w14:textId="397EB8B1" w:rsidR="00C27A3F" w:rsidRPr="00C27A3F" w:rsidRDefault="00C27A3F" w:rsidP="00C27A3F">
      <w:pPr>
        <w:pStyle w:val="Heading1"/>
        <w:shd w:val="clear" w:color="auto" w:fill="FFFFFF"/>
        <w:spacing w:before="400" w:beforeAutospacing="0" w:after="200" w:afterAutospacing="0"/>
        <w:rPr>
          <w:b w:val="0"/>
          <w:bCs w:val="0"/>
          <w:color w:val="000000"/>
          <w:spacing w:val="-2"/>
          <w:sz w:val="18"/>
          <w:szCs w:val="18"/>
        </w:rPr>
      </w:pPr>
      <w:r w:rsidRPr="00C27A3F">
        <w:rPr>
          <w:rStyle w:val="FootnoteReference"/>
          <w:b w:val="0"/>
          <w:bCs w:val="0"/>
          <w:sz w:val="18"/>
          <w:szCs w:val="18"/>
        </w:rPr>
        <w:footnoteRef/>
      </w:r>
      <w:r w:rsidRPr="00C27A3F">
        <w:rPr>
          <w:b w:val="0"/>
          <w:bCs w:val="0"/>
          <w:sz w:val="18"/>
          <w:szCs w:val="18"/>
        </w:rPr>
        <w:t xml:space="preserve"> </w:t>
      </w:r>
      <w:r w:rsidRPr="00C27A3F">
        <w:rPr>
          <w:b w:val="0"/>
          <w:bCs w:val="0"/>
          <w:sz w:val="18"/>
          <w:szCs w:val="18"/>
          <w:lang w:val="en-US"/>
        </w:rPr>
        <w:t>Roxana Filip, “</w:t>
      </w:r>
      <w:r w:rsidRPr="00C27A3F">
        <w:rPr>
          <w:b w:val="0"/>
          <w:bCs w:val="0"/>
          <w:color w:val="000000"/>
          <w:spacing w:val="-2"/>
          <w:sz w:val="18"/>
          <w:szCs w:val="18"/>
        </w:rPr>
        <w:t>Global Challenges to Public Health Care Systems during the COVID-19 Pandemic: A Review of Pandemic Measures and Problems</w:t>
      </w:r>
      <w:r w:rsidRPr="00C27A3F">
        <w:rPr>
          <w:b w:val="0"/>
          <w:bCs w:val="0"/>
          <w:color w:val="000000"/>
          <w:spacing w:val="-2"/>
          <w:sz w:val="18"/>
          <w:szCs w:val="18"/>
        </w:rPr>
        <w:t xml:space="preserve">”, </w:t>
      </w:r>
      <w:r w:rsidRPr="00C27A3F">
        <w:rPr>
          <w:b w:val="0"/>
          <w:bCs w:val="0"/>
          <w:i/>
          <w:iCs/>
          <w:color w:val="000000"/>
          <w:spacing w:val="-2"/>
          <w:sz w:val="18"/>
          <w:szCs w:val="18"/>
        </w:rPr>
        <w:t xml:space="preserve">National library of Medicine, Aug 2022 </w:t>
      </w:r>
      <w:r w:rsidRPr="00C27A3F">
        <w:rPr>
          <w:b w:val="0"/>
          <w:bCs w:val="0"/>
          <w:color w:val="000000"/>
          <w:spacing w:val="-2"/>
          <w:sz w:val="18"/>
          <w:szCs w:val="18"/>
        </w:rPr>
        <w:t>&lt;</w:t>
      </w:r>
      <w:r w:rsidRPr="00C27A3F">
        <w:rPr>
          <w:b w:val="0"/>
          <w:bCs w:val="0"/>
          <w:sz w:val="18"/>
          <w:szCs w:val="18"/>
        </w:rPr>
        <w:t xml:space="preserve"> </w:t>
      </w:r>
      <w:hyperlink r:id="rId1" w:history="1">
        <w:r w:rsidRPr="00C27A3F">
          <w:rPr>
            <w:rStyle w:val="Hyperlink"/>
            <w:b w:val="0"/>
            <w:bCs w:val="0"/>
            <w:spacing w:val="-2"/>
            <w:sz w:val="18"/>
            <w:szCs w:val="18"/>
          </w:rPr>
          <w:t>https://www.ncbi.nlm.nih.gov/pmc/articles/PMC9409667/</w:t>
        </w:r>
      </w:hyperlink>
      <w:r w:rsidRPr="00C27A3F">
        <w:rPr>
          <w:b w:val="0"/>
          <w:bCs w:val="0"/>
          <w:color w:val="000000"/>
          <w:spacing w:val="-2"/>
          <w:sz w:val="18"/>
          <w:szCs w:val="18"/>
        </w:rPr>
        <w:t xml:space="preserve">&gt; </w:t>
      </w:r>
    </w:p>
  </w:footnote>
  <w:footnote w:id="2">
    <w:p w14:paraId="5B1F7857" w14:textId="1999A2DC" w:rsidR="008065CF" w:rsidRPr="008032EC" w:rsidRDefault="008065CF">
      <w:pPr>
        <w:pStyle w:val="FootnoteText"/>
        <w:rPr>
          <w:rFonts w:ascii="Times New Roman" w:hAnsi="Times New Roman" w:cs="Times New Roman"/>
          <w:sz w:val="18"/>
          <w:szCs w:val="18"/>
          <w:lang w:val="en-US"/>
        </w:rPr>
      </w:pPr>
      <w:r w:rsidRPr="008032EC">
        <w:rPr>
          <w:rStyle w:val="FootnoteReference"/>
          <w:rFonts w:ascii="Times New Roman" w:hAnsi="Times New Roman" w:cs="Times New Roman"/>
          <w:sz w:val="18"/>
          <w:szCs w:val="18"/>
        </w:rPr>
        <w:footnoteRef/>
      </w:r>
      <w:r w:rsidRPr="008032EC">
        <w:rPr>
          <w:rFonts w:ascii="Times New Roman" w:hAnsi="Times New Roman" w:cs="Times New Roman"/>
          <w:sz w:val="18"/>
          <w:szCs w:val="18"/>
        </w:rPr>
        <w:t xml:space="preserve"> </w:t>
      </w:r>
      <w:r w:rsidR="008032EC" w:rsidRPr="008032EC">
        <w:rPr>
          <w:rFonts w:ascii="Times New Roman" w:hAnsi="Times New Roman" w:cs="Times New Roman"/>
          <w:sz w:val="18"/>
          <w:szCs w:val="18"/>
          <w:lang w:val="en-US"/>
        </w:rPr>
        <w:t xml:space="preserve">Lindsay F. Wiley, </w:t>
      </w:r>
      <w:r w:rsidR="008032EC" w:rsidRPr="008032EC">
        <w:rPr>
          <w:rFonts w:ascii="Times New Roman" w:hAnsi="Times New Roman" w:cs="Times New Roman"/>
          <w:sz w:val="18"/>
          <w:szCs w:val="18"/>
        </w:rPr>
        <w:t>Public health law and science in the community mitigation strategy for Covid-19</w:t>
      </w:r>
      <w:r w:rsidR="008032EC" w:rsidRPr="008032EC">
        <w:rPr>
          <w:rFonts w:ascii="Times New Roman" w:hAnsi="Times New Roman" w:cs="Times New Roman"/>
          <w:sz w:val="18"/>
          <w:szCs w:val="18"/>
        </w:rPr>
        <w:t xml:space="preserve">, </w:t>
      </w:r>
      <w:r w:rsidR="008032EC" w:rsidRPr="008032EC">
        <w:rPr>
          <w:rFonts w:ascii="Times New Roman" w:hAnsi="Times New Roman" w:cs="Times New Roman"/>
          <w:sz w:val="18"/>
          <w:szCs w:val="18"/>
        </w:rPr>
        <w:t>Journal of Law and the Biosciences, 1–19</w:t>
      </w:r>
      <w:r w:rsidR="008032EC" w:rsidRPr="008032EC">
        <w:rPr>
          <w:rFonts w:ascii="Times New Roman" w:hAnsi="Times New Roman" w:cs="Times New Roman"/>
          <w:sz w:val="18"/>
          <w:szCs w:val="18"/>
        </w:rPr>
        <w:t xml:space="preserve"> (8 May 2020)</w:t>
      </w:r>
    </w:p>
  </w:footnote>
  <w:footnote w:id="3">
    <w:p w14:paraId="0FDA285F" w14:textId="20666D5B" w:rsidR="008065CF" w:rsidRPr="008065CF" w:rsidRDefault="008065CF" w:rsidP="008065CF">
      <w:pPr>
        <w:pStyle w:val="Heading1"/>
        <w:shd w:val="clear" w:color="auto" w:fill="FFFFFF"/>
        <w:spacing w:before="0" w:beforeAutospacing="0" w:after="0" w:afterAutospacing="0"/>
        <w:rPr>
          <w:b w:val="0"/>
          <w:bCs w:val="0"/>
          <w:color w:val="0B0064"/>
          <w:sz w:val="18"/>
          <w:szCs w:val="18"/>
        </w:rPr>
      </w:pPr>
      <w:r w:rsidRPr="008065CF">
        <w:rPr>
          <w:rStyle w:val="FootnoteReference"/>
          <w:b w:val="0"/>
          <w:bCs w:val="0"/>
          <w:color w:val="000000" w:themeColor="text1"/>
          <w:sz w:val="18"/>
          <w:szCs w:val="18"/>
        </w:rPr>
        <w:footnoteRef/>
      </w:r>
      <w:r w:rsidRPr="008065CF">
        <w:rPr>
          <w:b w:val="0"/>
          <w:bCs w:val="0"/>
          <w:color w:val="000000" w:themeColor="text1"/>
          <w:sz w:val="18"/>
          <w:szCs w:val="18"/>
        </w:rPr>
        <w:t xml:space="preserve"> </w:t>
      </w:r>
      <w:r w:rsidRPr="008065CF">
        <w:rPr>
          <w:b w:val="0"/>
          <w:bCs w:val="0"/>
          <w:color w:val="000000" w:themeColor="text1"/>
          <w:sz w:val="18"/>
          <w:szCs w:val="18"/>
          <w:lang w:val="en-US"/>
        </w:rPr>
        <w:t>“</w:t>
      </w:r>
      <w:r w:rsidRPr="008065CF">
        <w:rPr>
          <w:b w:val="0"/>
          <w:bCs w:val="0"/>
          <w:color w:val="000000" w:themeColor="text1"/>
          <w:sz w:val="18"/>
          <w:szCs w:val="18"/>
        </w:rPr>
        <w:t>The territorial impact of COVID-19: Managing the crisis and recovery across levels of government</w:t>
      </w:r>
      <w:r w:rsidRPr="008065CF">
        <w:rPr>
          <w:b w:val="0"/>
          <w:bCs w:val="0"/>
          <w:color w:val="000000" w:themeColor="text1"/>
          <w:sz w:val="18"/>
          <w:szCs w:val="18"/>
        </w:rPr>
        <w:t xml:space="preserve">”, </w:t>
      </w:r>
      <w:r w:rsidRPr="008065CF">
        <w:rPr>
          <w:b w:val="0"/>
          <w:bCs w:val="0"/>
          <w:i/>
          <w:iCs/>
          <w:color w:val="000000" w:themeColor="text1"/>
          <w:sz w:val="18"/>
          <w:szCs w:val="18"/>
        </w:rPr>
        <w:t>OECD, 10 May 2021</w:t>
      </w:r>
      <w:r w:rsidRPr="008065CF">
        <w:rPr>
          <w:b w:val="0"/>
          <w:bCs w:val="0"/>
          <w:color w:val="000000" w:themeColor="text1"/>
          <w:sz w:val="18"/>
          <w:szCs w:val="18"/>
        </w:rPr>
        <w:t xml:space="preserve"> &lt;</w:t>
      </w:r>
      <w:r w:rsidRPr="008065CF">
        <w:rPr>
          <w:b w:val="0"/>
          <w:bCs w:val="0"/>
          <w:color w:val="4472C4" w:themeColor="accent1"/>
          <w:sz w:val="18"/>
          <w:szCs w:val="18"/>
        </w:rPr>
        <w:t xml:space="preserve"> </w:t>
      </w:r>
      <w:hyperlink r:id="rId2" w:history="1">
        <w:r w:rsidRPr="008065CF">
          <w:rPr>
            <w:rStyle w:val="Hyperlink"/>
            <w:b w:val="0"/>
            <w:bCs w:val="0"/>
            <w:color w:val="4472C4" w:themeColor="accent1"/>
            <w:sz w:val="18"/>
            <w:szCs w:val="18"/>
          </w:rPr>
          <w:t>https://www.oecd.org/coronavirus/policy-responses/the-territorial-impact-of-covid-19-managing-the-crisis-and-recovery-across-levels-of-government-a2c6abaf/</w:t>
        </w:r>
      </w:hyperlink>
      <w:r w:rsidRPr="008065CF">
        <w:rPr>
          <w:b w:val="0"/>
          <w:bCs w:val="0"/>
          <w:color w:val="000000" w:themeColor="text1"/>
          <w:sz w:val="18"/>
          <w:szCs w:val="18"/>
        </w:rPr>
        <w:t xml:space="preserve">&gt; </w:t>
      </w:r>
    </w:p>
  </w:footnote>
  <w:footnote w:id="4">
    <w:p w14:paraId="206C3809" w14:textId="202CCCEF" w:rsidR="008032EC" w:rsidRPr="008032EC" w:rsidRDefault="008032EC" w:rsidP="008032EC">
      <w:pPr>
        <w:pStyle w:val="Heading1"/>
        <w:spacing w:before="48" w:beforeAutospacing="0" w:after="84" w:afterAutospacing="0"/>
        <w:rPr>
          <w:b w:val="0"/>
          <w:bCs w:val="0"/>
          <w:color w:val="333333"/>
          <w:sz w:val="18"/>
          <w:szCs w:val="18"/>
        </w:rPr>
      </w:pPr>
      <w:r w:rsidRPr="008032EC">
        <w:rPr>
          <w:rStyle w:val="FootnoteReference"/>
          <w:b w:val="0"/>
          <w:bCs w:val="0"/>
          <w:sz w:val="18"/>
          <w:szCs w:val="18"/>
        </w:rPr>
        <w:footnoteRef/>
      </w:r>
      <w:r w:rsidRPr="008032EC">
        <w:rPr>
          <w:b w:val="0"/>
          <w:bCs w:val="0"/>
          <w:color w:val="000000" w:themeColor="text1"/>
          <w:sz w:val="18"/>
          <w:szCs w:val="18"/>
        </w:rPr>
        <w:t xml:space="preserve"> </w:t>
      </w:r>
      <w:hyperlink r:id="rId3" w:tgtFrame="_blank" w:history="1">
        <w:r w:rsidRPr="008032EC">
          <w:rPr>
            <w:rStyle w:val="Hyperlink"/>
            <w:b w:val="0"/>
            <w:bCs w:val="0"/>
            <w:color w:val="000000" w:themeColor="text1"/>
            <w:sz w:val="18"/>
            <w:szCs w:val="18"/>
          </w:rPr>
          <w:t>Lawrence O. </w:t>
        </w:r>
        <w:proofErr w:type="spellStart"/>
        <w:r w:rsidRPr="008032EC">
          <w:rPr>
            <w:rStyle w:val="Hyperlink"/>
            <w:b w:val="0"/>
            <w:bCs w:val="0"/>
            <w:color w:val="000000" w:themeColor="text1"/>
            <w:sz w:val="18"/>
            <w:szCs w:val="18"/>
          </w:rPr>
          <w:t>Gostin</w:t>
        </w:r>
        <w:proofErr w:type="spellEnd"/>
      </w:hyperlink>
      <w:r w:rsidRPr="008032EC">
        <w:rPr>
          <w:b w:val="0"/>
          <w:bCs w:val="0"/>
          <w:color w:val="000000" w:themeColor="text1"/>
          <w:sz w:val="18"/>
          <w:szCs w:val="18"/>
        </w:rPr>
        <w:t>, “</w:t>
      </w:r>
      <w:r w:rsidRPr="008032EC">
        <w:rPr>
          <w:b w:val="0"/>
          <w:bCs w:val="0"/>
          <w:color w:val="000000" w:themeColor="text1"/>
          <w:sz w:val="18"/>
          <w:szCs w:val="18"/>
        </w:rPr>
        <w:t>Mandating COVID-19 Vaccines</w:t>
      </w:r>
      <w:r w:rsidRPr="008032EC">
        <w:rPr>
          <w:b w:val="0"/>
          <w:bCs w:val="0"/>
          <w:color w:val="000000" w:themeColor="text1"/>
          <w:sz w:val="18"/>
          <w:szCs w:val="18"/>
        </w:rPr>
        <w:t xml:space="preserve">”, Dec 29 2020 &lt; </w:t>
      </w:r>
      <w:hyperlink r:id="rId4" w:history="1">
        <w:r w:rsidRPr="008032EC">
          <w:rPr>
            <w:rStyle w:val="Hyperlink"/>
            <w:b w:val="0"/>
            <w:bCs w:val="0"/>
            <w:color w:val="4472C4" w:themeColor="accent1"/>
            <w:sz w:val="18"/>
            <w:szCs w:val="18"/>
          </w:rPr>
          <w:t>https://jamanetwork.com/journals/jama/article-abstract/2774712</w:t>
        </w:r>
      </w:hyperlink>
      <w:r w:rsidRPr="008032EC">
        <w:rPr>
          <w:b w:val="0"/>
          <w:bCs w:val="0"/>
          <w:color w:val="000000" w:themeColor="text1"/>
          <w:sz w:val="18"/>
          <w:szCs w:val="18"/>
        </w:rPr>
        <w:t xml:space="preserve"> &gt;</w:t>
      </w:r>
    </w:p>
  </w:footnote>
  <w:footnote w:id="5">
    <w:p w14:paraId="0B1A5DBE" w14:textId="44EDA7D9" w:rsidR="008032EC" w:rsidRPr="002F4DD2" w:rsidRDefault="008032EC">
      <w:pPr>
        <w:pStyle w:val="FootnoteText"/>
        <w:rPr>
          <w:rFonts w:ascii="Times New Roman" w:hAnsi="Times New Roman" w:cs="Times New Roman"/>
          <w:sz w:val="18"/>
          <w:szCs w:val="18"/>
          <w:lang w:val="en-US"/>
        </w:rPr>
      </w:pPr>
      <w:r w:rsidRPr="002F4DD2">
        <w:rPr>
          <w:rStyle w:val="FootnoteReference"/>
          <w:rFonts w:ascii="Times New Roman" w:hAnsi="Times New Roman" w:cs="Times New Roman"/>
          <w:color w:val="000000" w:themeColor="text1"/>
          <w:sz w:val="18"/>
          <w:szCs w:val="18"/>
        </w:rPr>
        <w:footnoteRef/>
      </w:r>
      <w:r w:rsidRPr="002F4DD2">
        <w:rPr>
          <w:rFonts w:ascii="Times New Roman" w:hAnsi="Times New Roman" w:cs="Times New Roman"/>
          <w:color w:val="000000" w:themeColor="text1"/>
          <w:sz w:val="18"/>
          <w:szCs w:val="18"/>
        </w:rPr>
        <w:t xml:space="preserve"> </w:t>
      </w:r>
      <w:r w:rsidR="002F4DD2" w:rsidRPr="002F4DD2">
        <w:rPr>
          <w:rFonts w:ascii="Times New Roman" w:hAnsi="Times New Roman" w:cs="Times New Roman"/>
          <w:color w:val="000000" w:themeColor="text1"/>
          <w:sz w:val="18"/>
          <w:szCs w:val="18"/>
          <w:lang w:val="en-US"/>
        </w:rPr>
        <w:t>Kay Wilson, “</w:t>
      </w:r>
      <w:r w:rsidR="002F4DD2" w:rsidRPr="002F4DD2">
        <w:rPr>
          <w:rFonts w:ascii="Times New Roman" w:hAnsi="Times New Roman" w:cs="Times New Roman"/>
          <w:color w:val="000000" w:themeColor="text1"/>
          <w:sz w:val="18"/>
          <w:szCs w:val="18"/>
        </w:rPr>
        <w:t>COVID-19 VACCINE MANDATES: A COERCIVE BUT JUSTIFIED PUBLIC HEALTH NECESSITY</w:t>
      </w:r>
      <w:r w:rsidR="002F4DD2" w:rsidRPr="002F4DD2">
        <w:rPr>
          <w:rFonts w:ascii="Times New Roman" w:hAnsi="Times New Roman" w:cs="Times New Roman"/>
          <w:color w:val="000000" w:themeColor="text1"/>
          <w:sz w:val="18"/>
          <w:szCs w:val="18"/>
        </w:rPr>
        <w:t xml:space="preserve">” </w:t>
      </w:r>
      <w:r w:rsidR="002F4DD2" w:rsidRPr="002F4DD2">
        <w:rPr>
          <w:rFonts w:ascii="Times New Roman" w:hAnsi="Times New Roman" w:cs="Times New Roman"/>
          <w:color w:val="000000" w:themeColor="text1"/>
          <w:sz w:val="18"/>
          <w:szCs w:val="18"/>
          <w:shd w:val="clear" w:color="auto" w:fill="FFFFFF"/>
        </w:rPr>
        <w:t>Routledge Handbook of Mental Health Law, 2023</w:t>
      </w:r>
    </w:p>
  </w:footnote>
  <w:footnote w:id="6">
    <w:p w14:paraId="0E3F470B" w14:textId="5AE3EF19" w:rsidR="002F4DD2" w:rsidRPr="002F4DD2" w:rsidRDefault="002F4DD2" w:rsidP="002F4DD2">
      <w:pPr>
        <w:spacing w:line="240" w:lineRule="auto"/>
        <w:rPr>
          <w:rFonts w:ascii="Times New Roman" w:eastAsia="Times New Roman" w:hAnsi="Times New Roman" w:cs="Times New Roman"/>
          <w:color w:val="1F1F1F"/>
          <w:kern w:val="0"/>
          <w:sz w:val="18"/>
          <w:szCs w:val="18"/>
          <w:lang w:eastAsia="en-IN"/>
          <w14:ligatures w14:val="none"/>
        </w:rPr>
      </w:pPr>
      <w:r w:rsidRPr="002F4DD2">
        <w:rPr>
          <w:rStyle w:val="FootnoteReference"/>
          <w:rFonts w:ascii="Times New Roman" w:hAnsi="Times New Roman" w:cs="Times New Roman"/>
          <w:sz w:val="18"/>
          <w:szCs w:val="18"/>
        </w:rPr>
        <w:footnoteRef/>
      </w:r>
      <w:r w:rsidRPr="002F4DD2">
        <w:rPr>
          <w:rFonts w:ascii="Times New Roman" w:hAnsi="Times New Roman" w:cs="Times New Roman"/>
          <w:sz w:val="18"/>
          <w:szCs w:val="18"/>
        </w:rPr>
        <w:t xml:space="preserve"> </w:t>
      </w:r>
      <w:r w:rsidRPr="002F4DD2">
        <w:rPr>
          <w:rFonts w:ascii="Times New Roman" w:eastAsia="Times New Roman" w:hAnsi="Times New Roman" w:cs="Times New Roman"/>
          <w:color w:val="1F1F1F"/>
          <w:kern w:val="0"/>
          <w:sz w:val="18"/>
          <w:szCs w:val="18"/>
          <w:lang w:eastAsia="en-IN"/>
          <w14:ligatures w14:val="none"/>
        </w:rPr>
        <w:t>K. Douglas, D. </w:t>
      </w:r>
      <w:proofErr w:type="spellStart"/>
      <w:r w:rsidRPr="002F4DD2">
        <w:rPr>
          <w:rFonts w:ascii="Times New Roman" w:eastAsia="Times New Roman" w:hAnsi="Times New Roman" w:cs="Times New Roman"/>
          <w:color w:val="1F1F1F"/>
          <w:kern w:val="0"/>
          <w:sz w:val="18"/>
          <w:szCs w:val="18"/>
          <w:lang w:eastAsia="en-IN"/>
          <w14:ligatures w14:val="none"/>
        </w:rPr>
        <w:t>Joelley</w:t>
      </w:r>
      <w:proofErr w:type="spellEnd"/>
      <w:r w:rsidRPr="002F4DD2">
        <w:rPr>
          <w:rFonts w:ascii="Times New Roman" w:eastAsia="Times New Roman" w:hAnsi="Times New Roman" w:cs="Times New Roman"/>
          <w:color w:val="1F1F1F"/>
          <w:kern w:val="0"/>
          <w:sz w:val="18"/>
          <w:szCs w:val="18"/>
          <w:lang w:eastAsia="en-IN"/>
          <w14:ligatures w14:val="none"/>
        </w:rPr>
        <w:t>, “</w:t>
      </w:r>
      <w:r w:rsidRPr="002F4DD2">
        <w:rPr>
          <w:rFonts w:ascii="Times New Roman" w:eastAsia="Times New Roman" w:hAnsi="Times New Roman" w:cs="Times New Roman"/>
          <w:color w:val="1F1F1F"/>
          <w:kern w:val="0"/>
          <w:sz w:val="18"/>
          <w:szCs w:val="18"/>
          <w:lang w:eastAsia="en-IN"/>
          <w14:ligatures w14:val="none"/>
        </w:rPr>
        <w:t>The Effects of Anti-Vaccine Conspiracy Theories on Vaccination Intentions</w:t>
      </w:r>
      <w:r w:rsidRPr="002F4DD2">
        <w:rPr>
          <w:rFonts w:ascii="Times New Roman" w:eastAsia="Times New Roman" w:hAnsi="Times New Roman" w:cs="Times New Roman"/>
          <w:color w:val="1F1F1F"/>
          <w:kern w:val="0"/>
          <w:sz w:val="18"/>
          <w:szCs w:val="18"/>
          <w:lang w:eastAsia="en-IN"/>
          <w14:ligatures w14:val="none"/>
        </w:rPr>
        <w:t>” (2014)</w:t>
      </w:r>
    </w:p>
    <w:p w14:paraId="0C901DF0" w14:textId="2C953CD3" w:rsidR="002F4DD2" w:rsidRPr="002F4DD2" w:rsidRDefault="002F4DD2">
      <w:pPr>
        <w:pStyle w:val="FootnoteText"/>
        <w:rPr>
          <w:rFonts w:ascii="Times New Roman" w:hAnsi="Times New Roman" w:cs="Times New Roman"/>
          <w:sz w:val="18"/>
          <w:szCs w:val="18"/>
          <w:lang w:val="en-US"/>
        </w:rPr>
      </w:pPr>
    </w:p>
  </w:footnote>
  <w:footnote w:id="7">
    <w:p w14:paraId="4DED5C9C" w14:textId="1379BE58" w:rsidR="002F4DD2" w:rsidRDefault="002F4DD2" w:rsidP="002F4DD2">
      <w:pPr>
        <w:spacing w:after="0" w:line="360" w:lineRule="auto"/>
        <w:rPr>
          <w:rFonts w:ascii="Times New Roman" w:eastAsia="Times New Roman" w:hAnsi="Times New Roman" w:cs="Times New Roman"/>
          <w:color w:val="000000"/>
          <w:kern w:val="0"/>
          <w:sz w:val="28"/>
          <w:szCs w:val="28"/>
          <w:lang w:eastAsia="en-IN"/>
          <w14:ligatures w14:val="none"/>
        </w:rPr>
      </w:pPr>
      <w:r w:rsidRPr="002F4DD2">
        <w:rPr>
          <w:rStyle w:val="FootnoteReference"/>
          <w:rFonts w:ascii="Times New Roman" w:hAnsi="Times New Roman" w:cs="Times New Roman"/>
          <w:sz w:val="18"/>
          <w:szCs w:val="18"/>
        </w:rPr>
        <w:footnoteRef/>
      </w:r>
      <w:r w:rsidRPr="002F4DD2">
        <w:rPr>
          <w:rFonts w:ascii="Times New Roman" w:hAnsi="Times New Roman" w:cs="Times New Roman"/>
          <w:sz w:val="18"/>
          <w:szCs w:val="18"/>
        </w:rPr>
        <w:t xml:space="preserve"> </w:t>
      </w:r>
      <w:r w:rsidRPr="002F4DD2">
        <w:rPr>
          <w:rFonts w:ascii="Times New Roman" w:hAnsi="Times New Roman" w:cs="Times New Roman"/>
          <w:color w:val="222222"/>
          <w:sz w:val="18"/>
          <w:szCs w:val="18"/>
          <w:shd w:val="clear" w:color="auto" w:fill="FFFFFF"/>
        </w:rPr>
        <w:t>Hodge Jr, J. G. (2021). National legal paradigms for public health emergency responses. </w:t>
      </w:r>
      <w:r w:rsidRPr="002F4DD2">
        <w:rPr>
          <w:rFonts w:ascii="Times New Roman" w:hAnsi="Times New Roman" w:cs="Times New Roman"/>
          <w:i/>
          <w:iCs/>
          <w:color w:val="222222"/>
          <w:sz w:val="18"/>
          <w:szCs w:val="18"/>
          <w:shd w:val="clear" w:color="auto" w:fill="FFFFFF"/>
        </w:rPr>
        <w:t>Am. UL Rev.</w:t>
      </w:r>
      <w:r w:rsidRPr="002F4DD2">
        <w:rPr>
          <w:rFonts w:ascii="Times New Roman" w:hAnsi="Times New Roman" w:cs="Times New Roman"/>
          <w:color w:val="222222"/>
          <w:sz w:val="18"/>
          <w:szCs w:val="18"/>
          <w:shd w:val="clear" w:color="auto" w:fill="FFFFFF"/>
        </w:rPr>
        <w:t>, </w:t>
      </w:r>
      <w:r w:rsidRPr="002F4DD2">
        <w:rPr>
          <w:rFonts w:ascii="Times New Roman" w:hAnsi="Times New Roman" w:cs="Times New Roman"/>
          <w:i/>
          <w:iCs/>
          <w:color w:val="222222"/>
          <w:sz w:val="18"/>
          <w:szCs w:val="18"/>
          <w:shd w:val="clear" w:color="auto" w:fill="FFFFFF"/>
        </w:rPr>
        <w:t>71</w:t>
      </w:r>
      <w:r w:rsidRPr="002F4DD2">
        <w:rPr>
          <w:rFonts w:ascii="Times New Roman" w:hAnsi="Times New Roman" w:cs="Times New Roman"/>
          <w:color w:val="222222"/>
          <w:sz w:val="18"/>
          <w:szCs w:val="18"/>
          <w:shd w:val="clear" w:color="auto" w:fill="FFFFFF"/>
        </w:rPr>
        <w:t>, 65</w:t>
      </w:r>
      <w:r>
        <w:rPr>
          <w:rFonts w:ascii="Arial" w:hAnsi="Arial" w:cs="Arial"/>
          <w:color w:val="222222"/>
          <w:sz w:val="20"/>
          <w:szCs w:val="20"/>
          <w:shd w:val="clear" w:color="auto" w:fill="FFFFFF"/>
        </w:rPr>
        <w:t>.</w:t>
      </w:r>
      <w:r w:rsidRPr="002F4DD2">
        <w:rPr>
          <w:rFonts w:ascii="Times New Roman" w:hAnsi="Times New Roman" w:cs="Times New Roman"/>
          <w:sz w:val="18"/>
          <w:szCs w:val="18"/>
        </w:rPr>
        <w:t xml:space="preserve"> </w:t>
      </w:r>
    </w:p>
    <w:p w14:paraId="7311FF39" w14:textId="2606AFF4" w:rsidR="002F4DD2" w:rsidRPr="002F4DD2" w:rsidRDefault="002F4DD2">
      <w:pPr>
        <w:pStyle w:val="FootnoteText"/>
        <w:rPr>
          <w:rFonts w:ascii="Times New Roman" w:hAnsi="Times New Roman" w:cs="Times New Roman"/>
          <w:sz w:val="18"/>
          <w:szCs w:val="18"/>
          <w:lang w:val="en-US"/>
        </w:rPr>
      </w:pPr>
    </w:p>
  </w:footnote>
  <w:footnote w:id="8">
    <w:p w14:paraId="5D61C0B2" w14:textId="7385D14D" w:rsidR="002F4DD2" w:rsidRPr="002F4DD2" w:rsidRDefault="002F4DD2">
      <w:pPr>
        <w:pStyle w:val="FootnoteText"/>
        <w:rPr>
          <w:lang w:val="en-US"/>
        </w:rPr>
      </w:pPr>
      <w:r>
        <w:rPr>
          <w:rStyle w:val="FootnoteReference"/>
        </w:rPr>
        <w:footnoteRef/>
      </w:r>
      <w:r>
        <w:t xml:space="preserve"> </w:t>
      </w:r>
      <w:proofErr w:type="spellStart"/>
      <w:r w:rsidRPr="002F4DD2">
        <w:rPr>
          <w:rFonts w:ascii="Times New Roman" w:hAnsi="Times New Roman" w:cs="Times New Roman"/>
          <w:color w:val="222222"/>
          <w:sz w:val="18"/>
          <w:szCs w:val="18"/>
          <w:shd w:val="clear" w:color="auto" w:fill="FFFFFF"/>
        </w:rPr>
        <w:t>Harfoushi</w:t>
      </w:r>
      <w:proofErr w:type="spellEnd"/>
      <w:r w:rsidRPr="002F4DD2">
        <w:rPr>
          <w:rFonts w:ascii="Times New Roman" w:hAnsi="Times New Roman" w:cs="Times New Roman"/>
          <w:color w:val="222222"/>
          <w:sz w:val="18"/>
          <w:szCs w:val="18"/>
          <w:shd w:val="clear" w:color="auto" w:fill="FFFFFF"/>
        </w:rPr>
        <w:t xml:space="preserve">, O., Hasan, D., &amp; </w:t>
      </w:r>
      <w:proofErr w:type="spellStart"/>
      <w:r w:rsidRPr="002F4DD2">
        <w:rPr>
          <w:rFonts w:ascii="Times New Roman" w:hAnsi="Times New Roman" w:cs="Times New Roman"/>
          <w:color w:val="222222"/>
          <w:sz w:val="18"/>
          <w:szCs w:val="18"/>
          <w:shd w:val="clear" w:color="auto" w:fill="FFFFFF"/>
        </w:rPr>
        <w:t>Obiedat</w:t>
      </w:r>
      <w:proofErr w:type="spellEnd"/>
      <w:r w:rsidRPr="002F4DD2">
        <w:rPr>
          <w:rFonts w:ascii="Times New Roman" w:hAnsi="Times New Roman" w:cs="Times New Roman"/>
          <w:color w:val="222222"/>
          <w:sz w:val="18"/>
          <w:szCs w:val="18"/>
          <w:shd w:val="clear" w:color="auto" w:fill="FFFFFF"/>
        </w:rPr>
        <w:t>, R. (2018). Sentiment analysis algorithms through azure machine learning: Analysis and comparison. </w:t>
      </w:r>
      <w:r w:rsidRPr="002F4DD2">
        <w:rPr>
          <w:rFonts w:ascii="Times New Roman" w:hAnsi="Times New Roman" w:cs="Times New Roman"/>
          <w:i/>
          <w:iCs/>
          <w:color w:val="222222"/>
          <w:sz w:val="18"/>
          <w:szCs w:val="18"/>
          <w:shd w:val="clear" w:color="auto" w:fill="FFFFFF"/>
        </w:rPr>
        <w:t>Modern Applied Science</w:t>
      </w:r>
      <w:r w:rsidRPr="002F4DD2">
        <w:rPr>
          <w:rFonts w:ascii="Times New Roman" w:hAnsi="Times New Roman" w:cs="Times New Roman"/>
          <w:color w:val="222222"/>
          <w:sz w:val="18"/>
          <w:szCs w:val="18"/>
          <w:shd w:val="clear" w:color="auto" w:fill="FFFFFF"/>
        </w:rPr>
        <w:t>, </w:t>
      </w:r>
      <w:r w:rsidRPr="002F4DD2">
        <w:rPr>
          <w:rFonts w:ascii="Times New Roman" w:hAnsi="Times New Roman" w:cs="Times New Roman"/>
          <w:i/>
          <w:iCs/>
          <w:color w:val="222222"/>
          <w:sz w:val="18"/>
          <w:szCs w:val="18"/>
          <w:shd w:val="clear" w:color="auto" w:fill="FFFFFF"/>
        </w:rPr>
        <w:t>12</w:t>
      </w:r>
      <w:r w:rsidRPr="002F4DD2">
        <w:rPr>
          <w:rFonts w:ascii="Times New Roman" w:hAnsi="Times New Roman" w:cs="Times New Roman"/>
          <w:color w:val="222222"/>
          <w:sz w:val="18"/>
          <w:szCs w:val="18"/>
          <w:shd w:val="clear" w:color="auto" w:fill="FFFFFF"/>
        </w:rPr>
        <w:t>(7), 49</w:t>
      </w:r>
      <w:r>
        <w:rPr>
          <w:rFonts w:ascii="Arial" w:hAnsi="Arial" w:cs="Arial"/>
          <w:color w:val="222222"/>
          <w:shd w:val="clear" w:color="auto" w:fill="FFFFFF"/>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AAB"/>
    <w:rsid w:val="000631CB"/>
    <w:rsid w:val="002F4DD2"/>
    <w:rsid w:val="003C632A"/>
    <w:rsid w:val="008032EC"/>
    <w:rsid w:val="008065CF"/>
    <w:rsid w:val="00880176"/>
    <w:rsid w:val="00BC3AAB"/>
    <w:rsid w:val="00C27A3F"/>
    <w:rsid w:val="00E75E0D"/>
    <w:rsid w:val="00EC7D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52132"/>
  <w15:chartTrackingRefBased/>
  <w15:docId w15:val="{6DF7D27E-2C03-41EB-AA52-39F13F77C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7A3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C3AAB"/>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Header">
    <w:name w:val="header"/>
    <w:basedOn w:val="Normal"/>
    <w:link w:val="HeaderChar"/>
    <w:uiPriority w:val="99"/>
    <w:unhideWhenUsed/>
    <w:rsid w:val="00C27A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7A3F"/>
  </w:style>
  <w:style w:type="paragraph" w:styleId="Footer">
    <w:name w:val="footer"/>
    <w:basedOn w:val="Normal"/>
    <w:link w:val="FooterChar"/>
    <w:uiPriority w:val="99"/>
    <w:unhideWhenUsed/>
    <w:rsid w:val="00C27A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7A3F"/>
  </w:style>
  <w:style w:type="paragraph" w:styleId="FootnoteText">
    <w:name w:val="footnote text"/>
    <w:basedOn w:val="Normal"/>
    <w:link w:val="FootnoteTextChar"/>
    <w:uiPriority w:val="99"/>
    <w:semiHidden/>
    <w:unhideWhenUsed/>
    <w:rsid w:val="00C27A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7A3F"/>
    <w:rPr>
      <w:sz w:val="20"/>
      <w:szCs w:val="20"/>
    </w:rPr>
  </w:style>
  <w:style w:type="character" w:styleId="FootnoteReference">
    <w:name w:val="footnote reference"/>
    <w:basedOn w:val="DefaultParagraphFont"/>
    <w:uiPriority w:val="99"/>
    <w:semiHidden/>
    <w:unhideWhenUsed/>
    <w:rsid w:val="00C27A3F"/>
    <w:rPr>
      <w:vertAlign w:val="superscript"/>
    </w:rPr>
  </w:style>
  <w:style w:type="character" w:customStyle="1" w:styleId="Heading1Char">
    <w:name w:val="Heading 1 Char"/>
    <w:basedOn w:val="DefaultParagraphFont"/>
    <w:link w:val="Heading1"/>
    <w:uiPriority w:val="9"/>
    <w:rsid w:val="00C27A3F"/>
    <w:rPr>
      <w:rFonts w:ascii="Times New Roman" w:eastAsia="Times New Roman" w:hAnsi="Times New Roman" w:cs="Times New Roman"/>
      <w:b/>
      <w:bCs/>
      <w:kern w:val="36"/>
      <w:sz w:val="48"/>
      <w:szCs w:val="48"/>
      <w:lang w:eastAsia="en-IN"/>
      <w14:ligatures w14:val="none"/>
    </w:rPr>
  </w:style>
  <w:style w:type="character" w:styleId="Hyperlink">
    <w:name w:val="Hyperlink"/>
    <w:basedOn w:val="DefaultParagraphFont"/>
    <w:uiPriority w:val="99"/>
    <w:unhideWhenUsed/>
    <w:rsid w:val="00C27A3F"/>
    <w:rPr>
      <w:color w:val="0563C1" w:themeColor="hyperlink"/>
      <w:u w:val="single"/>
    </w:rPr>
  </w:style>
  <w:style w:type="character" w:styleId="UnresolvedMention">
    <w:name w:val="Unresolved Mention"/>
    <w:basedOn w:val="DefaultParagraphFont"/>
    <w:uiPriority w:val="99"/>
    <w:semiHidden/>
    <w:unhideWhenUsed/>
    <w:rsid w:val="00C27A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643372">
      <w:bodyDiv w:val="1"/>
      <w:marLeft w:val="0"/>
      <w:marRight w:val="0"/>
      <w:marTop w:val="0"/>
      <w:marBottom w:val="0"/>
      <w:divBdr>
        <w:top w:val="none" w:sz="0" w:space="0" w:color="auto"/>
        <w:left w:val="none" w:sz="0" w:space="0" w:color="auto"/>
        <w:bottom w:val="none" w:sz="0" w:space="0" w:color="auto"/>
        <w:right w:val="none" w:sz="0" w:space="0" w:color="auto"/>
      </w:divBdr>
    </w:div>
    <w:div w:id="128205729">
      <w:bodyDiv w:val="1"/>
      <w:marLeft w:val="0"/>
      <w:marRight w:val="0"/>
      <w:marTop w:val="0"/>
      <w:marBottom w:val="0"/>
      <w:divBdr>
        <w:top w:val="none" w:sz="0" w:space="0" w:color="auto"/>
        <w:left w:val="none" w:sz="0" w:space="0" w:color="auto"/>
        <w:bottom w:val="none" w:sz="0" w:space="0" w:color="auto"/>
        <w:right w:val="none" w:sz="0" w:space="0" w:color="auto"/>
      </w:divBdr>
    </w:div>
    <w:div w:id="840968487">
      <w:bodyDiv w:val="1"/>
      <w:marLeft w:val="0"/>
      <w:marRight w:val="0"/>
      <w:marTop w:val="0"/>
      <w:marBottom w:val="0"/>
      <w:divBdr>
        <w:top w:val="none" w:sz="0" w:space="0" w:color="auto"/>
        <w:left w:val="none" w:sz="0" w:space="0" w:color="auto"/>
        <w:bottom w:val="none" w:sz="0" w:space="0" w:color="auto"/>
        <w:right w:val="none" w:sz="0" w:space="0" w:color="auto"/>
      </w:divBdr>
    </w:div>
    <w:div w:id="1732339968">
      <w:bodyDiv w:val="1"/>
      <w:marLeft w:val="0"/>
      <w:marRight w:val="0"/>
      <w:marTop w:val="0"/>
      <w:marBottom w:val="0"/>
      <w:divBdr>
        <w:top w:val="none" w:sz="0" w:space="0" w:color="auto"/>
        <w:left w:val="none" w:sz="0" w:space="0" w:color="auto"/>
        <w:bottom w:val="none" w:sz="0" w:space="0" w:color="auto"/>
        <w:right w:val="none" w:sz="0" w:space="0" w:color="auto"/>
      </w:divBdr>
    </w:div>
    <w:div w:id="183856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jamanetwork.com/searchresults?author=Lawrence+O.+Gostin&amp;q=Lawrence+O.+Gostin" TargetMode="External"/><Relationship Id="rId2" Type="http://schemas.openxmlformats.org/officeDocument/2006/relationships/hyperlink" Target="https://www.oecd.org/coronavirus/policy-responses/the-territorial-impact-of-covid-19-managing-the-crisis-and-recovery-across-levels-of-government-a2c6abaf/" TargetMode="External"/><Relationship Id="rId1" Type="http://schemas.openxmlformats.org/officeDocument/2006/relationships/hyperlink" Target="https://www.ncbi.nlm.nih.gov/pmc/articles/PMC9409667/" TargetMode="External"/><Relationship Id="rId4" Type="http://schemas.openxmlformats.org/officeDocument/2006/relationships/hyperlink" Target="https://jamanetwork.com/journals/jama/article-abstract/27747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890A6-4474-439A-AD37-DA6A5621B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7</Pages>
  <Words>2134</Words>
  <Characters>12168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AVILASHA SARKAR</dc:creator>
  <cp:keywords/>
  <dc:description/>
  <cp:lastModifiedBy>AVILASHA SARKAR</cp:lastModifiedBy>
  <cp:revision>2</cp:revision>
  <dcterms:created xsi:type="dcterms:W3CDTF">2023-10-25T13:14:00Z</dcterms:created>
  <dcterms:modified xsi:type="dcterms:W3CDTF">2023-10-25T14:27:00Z</dcterms:modified>
</cp:coreProperties>
</file>