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58D31" w14:textId="7D32CFC7" w:rsidR="00F335C1" w:rsidRDefault="007C787B" w:rsidP="00233E3D">
      <w:pPr>
        <w:pStyle w:val="Title"/>
      </w:pPr>
      <w:r>
        <w:rPr>
          <w:rStyle w:val="FootnoteReference"/>
          <w:lang w:val="en-US"/>
        </w:rPr>
        <w:footnoteReference w:id="1"/>
      </w:r>
      <w:r w:rsidR="00233E3D">
        <w:rPr>
          <w:lang w:val="en-US"/>
        </w:rPr>
        <w:t xml:space="preserve">EUTHANASIA </w:t>
      </w:r>
    </w:p>
    <w:p w14:paraId="7DE2B9F4" w14:textId="77777777" w:rsidR="00A14717" w:rsidRPr="00F838C9" w:rsidRDefault="002A5DCC" w:rsidP="00233E3D">
      <w:pPr>
        <w:rPr>
          <w:rFonts w:ascii="Times New Roman" w:hAnsi="Times New Roman" w:cs="Times New Roman"/>
          <w:b/>
          <w:bCs/>
          <w:sz w:val="24"/>
          <w:szCs w:val="24"/>
          <w:u w:val="single"/>
        </w:rPr>
      </w:pPr>
      <w:r w:rsidRPr="00F838C9">
        <w:rPr>
          <w:rFonts w:ascii="Times New Roman" w:hAnsi="Times New Roman" w:cs="Times New Roman"/>
          <w:b/>
          <w:bCs/>
          <w:sz w:val="24"/>
          <w:szCs w:val="24"/>
          <w:u w:val="single"/>
        </w:rPr>
        <w:t>INTRODUCTION:</w:t>
      </w:r>
    </w:p>
    <w:p w14:paraId="48CBA9B2" w14:textId="5C16BAFE" w:rsidR="000F6331" w:rsidRPr="00A14717" w:rsidRDefault="000F6331" w:rsidP="00233E3D">
      <w:pPr>
        <w:rPr>
          <w:rFonts w:ascii="Times New Roman" w:hAnsi="Times New Roman" w:cs="Times New Roman"/>
          <w:b/>
          <w:bCs/>
          <w:sz w:val="24"/>
          <w:szCs w:val="24"/>
        </w:rPr>
      </w:pPr>
      <w:r w:rsidRPr="002A5DCC">
        <w:rPr>
          <w:rFonts w:ascii="Times New Roman" w:hAnsi="Times New Roman" w:cs="Times New Roman"/>
          <w:sz w:val="24"/>
          <w:szCs w:val="24"/>
        </w:rPr>
        <w:t xml:space="preserve">Euthanasia or also known as Mercy Killing is </w:t>
      </w:r>
      <w:r w:rsidRPr="002A5DCC">
        <w:rPr>
          <w:rFonts w:ascii="Times New Roman" w:hAnsi="Times New Roman" w:cs="Times New Roman"/>
          <w:color w:val="333333"/>
          <w:sz w:val="24"/>
          <w:szCs w:val="24"/>
          <w:shd w:val="clear" w:color="auto" w:fill="FFFFFF"/>
        </w:rPr>
        <w:t>the term that is given to the terminating of a person’s life that will end the pain and suffering.</w:t>
      </w:r>
      <w:r w:rsidRPr="002A5DCC">
        <w:rPr>
          <w:rFonts w:ascii="Times New Roman" w:hAnsi="Times New Roman" w:cs="Times New Roman"/>
          <w:color w:val="333333"/>
          <w:sz w:val="24"/>
          <w:szCs w:val="24"/>
          <w:shd w:val="clear" w:color="auto" w:fill="FFFFFF"/>
          <w:vertAlign w:val="superscript"/>
        </w:rPr>
        <w:t xml:space="preserve">1 </w:t>
      </w:r>
      <w:r w:rsidR="00497F4F" w:rsidRPr="00497F4F">
        <w:rPr>
          <w:rFonts w:ascii="Times New Roman" w:hAnsi="Times New Roman" w:cs="Times New Roman"/>
          <w:color w:val="333333"/>
          <w:sz w:val="24"/>
          <w:szCs w:val="24"/>
          <w:shd w:val="clear" w:color="auto" w:fill="FFFFFF"/>
        </w:rPr>
        <w:t>The term "euthanasia" originates from Greek, combining '</w:t>
      </w:r>
      <w:proofErr w:type="spellStart"/>
      <w:r w:rsidR="00497F4F" w:rsidRPr="00497F4F">
        <w:rPr>
          <w:rFonts w:ascii="Times New Roman" w:hAnsi="Times New Roman" w:cs="Times New Roman"/>
          <w:color w:val="333333"/>
          <w:sz w:val="24"/>
          <w:szCs w:val="24"/>
          <w:shd w:val="clear" w:color="auto" w:fill="FFFFFF"/>
        </w:rPr>
        <w:t>eu</w:t>
      </w:r>
      <w:proofErr w:type="spellEnd"/>
      <w:r w:rsidR="00497F4F" w:rsidRPr="00497F4F">
        <w:rPr>
          <w:rFonts w:ascii="Times New Roman" w:hAnsi="Times New Roman" w:cs="Times New Roman"/>
          <w:color w:val="333333"/>
          <w:sz w:val="24"/>
          <w:szCs w:val="24"/>
          <w:shd w:val="clear" w:color="auto" w:fill="FFFFFF"/>
        </w:rPr>
        <w:t>,' meaning 'good,' and '</w:t>
      </w:r>
      <w:proofErr w:type="spellStart"/>
      <w:r w:rsidR="00497F4F" w:rsidRPr="00497F4F">
        <w:rPr>
          <w:rFonts w:ascii="Times New Roman" w:hAnsi="Times New Roman" w:cs="Times New Roman"/>
          <w:color w:val="333333"/>
          <w:sz w:val="24"/>
          <w:szCs w:val="24"/>
          <w:shd w:val="clear" w:color="auto" w:fill="FFFFFF"/>
        </w:rPr>
        <w:t>thanatos</w:t>
      </w:r>
      <w:proofErr w:type="spellEnd"/>
      <w:r w:rsidR="00497F4F" w:rsidRPr="00497F4F">
        <w:rPr>
          <w:rFonts w:ascii="Times New Roman" w:hAnsi="Times New Roman" w:cs="Times New Roman"/>
          <w:color w:val="333333"/>
          <w:sz w:val="24"/>
          <w:szCs w:val="24"/>
          <w:shd w:val="clear" w:color="auto" w:fill="FFFFFF"/>
        </w:rPr>
        <w:t>,' meaning 'death,' thus translating to 'good death.' Widely recognized as 'mercy killing,' it's legally and medically described as the deliberate termination of an individual's life due to incurable suffering, typically in cases of agonizing illness. In simpler terms, euthanasia refers to purposeful actions or omissions that end the life of someone seen as enduring a life not worth living.</w:t>
      </w:r>
      <w:r w:rsidR="00497F4F">
        <w:rPr>
          <w:rFonts w:ascii="Times New Roman" w:hAnsi="Times New Roman" w:cs="Times New Roman"/>
          <w:color w:val="333333"/>
          <w:sz w:val="24"/>
          <w:szCs w:val="24"/>
          <w:shd w:val="clear" w:color="auto" w:fill="FFFFFF"/>
        </w:rPr>
        <w:t xml:space="preserve"> There are mainly two kinds of Euthanasia, namely Active and Passive Euthanasia</w:t>
      </w:r>
      <w:r w:rsidR="00A14717">
        <w:rPr>
          <w:rFonts w:ascii="Times New Roman" w:hAnsi="Times New Roman" w:cs="Times New Roman"/>
          <w:color w:val="333333"/>
          <w:sz w:val="24"/>
          <w:szCs w:val="24"/>
          <w:shd w:val="clear" w:color="auto" w:fill="FFFFFF"/>
        </w:rPr>
        <w:t xml:space="preserve"> </w:t>
      </w:r>
    </w:p>
    <w:p w14:paraId="3F4AB4C3" w14:textId="48622987" w:rsidR="00C764B5" w:rsidRPr="00F838C9" w:rsidRDefault="00C764B5" w:rsidP="00C764B5">
      <w:pPr>
        <w:rPr>
          <w:rFonts w:ascii="Times New Roman" w:hAnsi="Times New Roman" w:cs="Times New Roman"/>
          <w:b/>
          <w:bCs/>
          <w:sz w:val="24"/>
          <w:szCs w:val="24"/>
          <w:u w:val="single"/>
        </w:rPr>
      </w:pPr>
      <w:r w:rsidRPr="00F838C9">
        <w:rPr>
          <w:rFonts w:ascii="Times New Roman" w:hAnsi="Times New Roman" w:cs="Times New Roman"/>
          <w:b/>
          <w:bCs/>
          <w:sz w:val="24"/>
          <w:szCs w:val="24"/>
          <w:u w:val="single"/>
        </w:rPr>
        <w:t>HISTORY:</w:t>
      </w:r>
    </w:p>
    <w:p w14:paraId="6BD85134" w14:textId="486DB202" w:rsidR="00860F6D" w:rsidRDefault="00D55270" w:rsidP="00860F6D">
      <w:pPr>
        <w:rPr>
          <w:rFonts w:ascii="Times New Roman" w:hAnsi="Times New Roman" w:cs="Times New Roman"/>
          <w:color w:val="0F0F0F"/>
          <w:sz w:val="24"/>
          <w:szCs w:val="24"/>
        </w:rPr>
      </w:pPr>
      <w:r w:rsidRPr="000C0070">
        <w:rPr>
          <w:rFonts w:ascii="Times New Roman" w:hAnsi="Times New Roman" w:cs="Times New Roman"/>
          <w:color w:val="0F0F0F"/>
          <w:sz w:val="24"/>
          <w:szCs w:val="24"/>
        </w:rPr>
        <w:t>In the early 17th century, the term "euthanasia" was coined by the English philosopher Sir Francis Bacon. Originating from the Greek words "</w:t>
      </w:r>
      <w:proofErr w:type="spellStart"/>
      <w:r w:rsidRPr="000C0070">
        <w:rPr>
          <w:rFonts w:ascii="Times New Roman" w:hAnsi="Times New Roman" w:cs="Times New Roman"/>
          <w:color w:val="0F0F0F"/>
          <w:sz w:val="24"/>
          <w:szCs w:val="24"/>
        </w:rPr>
        <w:t>eu</w:t>
      </w:r>
      <w:proofErr w:type="spellEnd"/>
      <w:r w:rsidRPr="000C0070">
        <w:rPr>
          <w:rFonts w:ascii="Times New Roman" w:hAnsi="Times New Roman" w:cs="Times New Roman"/>
          <w:color w:val="0F0F0F"/>
          <w:sz w:val="24"/>
          <w:szCs w:val="24"/>
        </w:rPr>
        <w:t>," translating to "good," and "</w:t>
      </w:r>
      <w:proofErr w:type="spellStart"/>
      <w:r w:rsidRPr="000C0070">
        <w:rPr>
          <w:rFonts w:ascii="Times New Roman" w:hAnsi="Times New Roman" w:cs="Times New Roman"/>
          <w:color w:val="0F0F0F"/>
          <w:sz w:val="24"/>
          <w:szCs w:val="24"/>
        </w:rPr>
        <w:t>thanatos</w:t>
      </w:r>
      <w:proofErr w:type="spellEnd"/>
      <w:r w:rsidRPr="000C0070">
        <w:rPr>
          <w:rFonts w:ascii="Times New Roman" w:hAnsi="Times New Roman" w:cs="Times New Roman"/>
          <w:color w:val="0F0F0F"/>
          <w:sz w:val="24"/>
          <w:szCs w:val="24"/>
        </w:rPr>
        <w:t xml:space="preserve">," meaning "death," the term initially denoted a merciful or painless death. </w:t>
      </w:r>
    </w:p>
    <w:p w14:paraId="34F48D78" w14:textId="71D0A1B3" w:rsidR="00860F6D" w:rsidRPr="00860F6D" w:rsidRDefault="00860F6D" w:rsidP="00860F6D">
      <w:pPr>
        <w:rPr>
          <w:rFonts w:ascii="Times New Roman" w:hAnsi="Times New Roman" w:cs="Times New Roman"/>
          <w:color w:val="0F0F0F"/>
          <w:sz w:val="24"/>
          <w:szCs w:val="24"/>
        </w:rPr>
      </w:pPr>
      <w:r w:rsidRPr="00860F6D">
        <w:rPr>
          <w:rFonts w:ascii="Times New Roman" w:hAnsi="Times New Roman" w:cs="Times New Roman"/>
          <w:color w:val="0F0F0F"/>
          <w:sz w:val="24"/>
          <w:szCs w:val="24"/>
        </w:rPr>
        <w:t>The historical trajectory of euthanasia reveals its roots in Francis Bacon's work, where he introduced the term, distinguishing between internal (soul preparation) and external (painless end-of-life) aspects. This notion resurfaced in the 18th century with a focus on a gentle death sans agony. Karl Friedrich Heinrich Marx later advocated for alleviating death's suffering using medical aid, separating spiritual care from medical treatment. Despite opposition from Judeo-Christian traditions, voices supporting euthanasia emerged, like John Donne's in 1624.</w:t>
      </w:r>
    </w:p>
    <w:p w14:paraId="5C16097A" w14:textId="77777777" w:rsidR="00860F6D" w:rsidRPr="00860F6D" w:rsidRDefault="00860F6D" w:rsidP="00860F6D">
      <w:pPr>
        <w:rPr>
          <w:rFonts w:ascii="Times New Roman" w:hAnsi="Times New Roman" w:cs="Times New Roman"/>
          <w:color w:val="0F0F0F"/>
          <w:sz w:val="24"/>
          <w:szCs w:val="24"/>
        </w:rPr>
      </w:pPr>
      <w:r w:rsidRPr="00860F6D">
        <w:rPr>
          <w:rFonts w:ascii="Times New Roman" w:hAnsi="Times New Roman" w:cs="Times New Roman"/>
          <w:color w:val="0F0F0F"/>
          <w:sz w:val="24"/>
          <w:szCs w:val="24"/>
        </w:rPr>
        <w:t>The mid-1800s witnessed morphine and chloroform's use to ease death pains, though not for hastening death. Samuel Williams' 1870 proposal at the Birmingham Speculative Club sparked the modern euthanasia debate, advocating for conscious hastening of death using chloroform upon a terminally ill patient's request. This viewpoint gained traction through influential figures like Lionel Tollemache and Annie Besant.</w:t>
      </w:r>
    </w:p>
    <w:p w14:paraId="60967C94" w14:textId="77777777" w:rsidR="00860F6D" w:rsidRPr="00860F6D" w:rsidRDefault="00860F6D" w:rsidP="00860F6D">
      <w:pPr>
        <w:rPr>
          <w:rFonts w:ascii="Times New Roman" w:hAnsi="Times New Roman" w:cs="Times New Roman"/>
          <w:color w:val="0F0F0F"/>
          <w:sz w:val="24"/>
          <w:szCs w:val="24"/>
        </w:rPr>
      </w:pPr>
      <w:r w:rsidRPr="00860F6D">
        <w:rPr>
          <w:rFonts w:ascii="Times New Roman" w:hAnsi="Times New Roman" w:cs="Times New Roman"/>
          <w:color w:val="0F0F0F"/>
          <w:sz w:val="24"/>
          <w:szCs w:val="24"/>
        </w:rPr>
        <w:t>The United States saw early legislative attempts in Ohio and Iowa in 1906 to legalize euthanasia under specific conditions, which generated significant debate but did not pass. The discussion waned until resurfacing in the 1930s in the UK. The movement in the US intertwined with the Gilded Age and the emergence of modern hospitals.</w:t>
      </w:r>
    </w:p>
    <w:p w14:paraId="187AA7B2" w14:textId="3ECEC77C" w:rsidR="00D55270" w:rsidRDefault="00860F6D" w:rsidP="00860F6D">
      <w:pPr>
        <w:rPr>
          <w:rFonts w:ascii="Times New Roman" w:hAnsi="Times New Roman" w:cs="Times New Roman"/>
          <w:color w:val="0F0F0F"/>
          <w:sz w:val="24"/>
          <w:szCs w:val="24"/>
        </w:rPr>
      </w:pPr>
      <w:r w:rsidRPr="00860F6D">
        <w:rPr>
          <w:rFonts w:ascii="Times New Roman" w:hAnsi="Times New Roman" w:cs="Times New Roman"/>
          <w:color w:val="0F0F0F"/>
          <w:sz w:val="24"/>
          <w:szCs w:val="24"/>
        </w:rPr>
        <w:t xml:space="preserve">In the 1930s, the Voluntary Euthanasia Legalization Society was formed in the UK, while Nazi Germany's T4 program distorted euthanasia into a state-sponsored genocide. Post-war, the term "euthanasia" took on a distinct connotation contrasting with the Nazi program. In </w:t>
      </w:r>
      <w:r w:rsidRPr="00860F6D">
        <w:rPr>
          <w:rFonts w:ascii="Times New Roman" w:hAnsi="Times New Roman" w:cs="Times New Roman"/>
          <w:color w:val="0F0F0F"/>
          <w:sz w:val="24"/>
          <w:szCs w:val="24"/>
        </w:rPr>
        <w:lastRenderedPageBreak/>
        <w:t xml:space="preserve">1949, a New York petition to legalize euthanasia faced opposition from Catholic leaders, </w:t>
      </w:r>
      <w:r w:rsidR="007C787B">
        <w:rPr>
          <w:rStyle w:val="FootnoteReference"/>
          <w:rFonts w:ascii="Times New Roman" w:hAnsi="Times New Roman" w:cs="Times New Roman"/>
          <w:color w:val="0F0F0F"/>
          <w:sz w:val="24"/>
          <w:szCs w:val="24"/>
        </w:rPr>
        <w:footnoteReference w:id="2"/>
      </w:r>
      <w:r w:rsidRPr="00860F6D">
        <w:rPr>
          <w:rFonts w:ascii="Times New Roman" w:hAnsi="Times New Roman" w:cs="Times New Roman"/>
          <w:color w:val="0F0F0F"/>
          <w:sz w:val="24"/>
          <w:szCs w:val="24"/>
        </w:rPr>
        <w:t>igniting broader tensions between the Euthanasia Society and the Catholic Church on societal issues.</w:t>
      </w:r>
    </w:p>
    <w:p w14:paraId="6E7B4741" w14:textId="77777777" w:rsidR="00860F6D" w:rsidRPr="00F838C9" w:rsidRDefault="00860F6D" w:rsidP="00860F6D">
      <w:pPr>
        <w:rPr>
          <w:rFonts w:ascii="Times New Roman" w:hAnsi="Times New Roman" w:cs="Times New Roman"/>
          <w:b/>
          <w:bCs/>
          <w:sz w:val="24"/>
          <w:szCs w:val="24"/>
          <w:u w:val="single"/>
        </w:rPr>
      </w:pPr>
      <w:r w:rsidRPr="00F838C9">
        <w:rPr>
          <w:rFonts w:ascii="Times New Roman" w:hAnsi="Times New Roman" w:cs="Times New Roman"/>
          <w:b/>
          <w:bCs/>
          <w:sz w:val="24"/>
          <w:szCs w:val="24"/>
          <w:u w:val="single"/>
        </w:rPr>
        <w:t>DIFFERNCE BETWEEN ACTIVE &amp; PASSIVE EUTHANASIA:</w:t>
      </w:r>
    </w:p>
    <w:p w14:paraId="29EAF289" w14:textId="6EC64C65" w:rsidR="00DF212E" w:rsidRPr="00265993" w:rsidRDefault="00860F6D" w:rsidP="00265993">
      <w:pPr>
        <w:rPr>
          <w:rFonts w:ascii="Times New Roman" w:hAnsi="Times New Roman" w:cs="Times New Roman"/>
          <w:b/>
          <w:bCs/>
          <w:sz w:val="24"/>
          <w:szCs w:val="24"/>
        </w:rPr>
      </w:pPr>
      <w:r w:rsidRPr="000C0070">
        <w:rPr>
          <w:rFonts w:ascii="Times New Roman" w:hAnsi="Times New Roman" w:cs="Times New Roman"/>
          <w:color w:val="0F0F0F"/>
          <w:sz w:val="24"/>
          <w:szCs w:val="24"/>
        </w:rPr>
        <w:t>Usually, a physician's intention in euthanasia is compassionate, aimed at ending suffering. Physicians typically perform euthanasia, categorized as either "active" or "passive." Active euthanasia involves a deliberate action by a physician to terminate a patient's life, while passive euthanasia relates to refraining from or stopping treatment crucial for sustaining life. Active euthanasia has three types: voluntary, where the patient requests it; involuntary (also termed "mercy killing"), where a patient's life is ended without their request to alleviate suffering; and nonvoluntary, conducted without the patient's consent due to their incapacitation</w:t>
      </w:r>
      <w:r w:rsidR="00265993">
        <w:rPr>
          <w:rFonts w:ascii="Times New Roman" w:hAnsi="Times New Roman" w:cs="Times New Roman"/>
          <w:color w:val="0F0F0F"/>
          <w:sz w:val="24"/>
          <w:szCs w:val="24"/>
        </w:rPr>
        <w:t xml:space="preserve">. </w:t>
      </w:r>
      <w:r w:rsidRPr="000C0070">
        <w:rPr>
          <w:rFonts w:ascii="Times New Roman" w:hAnsi="Times New Roman" w:cs="Times New Roman"/>
          <w:color w:val="0F0F0F"/>
          <w:sz w:val="24"/>
          <w:szCs w:val="24"/>
        </w:rPr>
        <w:t xml:space="preserve">Theoretical or ethical disparities between euthanasia and PAS may seem subtle, but practical differences can be notable. While both are distinct legally and ethically from administering high-dose pain relief that might hasten death (known as the rule of double effect) or withdrawing life support, the discrepancy lies in intent. </w:t>
      </w:r>
    </w:p>
    <w:p w14:paraId="4F628212" w14:textId="675796C5" w:rsidR="00C764B5" w:rsidRPr="00F838C9" w:rsidRDefault="00C764B5" w:rsidP="00C764B5">
      <w:pPr>
        <w:rPr>
          <w:rFonts w:ascii="Times New Roman" w:hAnsi="Times New Roman" w:cs="Times New Roman"/>
          <w:b/>
          <w:bCs/>
          <w:sz w:val="24"/>
          <w:szCs w:val="24"/>
          <w:u w:val="single"/>
        </w:rPr>
      </w:pPr>
      <w:r w:rsidRPr="00F838C9">
        <w:rPr>
          <w:rFonts w:ascii="Times New Roman" w:hAnsi="Times New Roman" w:cs="Times New Roman"/>
          <w:b/>
          <w:bCs/>
          <w:sz w:val="24"/>
          <w:szCs w:val="24"/>
          <w:u w:val="single"/>
        </w:rPr>
        <w:t xml:space="preserve">SUPPORT OF </w:t>
      </w:r>
      <w:r w:rsidR="0029651C" w:rsidRPr="00F838C9">
        <w:rPr>
          <w:rFonts w:ascii="Times New Roman" w:hAnsi="Times New Roman" w:cs="Times New Roman"/>
          <w:b/>
          <w:bCs/>
          <w:sz w:val="24"/>
          <w:szCs w:val="24"/>
          <w:u w:val="single"/>
        </w:rPr>
        <w:t>EUTHANASIA</w:t>
      </w:r>
      <w:r w:rsidRPr="00F838C9">
        <w:rPr>
          <w:rFonts w:ascii="Times New Roman" w:hAnsi="Times New Roman" w:cs="Times New Roman"/>
          <w:b/>
          <w:bCs/>
          <w:sz w:val="24"/>
          <w:szCs w:val="24"/>
          <w:u w:val="single"/>
        </w:rPr>
        <w:t>:</w:t>
      </w:r>
    </w:p>
    <w:p w14:paraId="3BD15C59" w14:textId="77777777" w:rsidR="008C5793" w:rsidRDefault="008C5793" w:rsidP="00FD399B">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Diminsing</w:t>
      </w:r>
      <w:r w:rsidR="005248B1" w:rsidRPr="00FD399B">
        <w:rPr>
          <w:rFonts w:ascii="Times New Roman" w:hAnsi="Times New Roman" w:cs="Times New Roman"/>
          <w:b/>
          <w:bCs/>
          <w:sz w:val="24"/>
          <w:szCs w:val="24"/>
        </w:rPr>
        <w:t xml:space="preserve"> quality of Life</w:t>
      </w:r>
    </w:p>
    <w:p w14:paraId="0C998CA2" w14:textId="47AE34EF" w:rsidR="008C5793" w:rsidRPr="00BC7EF3" w:rsidRDefault="008C5793" w:rsidP="00BC7EF3">
      <w:pPr>
        <w:pStyle w:val="ListParagraph"/>
        <w:rPr>
          <w:rFonts w:ascii="Times New Roman" w:hAnsi="Times New Roman" w:cs="Times New Roman"/>
          <w:sz w:val="24"/>
          <w:szCs w:val="24"/>
        </w:rPr>
      </w:pPr>
      <w:r w:rsidRPr="008C5793">
        <w:rPr>
          <w:rFonts w:ascii="Times New Roman" w:hAnsi="Times New Roman" w:cs="Times New Roman"/>
          <w:sz w:val="24"/>
          <w:szCs w:val="24"/>
        </w:rPr>
        <w:t xml:space="preserve">When a terminally ill patient's quality of life deteriorates to the extent that the only way to alleviate their suffering is through death, ethical considerations come into play. </w:t>
      </w:r>
      <w:r w:rsidR="00BC7EF3">
        <w:rPr>
          <w:rFonts w:ascii="Times New Roman" w:hAnsi="Times New Roman" w:cs="Times New Roman"/>
          <w:sz w:val="24"/>
          <w:szCs w:val="24"/>
        </w:rPr>
        <w:t>As the life of a terminally ill patient is prolonged through artificial means</w:t>
      </w:r>
      <w:r>
        <w:rPr>
          <w:rFonts w:ascii="Times New Roman" w:hAnsi="Times New Roman" w:cs="Times New Roman"/>
          <w:sz w:val="24"/>
          <w:szCs w:val="24"/>
        </w:rPr>
        <w:t xml:space="preserve"> their conditions worsens both mentally and physically</w:t>
      </w:r>
      <w:r w:rsidR="00BC7EF3">
        <w:rPr>
          <w:rFonts w:ascii="Times New Roman" w:hAnsi="Times New Roman" w:cs="Times New Roman"/>
          <w:sz w:val="24"/>
          <w:szCs w:val="24"/>
        </w:rPr>
        <w:t>, w</w:t>
      </w:r>
      <w:r w:rsidR="00BC7EF3">
        <w:rPr>
          <w:rFonts w:ascii="Times New Roman" w:hAnsi="Times New Roman" w:cs="Times New Roman"/>
          <w:sz w:val="24"/>
          <w:szCs w:val="24"/>
        </w:rPr>
        <w:t>hen given more time where there is no scope of recovery only leads to financial and emotional strain on family and friends of the patient.</w:t>
      </w:r>
    </w:p>
    <w:p w14:paraId="396E7216" w14:textId="769F8853" w:rsidR="008C5793" w:rsidRDefault="008C5793" w:rsidP="00BC7EF3">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Encourages organ transplant </w:t>
      </w:r>
    </w:p>
    <w:p w14:paraId="7932A990" w14:textId="5D4EA511" w:rsidR="008C5793" w:rsidRPr="008C5793" w:rsidRDefault="008C5793" w:rsidP="008C5793">
      <w:pPr>
        <w:pStyle w:val="ListParagraph"/>
        <w:rPr>
          <w:rFonts w:ascii="Times New Roman" w:hAnsi="Times New Roman" w:cs="Times New Roman"/>
          <w:sz w:val="24"/>
          <w:szCs w:val="24"/>
        </w:rPr>
      </w:pPr>
      <w:r w:rsidRPr="008C5793">
        <w:rPr>
          <w:rFonts w:ascii="Times New Roman" w:hAnsi="Times New Roman" w:cs="Times New Roman"/>
          <w:sz w:val="24"/>
          <w:szCs w:val="24"/>
        </w:rPr>
        <w:t>Allowing euthanasia for terminally ill patients presents an opportunity to promote organ donation, thereby assisting numerous individuals with organ failure who are awaiting transplantation. Euthanasia not only grants the 'Right to die' for the terminally ill but also upholds the 'Right to life' for patients in need of organs</w:t>
      </w:r>
    </w:p>
    <w:p w14:paraId="24519445" w14:textId="77777777" w:rsidR="003D3863" w:rsidRDefault="005248B1" w:rsidP="009B7FA6">
      <w:pPr>
        <w:pStyle w:val="ListParagraph"/>
        <w:numPr>
          <w:ilvl w:val="0"/>
          <w:numId w:val="2"/>
        </w:numPr>
        <w:rPr>
          <w:rFonts w:ascii="Times New Roman" w:hAnsi="Times New Roman" w:cs="Times New Roman"/>
          <w:b/>
          <w:bCs/>
          <w:sz w:val="24"/>
          <w:szCs w:val="24"/>
        </w:rPr>
      </w:pPr>
      <w:r w:rsidRPr="00FD399B">
        <w:rPr>
          <w:rFonts w:ascii="Times New Roman" w:hAnsi="Times New Roman" w:cs="Times New Roman"/>
          <w:b/>
          <w:bCs/>
          <w:sz w:val="24"/>
          <w:szCs w:val="24"/>
        </w:rPr>
        <w:t xml:space="preserve">No misuse of legalization in </w:t>
      </w:r>
      <w:r w:rsidR="003D3863">
        <w:rPr>
          <w:rFonts w:ascii="Times New Roman" w:hAnsi="Times New Roman" w:cs="Times New Roman"/>
          <w:b/>
          <w:bCs/>
          <w:sz w:val="24"/>
          <w:szCs w:val="24"/>
        </w:rPr>
        <w:t xml:space="preserve">Organ &amp; </w:t>
      </w:r>
      <w:r w:rsidRPr="00FD399B">
        <w:rPr>
          <w:rFonts w:ascii="Times New Roman" w:hAnsi="Times New Roman" w:cs="Times New Roman"/>
          <w:b/>
          <w:bCs/>
          <w:sz w:val="24"/>
          <w:szCs w:val="24"/>
        </w:rPr>
        <w:t>Netherlands</w:t>
      </w:r>
      <w:r w:rsidRPr="003D3863">
        <w:rPr>
          <w:rFonts w:ascii="Times New Roman" w:hAnsi="Times New Roman" w:cs="Times New Roman"/>
          <w:b/>
          <w:bCs/>
          <w:sz w:val="24"/>
          <w:szCs w:val="24"/>
        </w:rPr>
        <w:t xml:space="preserve"> </w:t>
      </w:r>
    </w:p>
    <w:p w14:paraId="495E61D5" w14:textId="2FD7C018" w:rsidR="003D0B8B" w:rsidRPr="003D3863" w:rsidRDefault="003D3863" w:rsidP="003D3863">
      <w:pPr>
        <w:pStyle w:val="ListParagraph"/>
        <w:rPr>
          <w:rFonts w:ascii="Times New Roman" w:hAnsi="Times New Roman" w:cs="Times New Roman"/>
          <w:b/>
          <w:bCs/>
          <w:sz w:val="24"/>
          <w:szCs w:val="24"/>
          <w:vertAlign w:val="superscript"/>
        </w:rPr>
      </w:pPr>
      <w:r w:rsidRPr="003D3863">
        <w:rPr>
          <w:rFonts w:ascii="Times New Roman" w:hAnsi="Times New Roman" w:cs="Times New Roman"/>
          <w:sz w:val="24"/>
          <w:szCs w:val="24"/>
        </w:rPr>
        <w:t xml:space="preserve">Even after legislation of both euthanasia and PSA only </w:t>
      </w:r>
      <w:r w:rsidRPr="003D3863">
        <w:rPr>
          <w:rFonts w:ascii="Times New Roman" w:hAnsi="Times New Roman" w:cs="Times New Roman"/>
          <w:color w:val="212121"/>
          <w:sz w:val="24"/>
          <w:szCs w:val="24"/>
          <w:shd w:val="clear" w:color="auto" w:fill="FFFFFF"/>
        </w:rPr>
        <w:t>a very small minority of deaths. The most recent data from Oregon shows that just 9 in 10 000 deaths (0.09%) occur by legal physician assisted suicide.</w:t>
      </w:r>
      <w:r w:rsidRPr="003D3863">
        <w:rPr>
          <w:rFonts w:ascii="Times New Roman" w:hAnsi="Times New Roman" w:cs="Times New Roman"/>
          <w:color w:val="212121"/>
          <w:sz w:val="24"/>
          <w:szCs w:val="24"/>
          <w:shd w:val="clear" w:color="auto" w:fill="FFFFFF"/>
        </w:rPr>
        <w:t xml:space="preserve"> </w:t>
      </w:r>
      <w:r w:rsidRPr="003D3863">
        <w:rPr>
          <w:rFonts w:ascii="Times New Roman" w:hAnsi="Times New Roman" w:cs="Times New Roman"/>
          <w:color w:val="212121"/>
          <w:sz w:val="24"/>
          <w:szCs w:val="24"/>
          <w:shd w:val="clear" w:color="auto" w:fill="FFFFFF"/>
        </w:rPr>
        <w:t>In the Netherlands, even after 20 years of practice and including the cases of involuntary euthanasia that lack contemporaneous consent from the patient and violate the safeguards, just 3.4% of all deaths are by euthanasia and physician assisted suicide.</w:t>
      </w:r>
      <w:r w:rsidRPr="003D3863">
        <w:rPr>
          <w:rFonts w:ascii="Times New Roman" w:hAnsi="Times New Roman" w:cs="Times New Roman"/>
          <w:color w:val="212121"/>
          <w:sz w:val="24"/>
          <w:szCs w:val="24"/>
          <w:shd w:val="clear" w:color="auto" w:fill="FFFFFF"/>
        </w:rPr>
        <w:t xml:space="preserve"> </w:t>
      </w:r>
      <w:r w:rsidRPr="003D3863">
        <w:rPr>
          <w:rFonts w:ascii="Times New Roman" w:hAnsi="Times New Roman" w:cs="Times New Roman"/>
          <w:color w:val="212121"/>
          <w:sz w:val="24"/>
          <w:szCs w:val="24"/>
          <w:shd w:val="clear" w:color="auto" w:fill="FFFFFF"/>
        </w:rPr>
        <w:t xml:space="preserve">These data mean that in Oregon over 99.9% of all deaths and in the Netherlands over 96% occur without the intentional active ending of a life. It is true that about three times as many patients in the Netherlands </w:t>
      </w:r>
      <w:r w:rsidRPr="003D3863">
        <w:rPr>
          <w:rFonts w:ascii="Times New Roman" w:hAnsi="Times New Roman" w:cs="Times New Roman"/>
          <w:color w:val="212121"/>
          <w:sz w:val="24"/>
          <w:szCs w:val="24"/>
          <w:shd w:val="clear" w:color="auto" w:fill="FFFFFF"/>
        </w:rPr>
        <w:lastRenderedPageBreak/>
        <w:t>inquire about and ask for euthanasia but do not die by this intervention. Even including these patients, euthanasia and physician assisted suicide play no part in the dying process of 90% of dying people.</w:t>
      </w:r>
      <w:r w:rsidR="00F838C9">
        <w:rPr>
          <w:rFonts w:ascii="Times New Roman" w:hAnsi="Times New Roman" w:cs="Times New Roman"/>
          <w:color w:val="212121"/>
          <w:sz w:val="24"/>
          <w:szCs w:val="24"/>
          <w:shd w:val="clear" w:color="auto" w:fill="FFFFFF"/>
          <w:vertAlign w:val="superscript"/>
        </w:rPr>
        <w:t>2</w:t>
      </w:r>
    </w:p>
    <w:p w14:paraId="5B49FE14" w14:textId="08045652" w:rsidR="00C764B5" w:rsidRPr="00F838C9" w:rsidRDefault="00C764B5" w:rsidP="00C764B5">
      <w:pPr>
        <w:rPr>
          <w:rFonts w:ascii="Times New Roman" w:hAnsi="Times New Roman" w:cs="Times New Roman"/>
          <w:b/>
          <w:bCs/>
          <w:sz w:val="24"/>
          <w:szCs w:val="24"/>
          <w:u w:val="single"/>
        </w:rPr>
      </w:pPr>
      <w:r w:rsidRPr="00F838C9">
        <w:rPr>
          <w:rFonts w:ascii="Times New Roman" w:hAnsi="Times New Roman" w:cs="Times New Roman"/>
          <w:b/>
          <w:bCs/>
          <w:sz w:val="24"/>
          <w:szCs w:val="24"/>
          <w:u w:val="single"/>
        </w:rPr>
        <w:t xml:space="preserve">AGAINST </w:t>
      </w:r>
      <w:r w:rsidR="0029651C" w:rsidRPr="00F838C9">
        <w:rPr>
          <w:rFonts w:ascii="Times New Roman" w:hAnsi="Times New Roman" w:cs="Times New Roman"/>
          <w:b/>
          <w:bCs/>
          <w:sz w:val="24"/>
          <w:szCs w:val="24"/>
          <w:u w:val="single"/>
        </w:rPr>
        <w:t>EUTHANASIA</w:t>
      </w:r>
      <w:r w:rsidRPr="00F838C9">
        <w:rPr>
          <w:rFonts w:ascii="Times New Roman" w:hAnsi="Times New Roman" w:cs="Times New Roman"/>
          <w:b/>
          <w:bCs/>
          <w:sz w:val="24"/>
          <w:szCs w:val="24"/>
          <w:u w:val="single"/>
        </w:rPr>
        <w:t>:</w:t>
      </w:r>
    </w:p>
    <w:p w14:paraId="23E67071" w14:textId="040B71A7" w:rsidR="005248B1" w:rsidRDefault="005248B1" w:rsidP="003D3863">
      <w:pPr>
        <w:pStyle w:val="ListParagraph"/>
        <w:numPr>
          <w:ilvl w:val="0"/>
          <w:numId w:val="3"/>
        </w:numPr>
        <w:rPr>
          <w:rFonts w:ascii="Times New Roman" w:hAnsi="Times New Roman" w:cs="Times New Roman"/>
          <w:b/>
          <w:bCs/>
          <w:sz w:val="24"/>
          <w:szCs w:val="24"/>
        </w:rPr>
      </w:pPr>
      <w:r>
        <w:rPr>
          <w:rFonts w:ascii="Times New Roman" w:hAnsi="Times New Roman" w:cs="Times New Roman"/>
          <w:b/>
          <w:bCs/>
          <w:sz w:val="24"/>
          <w:szCs w:val="24"/>
        </w:rPr>
        <w:t>Opposite of Hippocratic Oath</w:t>
      </w:r>
    </w:p>
    <w:p w14:paraId="4B1AD3A2" w14:textId="5DC48249" w:rsidR="009B7FA6" w:rsidRPr="009B7FA6" w:rsidRDefault="003D3863" w:rsidP="009B7FA6">
      <w:pPr>
        <w:pStyle w:val="ListParagraph"/>
        <w:rPr>
          <w:rFonts w:ascii="Times New Roman" w:hAnsi="Times New Roman" w:cs="Times New Roman"/>
          <w:sz w:val="24"/>
          <w:szCs w:val="24"/>
        </w:rPr>
      </w:pPr>
      <w:r w:rsidRPr="003D3863">
        <w:rPr>
          <w:rFonts w:ascii="Times New Roman" w:hAnsi="Times New Roman" w:cs="Times New Roman"/>
          <w:sz w:val="24"/>
          <w:szCs w:val="24"/>
        </w:rPr>
        <w:t>The medical field is rooted in the intention to heal and prolong life. This principle finds its strongest expression in the Hippocratic Oath, where it's stated, “I will prescribe regimens for the good of my patients according to my ability and judgment and never do harm to anyone. To please no one will I prescribe a deadly drug, nor give advice that may cause their death.” Consequently, the prospect that a physician might actively expedite a patient's death - someone whom the physician has been ostensibly treating to enhance and lengthen life - goes against the core principle of the medical profession.</w:t>
      </w:r>
    </w:p>
    <w:p w14:paraId="2200D1BD" w14:textId="13F2C78B" w:rsidR="005248B1" w:rsidRDefault="005248B1" w:rsidP="005248B1">
      <w:pPr>
        <w:pStyle w:val="ListParagraph"/>
        <w:numPr>
          <w:ilvl w:val="0"/>
          <w:numId w:val="3"/>
        </w:numPr>
        <w:rPr>
          <w:rFonts w:ascii="Times New Roman" w:hAnsi="Times New Roman" w:cs="Times New Roman"/>
          <w:b/>
          <w:bCs/>
          <w:sz w:val="24"/>
          <w:szCs w:val="24"/>
        </w:rPr>
      </w:pPr>
      <w:r>
        <w:rPr>
          <w:rFonts w:ascii="Times New Roman" w:hAnsi="Times New Roman" w:cs="Times New Roman"/>
          <w:b/>
          <w:bCs/>
          <w:sz w:val="24"/>
          <w:szCs w:val="24"/>
        </w:rPr>
        <w:t>Baises of Physician granting such request</w:t>
      </w:r>
    </w:p>
    <w:p w14:paraId="0C4B4441" w14:textId="7C6E81B9" w:rsidR="009B7FA6" w:rsidRPr="009B7FA6" w:rsidRDefault="009B7FA6" w:rsidP="009B7FA6">
      <w:pPr>
        <w:pStyle w:val="ListParagraph"/>
        <w:rPr>
          <w:rFonts w:ascii="Times New Roman" w:hAnsi="Times New Roman" w:cs="Times New Roman"/>
          <w:sz w:val="24"/>
          <w:szCs w:val="24"/>
        </w:rPr>
      </w:pPr>
      <w:r w:rsidRPr="009B7FA6">
        <w:rPr>
          <w:rFonts w:ascii="Times New Roman" w:hAnsi="Times New Roman" w:cs="Times New Roman"/>
          <w:sz w:val="24"/>
          <w:szCs w:val="24"/>
        </w:rPr>
        <w:t xml:space="preserve">An even more concerning scenario is that healthcare providers might propose </w:t>
      </w:r>
      <w:r>
        <w:rPr>
          <w:rFonts w:ascii="Times New Roman" w:hAnsi="Times New Roman" w:cs="Times New Roman"/>
          <w:sz w:val="24"/>
          <w:szCs w:val="24"/>
        </w:rPr>
        <w:t>euthanasia</w:t>
      </w:r>
      <w:r w:rsidRPr="009B7FA6">
        <w:rPr>
          <w:rFonts w:ascii="Times New Roman" w:hAnsi="Times New Roman" w:cs="Times New Roman"/>
          <w:sz w:val="24"/>
          <w:szCs w:val="24"/>
        </w:rPr>
        <w:t xml:space="preserve"> as an option because providing sufficient palliative care - the alternative - is either too expensive or challenging to access.</w:t>
      </w:r>
    </w:p>
    <w:p w14:paraId="77A50DEE" w14:textId="6E1F4551" w:rsidR="005248B1" w:rsidRDefault="003D3863" w:rsidP="003D3863">
      <w:pPr>
        <w:pStyle w:val="ListParagraph"/>
        <w:numPr>
          <w:ilvl w:val="0"/>
          <w:numId w:val="3"/>
        </w:numPr>
        <w:rPr>
          <w:rFonts w:ascii="Times New Roman" w:hAnsi="Times New Roman" w:cs="Times New Roman"/>
          <w:b/>
          <w:bCs/>
          <w:sz w:val="24"/>
          <w:szCs w:val="24"/>
        </w:rPr>
      </w:pPr>
      <w:r>
        <w:rPr>
          <w:rFonts w:ascii="Times New Roman" w:hAnsi="Times New Roman" w:cs="Times New Roman"/>
          <w:b/>
          <w:bCs/>
          <w:sz w:val="24"/>
          <w:szCs w:val="24"/>
        </w:rPr>
        <w:t>Can be p</w:t>
      </w:r>
      <w:r w:rsidR="005248B1">
        <w:rPr>
          <w:rFonts w:ascii="Times New Roman" w:hAnsi="Times New Roman" w:cs="Times New Roman"/>
          <w:b/>
          <w:bCs/>
          <w:sz w:val="24"/>
          <w:szCs w:val="24"/>
        </w:rPr>
        <w:t>ressur</w:t>
      </w:r>
      <w:r>
        <w:rPr>
          <w:rFonts w:ascii="Times New Roman" w:hAnsi="Times New Roman" w:cs="Times New Roman"/>
          <w:b/>
          <w:bCs/>
          <w:sz w:val="24"/>
          <w:szCs w:val="24"/>
        </w:rPr>
        <w:t>ised</w:t>
      </w:r>
      <w:r w:rsidR="005248B1">
        <w:rPr>
          <w:rFonts w:ascii="Times New Roman" w:hAnsi="Times New Roman" w:cs="Times New Roman"/>
          <w:b/>
          <w:bCs/>
          <w:sz w:val="24"/>
          <w:szCs w:val="24"/>
        </w:rPr>
        <w:t xml:space="preserve"> by family </w:t>
      </w:r>
    </w:p>
    <w:p w14:paraId="74AA63B9" w14:textId="22997C35" w:rsidR="00545A0C" w:rsidRDefault="009B7FA6" w:rsidP="009B7FA6">
      <w:pPr>
        <w:pStyle w:val="ListParagraph"/>
        <w:rPr>
          <w:rFonts w:ascii="Times New Roman" w:hAnsi="Times New Roman" w:cs="Times New Roman"/>
          <w:sz w:val="24"/>
          <w:szCs w:val="24"/>
        </w:rPr>
      </w:pPr>
      <w:r w:rsidRPr="009B7FA6">
        <w:rPr>
          <w:rFonts w:ascii="Times New Roman" w:hAnsi="Times New Roman" w:cs="Times New Roman"/>
          <w:sz w:val="24"/>
          <w:szCs w:val="24"/>
        </w:rPr>
        <w:t xml:space="preserve">Individuals from lower socioeconomic backgrounds or marginalized groups might feel "coerced," whether overtly or indirectly, into considering euthanasia as a solution to the challenges posed by their illness. Relatives might subtly imply that since death is inevitable, an earlier passing would be more </w:t>
      </w:r>
      <w:r w:rsidRPr="009B7FA6">
        <w:rPr>
          <w:rFonts w:ascii="Times New Roman" w:hAnsi="Times New Roman" w:cs="Times New Roman"/>
          <w:sz w:val="24"/>
          <w:szCs w:val="24"/>
        </w:rPr>
        <w:t>favourable</w:t>
      </w:r>
      <w:r w:rsidRPr="009B7FA6">
        <w:rPr>
          <w:rFonts w:ascii="Times New Roman" w:hAnsi="Times New Roman" w:cs="Times New Roman"/>
          <w:sz w:val="24"/>
          <w:szCs w:val="24"/>
        </w:rPr>
        <w:t xml:space="preserve">, given the social and financial strains involved in caring for terminally ill family </w:t>
      </w:r>
      <w:r w:rsidRPr="009B7FA6">
        <w:rPr>
          <w:rFonts w:ascii="Times New Roman" w:hAnsi="Times New Roman" w:cs="Times New Roman"/>
          <w:sz w:val="24"/>
          <w:szCs w:val="24"/>
        </w:rPr>
        <w:t xml:space="preserve">members. </w:t>
      </w:r>
    </w:p>
    <w:p w14:paraId="073F8B61" w14:textId="77777777" w:rsidR="004309CB" w:rsidRPr="004309CB" w:rsidRDefault="004309CB" w:rsidP="009B7FA6">
      <w:pPr>
        <w:pStyle w:val="ListParagraph"/>
        <w:rPr>
          <w:rFonts w:ascii="Times New Roman" w:hAnsi="Times New Roman" w:cs="Times New Roman"/>
          <w:b/>
          <w:bCs/>
          <w:sz w:val="24"/>
          <w:szCs w:val="24"/>
        </w:rPr>
      </w:pPr>
    </w:p>
    <w:p w14:paraId="009C89AB" w14:textId="77777777" w:rsidR="00F838C9" w:rsidRPr="00F838C9" w:rsidRDefault="004309CB" w:rsidP="00F838C9">
      <w:pPr>
        <w:rPr>
          <w:rFonts w:ascii="Times New Roman" w:hAnsi="Times New Roman" w:cs="Times New Roman"/>
          <w:b/>
          <w:bCs/>
          <w:sz w:val="24"/>
          <w:szCs w:val="24"/>
          <w:u w:val="single"/>
        </w:rPr>
      </w:pPr>
      <w:r w:rsidRPr="00F838C9">
        <w:rPr>
          <w:rFonts w:ascii="Times New Roman" w:hAnsi="Times New Roman" w:cs="Times New Roman"/>
          <w:b/>
          <w:bCs/>
          <w:sz w:val="24"/>
          <w:szCs w:val="24"/>
          <w:u w:val="single"/>
        </w:rPr>
        <w:t xml:space="preserve">INTERNATIONAL SCENARIO </w:t>
      </w:r>
    </w:p>
    <w:p w14:paraId="7C9CF909" w14:textId="5A22B592" w:rsidR="00C764B5" w:rsidRPr="00F838C9" w:rsidRDefault="00C764B5" w:rsidP="00F838C9">
      <w:pPr>
        <w:rPr>
          <w:rFonts w:ascii="Times New Roman" w:hAnsi="Times New Roman" w:cs="Times New Roman"/>
          <w:b/>
          <w:bCs/>
          <w:sz w:val="24"/>
          <w:szCs w:val="24"/>
        </w:rPr>
      </w:pPr>
      <w:r w:rsidRPr="00F838C9">
        <w:rPr>
          <w:rFonts w:ascii="Times New Roman" w:hAnsi="Times New Roman" w:cs="Times New Roman"/>
          <w:b/>
          <w:bCs/>
          <w:sz w:val="24"/>
          <w:szCs w:val="24"/>
        </w:rPr>
        <w:t xml:space="preserve">GUIDELINES FOR </w:t>
      </w:r>
      <w:r w:rsidR="00C92F5A" w:rsidRPr="00F838C9">
        <w:rPr>
          <w:rFonts w:ascii="Times New Roman" w:hAnsi="Times New Roman" w:cs="Times New Roman"/>
          <w:b/>
          <w:bCs/>
          <w:sz w:val="24"/>
          <w:szCs w:val="24"/>
        </w:rPr>
        <w:t>EUTHANASIA</w:t>
      </w:r>
      <w:r w:rsidRPr="00F838C9">
        <w:rPr>
          <w:rFonts w:ascii="Times New Roman" w:hAnsi="Times New Roman" w:cs="Times New Roman"/>
          <w:b/>
          <w:bCs/>
          <w:sz w:val="24"/>
          <w:szCs w:val="24"/>
        </w:rPr>
        <w:t xml:space="preserve"> ACROSS THE WORLD:</w:t>
      </w:r>
    </w:p>
    <w:p w14:paraId="6F9EE08D" w14:textId="735E355C" w:rsidR="000D5564" w:rsidRPr="000D5564" w:rsidRDefault="000D5564" w:rsidP="00265993">
      <w:pPr>
        <w:jc w:val="both"/>
        <w:rPr>
          <w:rFonts w:ascii="Times New Roman" w:hAnsi="Times New Roman" w:cs="Times New Roman"/>
          <w:sz w:val="24"/>
          <w:szCs w:val="24"/>
        </w:rPr>
      </w:pPr>
      <w:r>
        <w:rPr>
          <w:rFonts w:ascii="Times New Roman" w:hAnsi="Times New Roman" w:cs="Times New Roman"/>
          <w:sz w:val="24"/>
          <w:szCs w:val="24"/>
        </w:rPr>
        <w:t xml:space="preserve">There are various countries across the world where Euthanasia is legalized such as </w:t>
      </w:r>
      <w:r w:rsidR="0086142A">
        <w:rPr>
          <w:rFonts w:ascii="Times New Roman" w:hAnsi="Times New Roman" w:cs="Times New Roman"/>
          <w:sz w:val="24"/>
          <w:szCs w:val="24"/>
        </w:rPr>
        <w:t>Netherlands, Canada, Australia etc. Most of these have certain common guidelines,</w:t>
      </w:r>
    </w:p>
    <w:p w14:paraId="5B11A1EC" w14:textId="77777777" w:rsidR="000D5564" w:rsidRDefault="000D5564" w:rsidP="00265993">
      <w:pPr>
        <w:jc w:val="both"/>
        <w:rPr>
          <w:rFonts w:ascii="Times New Roman" w:hAnsi="Times New Roman" w:cs="Times New Roman"/>
          <w:sz w:val="24"/>
          <w:szCs w:val="24"/>
        </w:rPr>
      </w:pPr>
      <w:r w:rsidRPr="000D5564">
        <w:rPr>
          <w:rFonts w:ascii="Times New Roman" w:hAnsi="Times New Roman" w:cs="Times New Roman"/>
          <w:sz w:val="24"/>
          <w:szCs w:val="24"/>
        </w:rPr>
        <w:t xml:space="preserve">These criteria encompass: </w:t>
      </w:r>
    </w:p>
    <w:p w14:paraId="499BE505" w14:textId="77777777" w:rsidR="000D5564" w:rsidRDefault="000D5564" w:rsidP="00265993">
      <w:pPr>
        <w:jc w:val="both"/>
        <w:rPr>
          <w:rFonts w:ascii="Times New Roman" w:hAnsi="Times New Roman" w:cs="Times New Roman"/>
          <w:sz w:val="24"/>
          <w:szCs w:val="24"/>
        </w:rPr>
      </w:pPr>
      <w:r w:rsidRPr="000D5564">
        <w:rPr>
          <w:rFonts w:ascii="Times New Roman" w:hAnsi="Times New Roman" w:cs="Times New Roman"/>
          <w:sz w:val="24"/>
          <w:szCs w:val="24"/>
        </w:rPr>
        <w:t>(1) a patient's voluntary request for aid in dying,</w:t>
      </w:r>
    </w:p>
    <w:p w14:paraId="324FE030" w14:textId="34EAD4F5" w:rsidR="000D5564" w:rsidRDefault="000D5564" w:rsidP="00265993">
      <w:pPr>
        <w:jc w:val="both"/>
        <w:rPr>
          <w:rFonts w:ascii="Times New Roman" w:hAnsi="Times New Roman" w:cs="Times New Roman"/>
          <w:sz w:val="24"/>
          <w:szCs w:val="24"/>
        </w:rPr>
      </w:pPr>
      <w:r w:rsidRPr="000D5564">
        <w:rPr>
          <w:rFonts w:ascii="Times New Roman" w:hAnsi="Times New Roman" w:cs="Times New Roman"/>
          <w:sz w:val="24"/>
          <w:szCs w:val="24"/>
        </w:rPr>
        <w:t xml:space="preserve">(2) confirmation of a terminal illness, and </w:t>
      </w:r>
    </w:p>
    <w:p w14:paraId="01947170" w14:textId="77777777" w:rsidR="000D5564" w:rsidRDefault="000D5564" w:rsidP="00265993">
      <w:pPr>
        <w:jc w:val="both"/>
        <w:rPr>
          <w:rFonts w:ascii="Times New Roman" w:hAnsi="Times New Roman" w:cs="Times New Roman"/>
          <w:sz w:val="24"/>
          <w:szCs w:val="24"/>
        </w:rPr>
      </w:pPr>
      <w:r w:rsidRPr="000D5564">
        <w:rPr>
          <w:rFonts w:ascii="Times New Roman" w:hAnsi="Times New Roman" w:cs="Times New Roman"/>
          <w:sz w:val="24"/>
          <w:szCs w:val="24"/>
        </w:rPr>
        <w:t>(3) detailed documentation by the primary physician justifying the request and outlining efforts to enhance the patient's care.</w:t>
      </w:r>
    </w:p>
    <w:p w14:paraId="4695906F" w14:textId="7067B1C7" w:rsidR="00C92F5A" w:rsidRPr="00C92F5A" w:rsidRDefault="000D5564" w:rsidP="00265993">
      <w:pPr>
        <w:jc w:val="both"/>
        <w:rPr>
          <w:rFonts w:ascii="Times New Roman" w:hAnsi="Times New Roman" w:cs="Times New Roman"/>
          <w:sz w:val="24"/>
          <w:szCs w:val="24"/>
        </w:rPr>
      </w:pPr>
      <w:r w:rsidRPr="000D5564">
        <w:rPr>
          <w:rFonts w:ascii="Times New Roman" w:hAnsi="Times New Roman" w:cs="Times New Roman"/>
          <w:sz w:val="24"/>
          <w:szCs w:val="24"/>
        </w:rPr>
        <w:t xml:space="preserve"> Proposed guidelines consistently emphasize the essential inclusion of psychiatric evaluation in assessing a patient's request for Euthanasia. </w:t>
      </w:r>
      <w:r w:rsidR="0086142A">
        <w:rPr>
          <w:rFonts w:ascii="Times New Roman" w:hAnsi="Times New Roman" w:cs="Times New Roman"/>
          <w:sz w:val="24"/>
          <w:szCs w:val="24"/>
        </w:rPr>
        <w:t>Wherever Euthanasia</w:t>
      </w:r>
      <w:r w:rsidRPr="000D5564">
        <w:rPr>
          <w:rFonts w:ascii="Times New Roman" w:hAnsi="Times New Roman" w:cs="Times New Roman"/>
          <w:sz w:val="24"/>
          <w:szCs w:val="24"/>
        </w:rPr>
        <w:t xml:space="preserve"> </w:t>
      </w:r>
      <w:r w:rsidR="0086142A">
        <w:rPr>
          <w:rFonts w:ascii="Times New Roman" w:hAnsi="Times New Roman" w:cs="Times New Roman"/>
          <w:sz w:val="24"/>
          <w:szCs w:val="24"/>
        </w:rPr>
        <w:t>is</w:t>
      </w:r>
      <w:r w:rsidRPr="000D5564">
        <w:rPr>
          <w:rFonts w:ascii="Times New Roman" w:hAnsi="Times New Roman" w:cs="Times New Roman"/>
          <w:sz w:val="24"/>
          <w:szCs w:val="24"/>
        </w:rPr>
        <w:t xml:space="preserve"> legal, mental health </w:t>
      </w:r>
      <w:r w:rsidR="00E870DC">
        <w:rPr>
          <w:rStyle w:val="FootnoteReference"/>
          <w:rFonts w:ascii="Times New Roman" w:hAnsi="Times New Roman" w:cs="Times New Roman"/>
          <w:sz w:val="24"/>
          <w:szCs w:val="24"/>
        </w:rPr>
        <w:lastRenderedPageBreak/>
        <w:footnoteReference w:id="3"/>
      </w:r>
      <w:r w:rsidRPr="000D5564">
        <w:rPr>
          <w:rFonts w:ascii="Times New Roman" w:hAnsi="Times New Roman" w:cs="Times New Roman"/>
          <w:sz w:val="24"/>
          <w:szCs w:val="24"/>
        </w:rPr>
        <w:t>professionals hold a crucial role in evaluating end-of-life patients seeking</w:t>
      </w:r>
      <w:r w:rsidR="0086142A">
        <w:rPr>
          <w:rFonts w:ascii="Times New Roman" w:hAnsi="Times New Roman" w:cs="Times New Roman"/>
          <w:sz w:val="24"/>
          <w:szCs w:val="24"/>
        </w:rPr>
        <w:t xml:space="preserve"> an end to their lives</w:t>
      </w:r>
      <w:r w:rsidRPr="000D5564">
        <w:rPr>
          <w:rFonts w:ascii="Times New Roman" w:hAnsi="Times New Roman" w:cs="Times New Roman"/>
          <w:sz w:val="24"/>
          <w:szCs w:val="24"/>
        </w:rPr>
        <w:t xml:space="preserve">. Some regions even mandate psychiatric assessment as a prerequisite before granting permission for </w:t>
      </w:r>
      <w:r w:rsidR="0086142A">
        <w:rPr>
          <w:rFonts w:ascii="Times New Roman" w:hAnsi="Times New Roman" w:cs="Times New Roman"/>
          <w:sz w:val="24"/>
          <w:szCs w:val="24"/>
        </w:rPr>
        <w:t>Euthanasia.</w:t>
      </w:r>
    </w:p>
    <w:p w14:paraId="23722289" w14:textId="3B0435BD" w:rsidR="00C764B5" w:rsidRPr="00F838C9" w:rsidRDefault="000D1DAB" w:rsidP="00F838C9">
      <w:pPr>
        <w:rPr>
          <w:rFonts w:ascii="Times New Roman" w:hAnsi="Times New Roman" w:cs="Times New Roman"/>
          <w:b/>
          <w:bCs/>
          <w:sz w:val="24"/>
          <w:szCs w:val="24"/>
        </w:rPr>
      </w:pPr>
      <w:r w:rsidRPr="00F838C9">
        <w:rPr>
          <w:rFonts w:ascii="Times New Roman" w:hAnsi="Times New Roman" w:cs="Times New Roman"/>
          <w:b/>
          <w:bCs/>
          <w:sz w:val="24"/>
          <w:szCs w:val="24"/>
        </w:rPr>
        <w:t xml:space="preserve">INTERNATIONAL PERSPECTIVE </w:t>
      </w:r>
    </w:p>
    <w:p w14:paraId="4A5A8312" w14:textId="6C949DE8" w:rsidR="0086142A" w:rsidRPr="00F838C9" w:rsidRDefault="0086142A" w:rsidP="00F838C9">
      <w:pPr>
        <w:pStyle w:val="ListParagraph"/>
        <w:numPr>
          <w:ilvl w:val="0"/>
          <w:numId w:val="11"/>
        </w:numPr>
        <w:jc w:val="both"/>
        <w:rPr>
          <w:rFonts w:ascii="Times New Roman" w:hAnsi="Times New Roman" w:cs="Times New Roman"/>
          <w:sz w:val="24"/>
          <w:szCs w:val="24"/>
        </w:rPr>
      </w:pPr>
      <w:r w:rsidRPr="00F838C9">
        <w:rPr>
          <w:rFonts w:ascii="Times New Roman" w:hAnsi="Times New Roman" w:cs="Times New Roman"/>
          <w:sz w:val="24"/>
          <w:szCs w:val="24"/>
        </w:rPr>
        <w:t>USA</w:t>
      </w:r>
    </w:p>
    <w:p w14:paraId="69E217A0" w14:textId="37DAC3B0" w:rsidR="0086142A" w:rsidRDefault="00E45ECE" w:rsidP="00F838C9">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In United States, </w:t>
      </w:r>
      <w:r w:rsidR="0086142A" w:rsidRPr="0086142A">
        <w:rPr>
          <w:rFonts w:ascii="Times New Roman" w:hAnsi="Times New Roman" w:cs="Times New Roman"/>
          <w:sz w:val="24"/>
          <w:szCs w:val="24"/>
        </w:rPr>
        <w:t>o</w:t>
      </w:r>
      <w:r>
        <w:rPr>
          <w:rFonts w:ascii="Times New Roman" w:hAnsi="Times New Roman" w:cs="Times New Roman"/>
          <w:sz w:val="24"/>
          <w:szCs w:val="24"/>
        </w:rPr>
        <w:t>ther than the state</w:t>
      </w:r>
      <w:r w:rsidR="0086142A" w:rsidRPr="0086142A">
        <w:rPr>
          <w:rFonts w:ascii="Times New Roman" w:hAnsi="Times New Roman" w:cs="Times New Roman"/>
          <w:sz w:val="24"/>
          <w:szCs w:val="24"/>
        </w:rPr>
        <w:t xml:space="preserve"> of Oregon</w:t>
      </w:r>
      <w:r>
        <w:rPr>
          <w:rFonts w:ascii="Times New Roman" w:hAnsi="Times New Roman" w:cs="Times New Roman"/>
          <w:sz w:val="24"/>
          <w:szCs w:val="24"/>
        </w:rPr>
        <w:t>,</w:t>
      </w:r>
      <w:r w:rsidR="0086142A" w:rsidRPr="0086142A">
        <w:rPr>
          <w:rFonts w:ascii="Times New Roman" w:hAnsi="Times New Roman" w:cs="Times New Roman"/>
          <w:sz w:val="24"/>
          <w:szCs w:val="24"/>
        </w:rPr>
        <w:t xml:space="preserve"> there hasn't been much movement towards legalizing euthanasia or physician-assisted suicide following the 1997 Supreme Court decision. In fact, in the last five years, 10 states have passed legislation explicitly prohibiting euthanasia or physician-assisted suicide, with bills awaiting decisions in five additional states. The public sentiment against these practices has been notable as well. </w:t>
      </w:r>
    </w:p>
    <w:p w14:paraId="33A369E1" w14:textId="3CF0D1BD" w:rsidR="006B02C2" w:rsidRPr="00F838C9" w:rsidRDefault="0086142A" w:rsidP="00F838C9">
      <w:pPr>
        <w:pStyle w:val="ListParagraph"/>
        <w:numPr>
          <w:ilvl w:val="0"/>
          <w:numId w:val="11"/>
        </w:numPr>
        <w:jc w:val="both"/>
        <w:rPr>
          <w:rFonts w:ascii="Times New Roman" w:hAnsi="Times New Roman" w:cs="Times New Roman"/>
          <w:sz w:val="24"/>
          <w:szCs w:val="24"/>
        </w:rPr>
      </w:pPr>
      <w:r w:rsidRPr="00F838C9">
        <w:rPr>
          <w:rFonts w:ascii="Times New Roman" w:hAnsi="Times New Roman" w:cs="Times New Roman"/>
          <w:sz w:val="24"/>
          <w:szCs w:val="24"/>
        </w:rPr>
        <w:t>GERMANY</w:t>
      </w:r>
    </w:p>
    <w:p w14:paraId="2E3CBA69" w14:textId="77777777" w:rsidR="00F838C9" w:rsidRDefault="004E07B7" w:rsidP="00F838C9">
      <w:pPr>
        <w:pStyle w:val="ListParagraph"/>
        <w:jc w:val="both"/>
        <w:rPr>
          <w:rFonts w:ascii="Times New Roman" w:hAnsi="Times New Roman" w:cs="Times New Roman"/>
          <w:sz w:val="24"/>
          <w:szCs w:val="24"/>
        </w:rPr>
      </w:pPr>
      <w:r w:rsidRPr="004E07B7">
        <w:rPr>
          <w:rFonts w:ascii="Times New Roman" w:hAnsi="Times New Roman" w:cs="Times New Roman"/>
          <w:sz w:val="24"/>
          <w:szCs w:val="24"/>
        </w:rPr>
        <w:t>Before 2020, section 271 of the German criminal code created significant barriers to assisted suicide. It stated that aiding someone in ending their own life could result in a jail sentence of up to three years. This law was primarily designed to prevent associations that supported assisted suicide by collecting funds from their members. However, since the 2020 judgment, these associations have been functioning without legal repercussions in Germany. They now openly provide services such as accompanied suicide or assistance in arranging medical aid for individuals seeking to end their lives.</w:t>
      </w:r>
    </w:p>
    <w:p w14:paraId="20AE6E24" w14:textId="6F366B58" w:rsidR="004E07B7" w:rsidRPr="00F838C9" w:rsidRDefault="004E07B7" w:rsidP="00F838C9">
      <w:pPr>
        <w:pStyle w:val="ListParagraph"/>
        <w:jc w:val="both"/>
        <w:rPr>
          <w:rFonts w:ascii="Times New Roman" w:hAnsi="Times New Roman" w:cs="Times New Roman"/>
          <w:sz w:val="24"/>
          <w:szCs w:val="24"/>
        </w:rPr>
      </w:pPr>
      <w:r w:rsidRPr="00F838C9">
        <w:rPr>
          <w:rFonts w:ascii="Times New Roman" w:hAnsi="Times New Roman" w:cs="Times New Roman"/>
          <w:sz w:val="24"/>
          <w:szCs w:val="24"/>
        </w:rPr>
        <w:t>Actively administering a fatal drug to another person, however, is and remains illegal. Such assistance in dying, sometimes referred to as voluntary euthanasia, remains prohibited in Germany, where the concept is seen to hark back to the time of the Nazi regime, where thousands of disabled people were killed in a program of mass murder by involuntary euthanasia.</w:t>
      </w:r>
      <w:r w:rsidR="007C787B">
        <w:rPr>
          <w:rFonts w:ascii="Times New Roman" w:hAnsi="Times New Roman" w:cs="Times New Roman"/>
          <w:sz w:val="24"/>
          <w:szCs w:val="24"/>
          <w:vertAlign w:val="superscript"/>
        </w:rPr>
        <w:t>2</w:t>
      </w:r>
    </w:p>
    <w:p w14:paraId="37547013" w14:textId="397E6E8E" w:rsidR="00BD1CBB" w:rsidRPr="00F838C9" w:rsidRDefault="00BD1CBB" w:rsidP="00F838C9">
      <w:pPr>
        <w:pStyle w:val="ListParagraph"/>
        <w:numPr>
          <w:ilvl w:val="0"/>
          <w:numId w:val="11"/>
        </w:numPr>
        <w:jc w:val="both"/>
        <w:rPr>
          <w:rFonts w:ascii="Times New Roman" w:hAnsi="Times New Roman" w:cs="Times New Roman"/>
          <w:sz w:val="24"/>
          <w:szCs w:val="24"/>
        </w:rPr>
      </w:pPr>
      <w:r w:rsidRPr="00F838C9">
        <w:rPr>
          <w:rFonts w:ascii="Times New Roman" w:hAnsi="Times New Roman" w:cs="Times New Roman"/>
          <w:sz w:val="24"/>
          <w:szCs w:val="24"/>
        </w:rPr>
        <w:t xml:space="preserve">UNITED KINGDOM </w:t>
      </w:r>
    </w:p>
    <w:p w14:paraId="4026D760" w14:textId="2F26ECF3" w:rsidR="004E07B7" w:rsidRPr="009B1979" w:rsidRDefault="009B1979" w:rsidP="00F838C9">
      <w:pPr>
        <w:pStyle w:val="ListParagraph"/>
        <w:jc w:val="both"/>
        <w:rPr>
          <w:rFonts w:ascii="Times New Roman" w:hAnsi="Times New Roman" w:cs="Times New Roman"/>
          <w:sz w:val="24"/>
          <w:szCs w:val="24"/>
          <w:vertAlign w:val="superscript"/>
        </w:rPr>
      </w:pPr>
      <w:r w:rsidRPr="009B1979">
        <w:rPr>
          <w:rFonts w:ascii="Times New Roman" w:hAnsi="Times New Roman" w:cs="Times New Roman"/>
          <w:sz w:val="24"/>
          <w:szCs w:val="24"/>
        </w:rPr>
        <w:t>Under the Mental Capacity Act UK (2005), ‘advance decisions’ give a person the right to make a decision to refuse healthcare treatment in advance, including in situations where this would result in their death. Advance decisions are legally binding and any person who withholds or withdraws treatment in accordance with a valid and applicable advance decision will not incur liability. The UK Act also allows a person to appoint an agent to act on their behalf in the event that they lose capacity in the future, in the form of a ‘lasting power of attorney’. The attorney can be expressly authorised to give or refuse consent to medical treatment, including life-sustaining treatment.</w:t>
      </w:r>
    </w:p>
    <w:p w14:paraId="7D1A41E0" w14:textId="591D4203" w:rsidR="0086142A" w:rsidRPr="00F838C9" w:rsidRDefault="0086142A" w:rsidP="00F838C9">
      <w:pPr>
        <w:pStyle w:val="ListParagraph"/>
        <w:numPr>
          <w:ilvl w:val="0"/>
          <w:numId w:val="11"/>
        </w:numPr>
        <w:jc w:val="both"/>
        <w:rPr>
          <w:rFonts w:ascii="Times New Roman" w:hAnsi="Times New Roman" w:cs="Times New Roman"/>
          <w:sz w:val="24"/>
          <w:szCs w:val="24"/>
        </w:rPr>
      </w:pPr>
      <w:r w:rsidRPr="00F838C9">
        <w:rPr>
          <w:rFonts w:ascii="Times New Roman" w:hAnsi="Times New Roman" w:cs="Times New Roman"/>
          <w:sz w:val="24"/>
          <w:szCs w:val="24"/>
        </w:rPr>
        <w:t>SPAIN</w:t>
      </w:r>
    </w:p>
    <w:p w14:paraId="5F57805F" w14:textId="3F97B39C" w:rsidR="00BC44C2" w:rsidRDefault="00BC44C2" w:rsidP="00F838C9">
      <w:pPr>
        <w:pStyle w:val="ListParagraph"/>
        <w:jc w:val="both"/>
        <w:rPr>
          <w:rFonts w:ascii="Times New Roman" w:hAnsi="Times New Roman" w:cs="Times New Roman"/>
          <w:sz w:val="24"/>
          <w:szCs w:val="24"/>
        </w:rPr>
      </w:pPr>
      <w:r w:rsidRPr="00BC44C2">
        <w:rPr>
          <w:rFonts w:ascii="Times New Roman" w:hAnsi="Times New Roman" w:cs="Times New Roman"/>
          <w:sz w:val="24"/>
          <w:szCs w:val="24"/>
        </w:rPr>
        <w:t xml:space="preserve">As of June 25, 2021, Spain legalized euthanasia through the enactment of the Organic Law for the Regulation of Euthanasia, which became effective three months after its </w:t>
      </w:r>
      <w:r w:rsidRPr="00BC44C2">
        <w:rPr>
          <w:rFonts w:ascii="Times New Roman" w:hAnsi="Times New Roman" w:cs="Times New Roman"/>
          <w:sz w:val="24"/>
          <w:szCs w:val="24"/>
        </w:rPr>
        <w:lastRenderedPageBreak/>
        <w:t>publication in the Official State Gazette. This law permits euthanasia for individuals meeting specific criteria: they must be Spanish nationals, legal residents, or hold a registration certificate indicating a stay in Spanish territory exceeding 12 months to qualify for the procedure. However, minors are excluded from this legalized scheme and cannot access euthanasia under these regulations</w:t>
      </w:r>
    </w:p>
    <w:p w14:paraId="132FEA5B" w14:textId="2838EAF3" w:rsidR="0086142A" w:rsidRPr="00F838C9" w:rsidRDefault="0086142A" w:rsidP="00F838C9">
      <w:pPr>
        <w:pStyle w:val="ListParagraph"/>
        <w:numPr>
          <w:ilvl w:val="0"/>
          <w:numId w:val="11"/>
        </w:numPr>
        <w:jc w:val="both"/>
        <w:rPr>
          <w:rFonts w:ascii="Times New Roman" w:hAnsi="Times New Roman" w:cs="Times New Roman"/>
          <w:sz w:val="24"/>
          <w:szCs w:val="24"/>
        </w:rPr>
      </w:pPr>
      <w:r w:rsidRPr="00F838C9">
        <w:rPr>
          <w:rFonts w:ascii="Times New Roman" w:hAnsi="Times New Roman" w:cs="Times New Roman"/>
          <w:sz w:val="24"/>
          <w:szCs w:val="24"/>
        </w:rPr>
        <w:t>NETHERLANDS</w:t>
      </w:r>
    </w:p>
    <w:p w14:paraId="6F365FF1" w14:textId="77777777" w:rsidR="00F838C9" w:rsidRDefault="00FB735F" w:rsidP="00F838C9">
      <w:pPr>
        <w:pStyle w:val="ListParagraph"/>
        <w:jc w:val="both"/>
        <w:rPr>
          <w:rFonts w:ascii="Times New Roman" w:hAnsi="Times New Roman" w:cs="Times New Roman"/>
          <w:sz w:val="24"/>
          <w:szCs w:val="24"/>
        </w:rPr>
      </w:pPr>
      <w:r w:rsidRPr="00FB735F">
        <w:rPr>
          <w:rFonts w:ascii="Times New Roman" w:hAnsi="Times New Roman" w:cs="Times New Roman"/>
          <w:sz w:val="24"/>
          <w:szCs w:val="24"/>
        </w:rPr>
        <w:t>in the Netherlands, physician-assisted suicide (PAS) and euthanasia have been part of regular medical practice for over 20 years. The country's current status regarding euthanasia was established in 1984 following a decision by the Dutch Supreme Court, which outlined specific conditions for the practice</w:t>
      </w:r>
      <w:r>
        <w:rPr>
          <w:rFonts w:ascii="Times New Roman" w:hAnsi="Times New Roman" w:cs="Times New Roman"/>
          <w:sz w:val="24"/>
          <w:szCs w:val="24"/>
        </w:rPr>
        <w:t xml:space="preserve"> such as</w:t>
      </w:r>
      <w:r w:rsidRPr="00FB735F">
        <w:rPr>
          <w:rFonts w:ascii="Times New Roman" w:hAnsi="Times New Roman" w:cs="Times New Roman"/>
          <w:sz w:val="24"/>
          <w:szCs w:val="24"/>
        </w:rPr>
        <w:t xml:space="preserve"> patient's request for PAS must be voluntary, </w:t>
      </w:r>
      <w:r>
        <w:rPr>
          <w:rFonts w:ascii="Times New Roman" w:hAnsi="Times New Roman" w:cs="Times New Roman"/>
          <w:sz w:val="24"/>
          <w:szCs w:val="24"/>
        </w:rPr>
        <w:t>suffering should be unbearable and all other measures are exhausted.</w:t>
      </w:r>
    </w:p>
    <w:p w14:paraId="51D1EF35" w14:textId="1EE54743" w:rsidR="00FB735F" w:rsidRPr="00F838C9" w:rsidRDefault="00F838C9" w:rsidP="00F838C9">
      <w:pPr>
        <w:jc w:val="both"/>
        <w:rPr>
          <w:rFonts w:ascii="Times New Roman" w:hAnsi="Times New Roman" w:cs="Times New Roman"/>
          <w:sz w:val="24"/>
          <w:szCs w:val="24"/>
        </w:rPr>
      </w:pPr>
      <w:r>
        <w:rPr>
          <w:rFonts w:ascii="Times New Roman" w:hAnsi="Times New Roman" w:cs="Times New Roman"/>
          <w:b/>
          <w:bCs/>
          <w:sz w:val="24"/>
          <w:szCs w:val="24"/>
          <w:u w:val="single"/>
        </w:rPr>
        <w:t xml:space="preserve">INDIAN PERSPECTIVE </w:t>
      </w:r>
      <w:r w:rsidR="00FB735F" w:rsidRPr="00F838C9">
        <w:rPr>
          <w:rFonts w:ascii="Times New Roman" w:hAnsi="Times New Roman" w:cs="Times New Roman"/>
          <w:sz w:val="24"/>
          <w:szCs w:val="24"/>
        </w:rPr>
        <w:t xml:space="preserve"> </w:t>
      </w:r>
    </w:p>
    <w:p w14:paraId="42B20EED" w14:textId="77777777" w:rsidR="004309CB" w:rsidRPr="0055129A" w:rsidRDefault="004309CB" w:rsidP="004309CB">
      <w:pPr>
        <w:rPr>
          <w:rFonts w:ascii="Times New Roman" w:hAnsi="Times New Roman" w:cs="Times New Roman"/>
          <w:b/>
          <w:bCs/>
          <w:sz w:val="24"/>
          <w:szCs w:val="24"/>
        </w:rPr>
      </w:pPr>
      <w:r w:rsidRPr="0055129A">
        <w:rPr>
          <w:rFonts w:ascii="Times New Roman" w:hAnsi="Times New Roman" w:cs="Times New Roman"/>
          <w:b/>
          <w:bCs/>
          <w:sz w:val="24"/>
          <w:szCs w:val="24"/>
        </w:rPr>
        <w:t>RELIGIOUS PERSECTIVE:</w:t>
      </w:r>
    </w:p>
    <w:p w14:paraId="43F364A7" w14:textId="77777777" w:rsidR="004309CB" w:rsidRDefault="004309CB" w:rsidP="004309CB">
      <w:pPr>
        <w:rPr>
          <w:rFonts w:ascii="Times New Roman" w:hAnsi="Times New Roman" w:cs="Times New Roman"/>
          <w:sz w:val="24"/>
          <w:szCs w:val="24"/>
        </w:rPr>
      </w:pPr>
      <w:r w:rsidRPr="0055129A">
        <w:rPr>
          <w:rFonts w:ascii="Times New Roman" w:hAnsi="Times New Roman" w:cs="Times New Roman"/>
          <w:sz w:val="24"/>
          <w:szCs w:val="24"/>
        </w:rPr>
        <w:t>The arrival of the Common Era marked a significant challenge for euthanasia in religious teachings such as Christianity and Judaism. Christianity, emphasizing life as a divine gift, encourages living it until its natural end. Similarly, Islam opposes euthanasia, considering life sacred and solely determined by Allah's will.</w:t>
      </w:r>
    </w:p>
    <w:p w14:paraId="6B692A3D" w14:textId="77777777" w:rsidR="004309CB" w:rsidRDefault="004309CB" w:rsidP="004309CB">
      <w:pPr>
        <w:rPr>
          <w:rFonts w:ascii="Times New Roman" w:hAnsi="Times New Roman" w:cs="Times New Roman"/>
          <w:sz w:val="24"/>
          <w:szCs w:val="24"/>
        </w:rPr>
      </w:pPr>
      <w:r w:rsidRPr="0055129A">
        <w:rPr>
          <w:rFonts w:ascii="Times New Roman" w:hAnsi="Times New Roman" w:cs="Times New Roman"/>
          <w:sz w:val="24"/>
          <w:szCs w:val="24"/>
        </w:rPr>
        <w:t xml:space="preserve">Hinduism presents a complex perspective. Its scriptures, spanning </w:t>
      </w:r>
      <w:proofErr w:type="spellStart"/>
      <w:r w:rsidRPr="0055129A">
        <w:rPr>
          <w:rFonts w:ascii="Times New Roman" w:hAnsi="Times New Roman" w:cs="Times New Roman"/>
          <w:sz w:val="24"/>
          <w:szCs w:val="24"/>
        </w:rPr>
        <w:t>Srutis</w:t>
      </w:r>
      <w:proofErr w:type="spellEnd"/>
      <w:r w:rsidRPr="0055129A">
        <w:rPr>
          <w:rFonts w:ascii="Times New Roman" w:hAnsi="Times New Roman" w:cs="Times New Roman"/>
          <w:sz w:val="24"/>
          <w:szCs w:val="24"/>
        </w:rPr>
        <w:t xml:space="preserve">, Smritis, Vedas, Upanishads, Puranas, Gita, Mahabharata, and Ramayana, guide moral standards, duties, and principles. Hinduism, while seemingly advocating self-liberation, discusses self-liberation during incurable illness, as found in the </w:t>
      </w:r>
      <w:proofErr w:type="spellStart"/>
      <w:r w:rsidRPr="0055129A">
        <w:rPr>
          <w:rFonts w:ascii="Times New Roman" w:hAnsi="Times New Roman" w:cs="Times New Roman"/>
          <w:sz w:val="24"/>
          <w:szCs w:val="24"/>
        </w:rPr>
        <w:t>Manusmriti</w:t>
      </w:r>
      <w:proofErr w:type="spellEnd"/>
      <w:r w:rsidRPr="0055129A">
        <w:rPr>
          <w:rFonts w:ascii="Times New Roman" w:hAnsi="Times New Roman" w:cs="Times New Roman"/>
          <w:sz w:val="24"/>
          <w:szCs w:val="24"/>
        </w:rPr>
        <w:t xml:space="preserve">. Central themes like Dharma, Arth, Karma, and Moksha emphasize attaining the ultimate goal of liberation from samsara, the cycle of birth, life, death, and </w:t>
      </w:r>
      <w:proofErr w:type="spellStart"/>
      <w:proofErr w:type="gramStart"/>
      <w:r w:rsidRPr="0055129A">
        <w:rPr>
          <w:rFonts w:ascii="Times New Roman" w:hAnsi="Times New Roman" w:cs="Times New Roman"/>
          <w:sz w:val="24"/>
          <w:szCs w:val="24"/>
        </w:rPr>
        <w:t>rebirth.Hinduism</w:t>
      </w:r>
      <w:proofErr w:type="spellEnd"/>
      <w:proofErr w:type="gramEnd"/>
      <w:r w:rsidRPr="0055129A">
        <w:rPr>
          <w:rFonts w:ascii="Times New Roman" w:hAnsi="Times New Roman" w:cs="Times New Roman"/>
          <w:sz w:val="24"/>
          <w:szCs w:val="24"/>
        </w:rPr>
        <w:t xml:space="preserve"> views death as the soul's departure from the body to embark on a new cycle of life. Therefore, Hinduism doesn't necessarily condemn self-choice in specific situations. Stories of figures like Lord Rama, Lakshmana, and Lord Mahavir illustrate instances like Jal Samadhi and seeking death. </w:t>
      </w:r>
      <w:proofErr w:type="spellStart"/>
      <w:r w:rsidRPr="0055129A">
        <w:rPr>
          <w:rFonts w:ascii="Times New Roman" w:hAnsi="Times New Roman" w:cs="Times New Roman"/>
          <w:sz w:val="24"/>
          <w:szCs w:val="24"/>
        </w:rPr>
        <w:t>Prayopavesa</w:t>
      </w:r>
      <w:proofErr w:type="spellEnd"/>
      <w:r w:rsidRPr="0055129A">
        <w:rPr>
          <w:rFonts w:ascii="Times New Roman" w:hAnsi="Times New Roman" w:cs="Times New Roman"/>
          <w:sz w:val="24"/>
          <w:szCs w:val="24"/>
        </w:rPr>
        <w:t xml:space="preserve">, fasting unto death, was practiced by Hindu leader </w:t>
      </w:r>
      <w:proofErr w:type="spellStart"/>
      <w:r w:rsidRPr="0055129A">
        <w:rPr>
          <w:rFonts w:ascii="Times New Roman" w:hAnsi="Times New Roman" w:cs="Times New Roman"/>
          <w:sz w:val="24"/>
          <w:szCs w:val="24"/>
        </w:rPr>
        <w:t>Satguru</w:t>
      </w:r>
      <w:proofErr w:type="spellEnd"/>
      <w:r w:rsidRPr="0055129A">
        <w:rPr>
          <w:rFonts w:ascii="Times New Roman" w:hAnsi="Times New Roman" w:cs="Times New Roman"/>
          <w:sz w:val="24"/>
          <w:szCs w:val="24"/>
        </w:rPr>
        <w:t xml:space="preserve"> </w:t>
      </w:r>
      <w:proofErr w:type="spellStart"/>
      <w:r w:rsidRPr="0055129A">
        <w:rPr>
          <w:rFonts w:ascii="Times New Roman" w:hAnsi="Times New Roman" w:cs="Times New Roman"/>
          <w:sz w:val="24"/>
          <w:szCs w:val="24"/>
        </w:rPr>
        <w:t>Sivaya</w:t>
      </w:r>
      <w:proofErr w:type="spellEnd"/>
      <w:r w:rsidRPr="0055129A">
        <w:rPr>
          <w:rFonts w:ascii="Times New Roman" w:hAnsi="Times New Roman" w:cs="Times New Roman"/>
          <w:sz w:val="24"/>
          <w:szCs w:val="24"/>
        </w:rPr>
        <w:t xml:space="preserve"> </w:t>
      </w:r>
      <w:proofErr w:type="spellStart"/>
      <w:r w:rsidRPr="0055129A">
        <w:rPr>
          <w:rFonts w:ascii="Times New Roman" w:hAnsi="Times New Roman" w:cs="Times New Roman"/>
          <w:sz w:val="24"/>
          <w:szCs w:val="24"/>
        </w:rPr>
        <w:t>Subramuniyaswami</w:t>
      </w:r>
      <w:proofErr w:type="spellEnd"/>
      <w:r w:rsidRPr="0055129A">
        <w:rPr>
          <w:rFonts w:ascii="Times New Roman" w:hAnsi="Times New Roman" w:cs="Times New Roman"/>
          <w:sz w:val="24"/>
          <w:szCs w:val="24"/>
        </w:rPr>
        <w:t xml:space="preserve"> in 2001, within certain limitations.</w:t>
      </w:r>
      <w:r>
        <w:rPr>
          <w:rFonts w:ascii="Times New Roman" w:hAnsi="Times New Roman" w:cs="Times New Roman"/>
          <w:sz w:val="24"/>
          <w:szCs w:val="24"/>
        </w:rPr>
        <w:t xml:space="preserve"> </w:t>
      </w:r>
      <w:r w:rsidRPr="0055129A">
        <w:rPr>
          <w:rFonts w:ascii="Times New Roman" w:hAnsi="Times New Roman" w:cs="Times New Roman"/>
          <w:sz w:val="24"/>
          <w:szCs w:val="24"/>
        </w:rPr>
        <w:t>According to Hindu beliefs, one may pursue liberation from samsara only after fulfilling life's aims. Texts like Vedas suggest that a terminally ill person with no chance of recovery may choose death. Similarly, Buddhism, originating from Siddhartha Gautama, focuses on liberation from samsara as life's ultimate goal. Jainism, emerging around the same time, also stresses rebirth and ultimate liberation.</w:t>
      </w:r>
    </w:p>
    <w:p w14:paraId="3C86629E" w14:textId="035CFED9" w:rsidR="004309CB" w:rsidRPr="0057537D" w:rsidRDefault="004309CB" w:rsidP="004309CB">
      <w:pPr>
        <w:rPr>
          <w:rFonts w:ascii="Times New Roman" w:hAnsi="Times New Roman" w:cs="Times New Roman"/>
          <w:sz w:val="24"/>
          <w:szCs w:val="24"/>
          <w:vertAlign w:val="superscript"/>
        </w:rPr>
      </w:pPr>
      <w:r w:rsidRPr="006509F6">
        <w:rPr>
          <w:rFonts w:ascii="Times New Roman" w:hAnsi="Times New Roman" w:cs="Times New Roman"/>
          <w:sz w:val="24"/>
          <w:szCs w:val="24"/>
        </w:rPr>
        <w:t xml:space="preserve">Tibetan Buddhists, who view death as a process rather than an event, might assert that the spirit has not yet finished with the physical body. For them, </w:t>
      </w:r>
      <w:proofErr w:type="spellStart"/>
      <w:r w:rsidRPr="006509F6">
        <w:rPr>
          <w:rFonts w:ascii="Times New Roman" w:hAnsi="Times New Roman" w:cs="Times New Roman"/>
          <w:sz w:val="24"/>
          <w:szCs w:val="24"/>
        </w:rPr>
        <w:t>thukdam</w:t>
      </w:r>
      <w:proofErr w:type="spellEnd"/>
      <w:r w:rsidRPr="006509F6">
        <w:rPr>
          <w:rFonts w:ascii="Times New Roman" w:hAnsi="Times New Roman" w:cs="Times New Roman"/>
          <w:sz w:val="24"/>
          <w:szCs w:val="24"/>
        </w:rPr>
        <w:t xml:space="preserve"> begins with a “clear light” meditation that allows the mind to gradually unspool, eventually dissipating into a state of universal consciousness no longer attached to the body. Only at that time is the body free to die.</w:t>
      </w:r>
    </w:p>
    <w:p w14:paraId="014FBC78" w14:textId="77777777" w:rsidR="00860F6D" w:rsidRDefault="00860F6D" w:rsidP="00860F6D">
      <w:pPr>
        <w:rPr>
          <w:rFonts w:ascii="Times New Roman" w:hAnsi="Times New Roman" w:cs="Times New Roman"/>
          <w:b/>
          <w:bCs/>
          <w:sz w:val="24"/>
          <w:szCs w:val="24"/>
        </w:rPr>
      </w:pPr>
      <w:r w:rsidRPr="005248B1">
        <w:rPr>
          <w:rFonts w:ascii="Times New Roman" w:hAnsi="Times New Roman" w:cs="Times New Roman"/>
          <w:b/>
          <w:bCs/>
          <w:sz w:val="24"/>
          <w:szCs w:val="24"/>
        </w:rPr>
        <w:lastRenderedPageBreak/>
        <w:t>RIGHT TO DIE UNDER ARTICLE 21:</w:t>
      </w:r>
    </w:p>
    <w:p w14:paraId="5F94B847" w14:textId="21A972C5" w:rsidR="008463F6" w:rsidRDefault="008463F6" w:rsidP="00860F6D">
      <w:pPr>
        <w:rPr>
          <w:color w:val="000000"/>
          <w:sz w:val="25"/>
          <w:szCs w:val="25"/>
          <w:shd w:val="clear" w:color="auto" w:fill="FFFFFF"/>
        </w:rPr>
      </w:pPr>
      <w:r>
        <w:rPr>
          <w:rFonts w:ascii="Times New Roman" w:hAnsi="Times New Roman" w:cs="Times New Roman"/>
          <w:sz w:val="24"/>
          <w:szCs w:val="24"/>
        </w:rPr>
        <w:t xml:space="preserve">Constitution of India has given certain fundamental rights to citizens of India under part three, one of those rights is Article 21 namely, right to life. Article 21 reads as follows </w:t>
      </w:r>
      <w:r>
        <w:rPr>
          <w:color w:val="000000"/>
          <w:sz w:val="25"/>
          <w:szCs w:val="25"/>
          <w:shd w:val="clear" w:color="auto" w:fill="FFFFFF"/>
        </w:rPr>
        <w:t>Protection</w:t>
      </w:r>
      <w:r>
        <w:rPr>
          <w:color w:val="000000"/>
          <w:sz w:val="25"/>
          <w:szCs w:val="25"/>
          <w:shd w:val="clear" w:color="auto" w:fill="FFFFFF"/>
        </w:rPr>
        <w:t xml:space="preserve"> of life and personal liberty No person shall be deprived of his life or personal liberty except according to procedure established by law</w:t>
      </w:r>
      <w:r>
        <w:rPr>
          <w:color w:val="000000"/>
          <w:sz w:val="25"/>
          <w:szCs w:val="25"/>
          <w:shd w:val="clear" w:color="auto" w:fill="FFFFFF"/>
        </w:rPr>
        <w:t xml:space="preserve">. Thus, this article ensures personal liberty of an individual. </w:t>
      </w:r>
      <w:r w:rsidR="004309CB" w:rsidRPr="004309CB">
        <w:rPr>
          <w:color w:val="000000"/>
          <w:sz w:val="25"/>
          <w:szCs w:val="25"/>
          <w:shd w:val="clear" w:color="auto" w:fill="FFFFFF"/>
        </w:rPr>
        <w:t>The pivotal case of Maneka Gandhi vs. Union of India (1978)</w:t>
      </w:r>
      <w:r w:rsidR="00C06D4E">
        <w:rPr>
          <w:rStyle w:val="FootnoteReference"/>
          <w:color w:val="000000"/>
          <w:sz w:val="25"/>
          <w:szCs w:val="25"/>
          <w:shd w:val="clear" w:color="auto" w:fill="FFFFFF"/>
        </w:rPr>
        <w:footnoteReference w:id="4"/>
      </w:r>
      <w:r w:rsidR="004309CB" w:rsidRPr="004309CB">
        <w:rPr>
          <w:color w:val="000000"/>
          <w:sz w:val="25"/>
          <w:szCs w:val="25"/>
          <w:shd w:val="clear" w:color="auto" w:fill="FFFFFF"/>
        </w:rPr>
        <w:t xml:space="preserve"> altered the landscape and notably broadened the scope of the interpretation of "personal liberty" outlined in Article 21 of the Constitution of India. In this instance, the court underscored that the right to life encompasses more than mere physical existence; it encompasses the right to live with dignity. The crucial aspect of the judgment lay in the interconnection between the provisions of Articles 19, 14, and 21</w:t>
      </w:r>
      <w:r w:rsidR="004309CB">
        <w:rPr>
          <w:color w:val="000000"/>
          <w:sz w:val="25"/>
          <w:szCs w:val="25"/>
          <w:shd w:val="clear" w:color="auto" w:fill="FFFFFF"/>
        </w:rPr>
        <w:t xml:space="preserve">. </w:t>
      </w:r>
    </w:p>
    <w:p w14:paraId="5E5821BB" w14:textId="15D08DDD" w:rsidR="004309CB" w:rsidRPr="004309CB" w:rsidRDefault="004309CB" w:rsidP="004309CB">
      <w:pPr>
        <w:rPr>
          <w:rFonts w:ascii="Times New Roman" w:hAnsi="Times New Roman" w:cs="Times New Roman"/>
          <w:sz w:val="24"/>
          <w:szCs w:val="24"/>
          <w:lang w:eastAsia="en-IN"/>
        </w:rPr>
      </w:pPr>
      <w:r w:rsidRPr="004309CB">
        <w:rPr>
          <w:rFonts w:ascii="Times New Roman" w:hAnsi="Times New Roman" w:cs="Times New Roman"/>
          <w:sz w:val="24"/>
          <w:szCs w:val="24"/>
          <w:lang w:eastAsia="en-IN"/>
        </w:rPr>
        <w:t>In the case of P. Rathinam v. Union of India</w:t>
      </w:r>
      <w:r w:rsidR="00F838C9">
        <w:rPr>
          <w:rFonts w:ascii="Times New Roman" w:hAnsi="Times New Roman" w:cs="Times New Roman"/>
          <w:sz w:val="24"/>
          <w:szCs w:val="24"/>
          <w:lang w:eastAsia="en-IN"/>
        </w:rPr>
        <w:t xml:space="preserve"> </w:t>
      </w:r>
      <w:r>
        <w:rPr>
          <w:rFonts w:ascii="Times New Roman" w:hAnsi="Times New Roman" w:cs="Times New Roman"/>
          <w:sz w:val="24"/>
          <w:szCs w:val="24"/>
          <w:lang w:eastAsia="en-IN"/>
        </w:rPr>
        <w:t>(1994)</w:t>
      </w:r>
      <w:r w:rsidR="00C06D4E">
        <w:rPr>
          <w:rStyle w:val="FootnoteReference"/>
          <w:rFonts w:ascii="Times New Roman" w:hAnsi="Times New Roman" w:cs="Times New Roman"/>
          <w:sz w:val="24"/>
          <w:szCs w:val="24"/>
          <w:lang w:eastAsia="en-IN"/>
        </w:rPr>
        <w:footnoteReference w:id="5"/>
      </w:r>
      <w:r w:rsidRPr="004309CB">
        <w:rPr>
          <w:rFonts w:ascii="Times New Roman" w:hAnsi="Times New Roman" w:cs="Times New Roman"/>
          <w:sz w:val="24"/>
          <w:szCs w:val="24"/>
          <w:lang w:eastAsia="en-IN"/>
        </w:rPr>
        <w:t>, a Division Bench of the Supreme Court supported the decision of the Bombay High Court in the Maruti Sripati Dubal case, asserting that under Article 21, the right to life includes the right to die. This led to the declaration of Section 309 of the Indian Penal Code, which addresses attempts to commit suicide, as unconstitutional.</w:t>
      </w:r>
    </w:p>
    <w:p w14:paraId="3CED8528" w14:textId="2CC18C56" w:rsidR="004309CB" w:rsidRPr="004309CB" w:rsidRDefault="004309CB" w:rsidP="004309CB">
      <w:pPr>
        <w:rPr>
          <w:rFonts w:ascii="Times New Roman" w:hAnsi="Times New Roman" w:cs="Times New Roman"/>
          <w:sz w:val="24"/>
          <w:szCs w:val="24"/>
          <w:lang w:eastAsia="en-IN"/>
        </w:rPr>
      </w:pPr>
      <w:r w:rsidRPr="004309CB">
        <w:rPr>
          <w:rFonts w:ascii="Times New Roman" w:hAnsi="Times New Roman" w:cs="Times New Roman"/>
          <w:sz w:val="24"/>
          <w:szCs w:val="24"/>
          <w:lang w:eastAsia="en-IN"/>
        </w:rPr>
        <w:t>However, the matter resurfaced in the Gian Kaur v. State of Punjab</w:t>
      </w:r>
      <w:r w:rsidR="00C06D4E">
        <w:rPr>
          <w:rFonts w:ascii="Times New Roman" w:hAnsi="Times New Roman" w:cs="Times New Roman"/>
          <w:sz w:val="24"/>
          <w:szCs w:val="24"/>
          <w:lang w:eastAsia="en-IN"/>
        </w:rPr>
        <w:t xml:space="preserve"> </w:t>
      </w:r>
      <w:r>
        <w:rPr>
          <w:rFonts w:ascii="Times New Roman" w:hAnsi="Times New Roman" w:cs="Times New Roman"/>
          <w:sz w:val="24"/>
          <w:szCs w:val="24"/>
          <w:lang w:eastAsia="en-IN"/>
        </w:rPr>
        <w:t>(1996)</w:t>
      </w:r>
      <w:r w:rsidR="00725E82">
        <w:rPr>
          <w:rStyle w:val="FootnoteReference"/>
          <w:rFonts w:ascii="Times New Roman" w:hAnsi="Times New Roman" w:cs="Times New Roman"/>
          <w:sz w:val="24"/>
          <w:szCs w:val="24"/>
          <w:lang w:eastAsia="en-IN"/>
        </w:rPr>
        <w:footnoteReference w:id="6"/>
      </w:r>
      <w:r w:rsidRPr="004309CB">
        <w:rPr>
          <w:rFonts w:ascii="Times New Roman" w:hAnsi="Times New Roman" w:cs="Times New Roman"/>
          <w:sz w:val="24"/>
          <w:szCs w:val="24"/>
          <w:lang w:eastAsia="en-IN"/>
        </w:rPr>
        <w:t>. Here, a five-judge Constitutional Bench of the Supreme Court overturned the decision in P. Rathinam's case. The court held that the Right to Life under Article 21 of the Constitution does not encompass the Right to die or the Right to be killed. It emphasized that the true meaning of 'life' in Article 21 involves life with human dignity. Any element that contributes to dignified life may be included within it, but not that which terminates it. The 'Right to Die,' if it exists, is fundamentally contradictory to the Right to Life, as death conflicts with life itself.</w:t>
      </w:r>
    </w:p>
    <w:p w14:paraId="790BF474" w14:textId="77777777" w:rsidR="00FB735F" w:rsidRPr="005248B1" w:rsidRDefault="00FB735F" w:rsidP="00FB735F">
      <w:pPr>
        <w:rPr>
          <w:rFonts w:ascii="Times New Roman" w:hAnsi="Times New Roman" w:cs="Times New Roman"/>
          <w:b/>
          <w:bCs/>
          <w:sz w:val="24"/>
          <w:szCs w:val="24"/>
        </w:rPr>
      </w:pPr>
      <w:r w:rsidRPr="005248B1">
        <w:rPr>
          <w:rFonts w:ascii="Times New Roman" w:hAnsi="Times New Roman" w:cs="Times New Roman"/>
          <w:b/>
          <w:bCs/>
          <w:sz w:val="24"/>
          <w:szCs w:val="24"/>
        </w:rPr>
        <w:t>CASE LAWS:</w:t>
      </w:r>
    </w:p>
    <w:p w14:paraId="752EE1B9" w14:textId="77777777" w:rsidR="0029651C" w:rsidRDefault="00FB735F" w:rsidP="00D439A3">
      <w:pPr>
        <w:pStyle w:val="ListParagraph"/>
        <w:numPr>
          <w:ilvl w:val="0"/>
          <w:numId w:val="1"/>
        </w:numPr>
        <w:rPr>
          <w:rFonts w:ascii="Times New Roman" w:hAnsi="Times New Roman" w:cs="Times New Roman"/>
          <w:b/>
          <w:bCs/>
          <w:sz w:val="24"/>
          <w:szCs w:val="24"/>
        </w:rPr>
      </w:pPr>
      <w:r w:rsidRPr="0029651C">
        <w:rPr>
          <w:rFonts w:ascii="Times New Roman" w:hAnsi="Times New Roman" w:cs="Times New Roman"/>
          <w:b/>
          <w:bCs/>
          <w:sz w:val="24"/>
          <w:szCs w:val="24"/>
        </w:rPr>
        <w:t>Gian Kaur v Union of India</w:t>
      </w:r>
    </w:p>
    <w:p w14:paraId="7E4FAE3C" w14:textId="6C6F4211" w:rsidR="0029651C" w:rsidRDefault="0029651C" w:rsidP="0029651C">
      <w:pPr>
        <w:pStyle w:val="ListParagraph"/>
        <w:rPr>
          <w:rFonts w:ascii="Times New Roman" w:hAnsi="Times New Roman" w:cs="Times New Roman"/>
          <w:color w:val="212121"/>
          <w:sz w:val="24"/>
          <w:szCs w:val="24"/>
          <w:vertAlign w:val="superscript"/>
        </w:rPr>
      </w:pPr>
      <w:r w:rsidRPr="001C5040">
        <w:rPr>
          <w:rFonts w:ascii="Times New Roman" w:hAnsi="Times New Roman" w:cs="Times New Roman"/>
          <w:sz w:val="24"/>
          <w:szCs w:val="24"/>
        </w:rPr>
        <w:t xml:space="preserve">In this case, constitutionality of Section 306 of IPC was challenged by Gian </w:t>
      </w:r>
      <w:proofErr w:type="spellStart"/>
      <w:r w:rsidRPr="001C5040">
        <w:rPr>
          <w:rFonts w:ascii="Times New Roman" w:hAnsi="Times New Roman" w:cs="Times New Roman"/>
          <w:sz w:val="24"/>
          <w:szCs w:val="24"/>
        </w:rPr>
        <w:t>kaur</w:t>
      </w:r>
      <w:proofErr w:type="spellEnd"/>
      <w:r w:rsidRPr="001C5040">
        <w:rPr>
          <w:rFonts w:ascii="Times New Roman" w:hAnsi="Times New Roman" w:cs="Times New Roman"/>
          <w:sz w:val="24"/>
          <w:szCs w:val="24"/>
        </w:rPr>
        <w:t xml:space="preserve"> and her husband by stating that this section of IPC is violative of article 21, rather </w:t>
      </w:r>
      <w:r w:rsidR="001C5040" w:rsidRPr="001C5040">
        <w:rPr>
          <w:rFonts w:ascii="Times New Roman" w:hAnsi="Times New Roman" w:cs="Times New Roman"/>
          <w:sz w:val="24"/>
          <w:szCs w:val="24"/>
        </w:rPr>
        <w:t>right to die</w:t>
      </w:r>
      <w:r w:rsidRPr="001C5040">
        <w:rPr>
          <w:rFonts w:ascii="Times New Roman" w:hAnsi="Times New Roman" w:cs="Times New Roman"/>
          <w:sz w:val="24"/>
          <w:szCs w:val="24"/>
        </w:rPr>
        <w:t xml:space="preserve"> should be included in </w:t>
      </w:r>
      <w:r w:rsidR="001C5040" w:rsidRPr="001C5040">
        <w:rPr>
          <w:rFonts w:ascii="Times New Roman" w:hAnsi="Times New Roman" w:cs="Times New Roman"/>
          <w:sz w:val="24"/>
          <w:szCs w:val="24"/>
        </w:rPr>
        <w:t>Article</w:t>
      </w:r>
      <w:r w:rsidRPr="001C5040">
        <w:rPr>
          <w:rFonts w:ascii="Times New Roman" w:hAnsi="Times New Roman" w:cs="Times New Roman"/>
          <w:sz w:val="24"/>
          <w:szCs w:val="24"/>
        </w:rPr>
        <w:t xml:space="preserve"> 21</w:t>
      </w:r>
      <w:r w:rsidR="001C5040" w:rsidRPr="001C5040">
        <w:rPr>
          <w:rFonts w:ascii="Times New Roman" w:hAnsi="Times New Roman" w:cs="Times New Roman"/>
          <w:sz w:val="24"/>
          <w:szCs w:val="24"/>
        </w:rPr>
        <w:t xml:space="preserve"> and thus anyone assisting in enforcing this right should not be punished under Section 306. The Supreme Court reconsidered its earlier decision on suicide and held that “</w:t>
      </w:r>
      <w:r w:rsidR="001C5040" w:rsidRPr="001C5040">
        <w:rPr>
          <w:rFonts w:ascii="Times New Roman" w:hAnsi="Times New Roman" w:cs="Times New Roman"/>
          <w:color w:val="212121"/>
          <w:sz w:val="24"/>
          <w:szCs w:val="24"/>
        </w:rPr>
        <w:t>Abetment of suicide (IPC Sec 306) and attempt to suicide (IPC Sec 309) are two distinct offences, hence Section 306 can survive independent of Section 309. It has also clearly stated that a person attempts suicide in a depression, and hence he needs help, rather than punishment. Therefore, the</w:t>
      </w:r>
      <w:r w:rsidR="00C06D4E">
        <w:rPr>
          <w:rFonts w:ascii="Times New Roman" w:hAnsi="Times New Roman" w:cs="Times New Roman"/>
          <w:color w:val="212121"/>
          <w:sz w:val="24"/>
          <w:szCs w:val="24"/>
        </w:rPr>
        <w:t xml:space="preserve"> </w:t>
      </w:r>
      <w:r w:rsidR="001C5040" w:rsidRPr="001C5040">
        <w:rPr>
          <w:rFonts w:ascii="Times New Roman" w:hAnsi="Times New Roman" w:cs="Times New Roman"/>
          <w:color w:val="212121"/>
          <w:sz w:val="24"/>
          <w:szCs w:val="24"/>
        </w:rPr>
        <w:lastRenderedPageBreak/>
        <w:t>Supreme Court has recommended to Parliament to consider the feasibility of deleting Section 309 from the Indian Penal Code</w:t>
      </w:r>
      <w:r w:rsidR="001C5040" w:rsidRPr="001C5040">
        <w:rPr>
          <w:rFonts w:ascii="Times New Roman" w:hAnsi="Times New Roman" w:cs="Times New Roman"/>
          <w:color w:val="212121"/>
          <w:sz w:val="24"/>
          <w:szCs w:val="24"/>
        </w:rPr>
        <w:t>.”</w:t>
      </w:r>
    </w:p>
    <w:p w14:paraId="7068B1B4" w14:textId="77777777" w:rsidR="007B4937" w:rsidRPr="001C5040" w:rsidRDefault="007B4937" w:rsidP="0029651C">
      <w:pPr>
        <w:pStyle w:val="ListParagraph"/>
        <w:rPr>
          <w:rFonts w:ascii="Times New Roman" w:hAnsi="Times New Roman" w:cs="Times New Roman"/>
          <w:sz w:val="24"/>
          <w:szCs w:val="24"/>
          <w:vertAlign w:val="superscript"/>
        </w:rPr>
      </w:pPr>
    </w:p>
    <w:p w14:paraId="5E7BAF11" w14:textId="24915071" w:rsidR="00FB735F" w:rsidRDefault="00FB735F" w:rsidP="00D439A3">
      <w:pPr>
        <w:pStyle w:val="ListParagraph"/>
        <w:numPr>
          <w:ilvl w:val="0"/>
          <w:numId w:val="1"/>
        </w:numPr>
        <w:rPr>
          <w:rFonts w:ascii="Times New Roman" w:hAnsi="Times New Roman" w:cs="Times New Roman"/>
          <w:b/>
          <w:bCs/>
          <w:sz w:val="24"/>
          <w:szCs w:val="24"/>
        </w:rPr>
      </w:pPr>
      <w:r w:rsidRPr="0029651C">
        <w:rPr>
          <w:rFonts w:ascii="Times New Roman" w:hAnsi="Times New Roman" w:cs="Times New Roman"/>
          <w:b/>
          <w:bCs/>
          <w:sz w:val="24"/>
          <w:szCs w:val="24"/>
        </w:rPr>
        <w:t xml:space="preserve">Aruna </w:t>
      </w:r>
      <w:proofErr w:type="spellStart"/>
      <w:r w:rsidRPr="0029651C">
        <w:rPr>
          <w:rFonts w:ascii="Times New Roman" w:hAnsi="Times New Roman" w:cs="Times New Roman"/>
          <w:b/>
          <w:bCs/>
          <w:sz w:val="24"/>
          <w:szCs w:val="24"/>
        </w:rPr>
        <w:t>Shanbag</w:t>
      </w:r>
      <w:proofErr w:type="spellEnd"/>
      <w:r w:rsidRPr="0029651C">
        <w:rPr>
          <w:rFonts w:ascii="Times New Roman" w:hAnsi="Times New Roman" w:cs="Times New Roman"/>
          <w:b/>
          <w:bCs/>
          <w:sz w:val="24"/>
          <w:szCs w:val="24"/>
        </w:rPr>
        <w:t xml:space="preserve"> v Union of India</w:t>
      </w:r>
      <w:r w:rsidR="00725E82">
        <w:rPr>
          <w:rStyle w:val="FootnoteReference"/>
          <w:rFonts w:ascii="Times New Roman" w:hAnsi="Times New Roman" w:cs="Times New Roman"/>
          <w:b/>
          <w:bCs/>
          <w:sz w:val="24"/>
          <w:szCs w:val="24"/>
        </w:rPr>
        <w:footnoteReference w:id="7"/>
      </w:r>
    </w:p>
    <w:p w14:paraId="337DB8A8" w14:textId="1ABF9873" w:rsidR="00265993" w:rsidRDefault="00EA6AF8" w:rsidP="00265993">
      <w:pPr>
        <w:pStyle w:val="ListParagraph"/>
        <w:rPr>
          <w:rFonts w:ascii="Arial" w:hAnsi="Arial" w:cs="Arial"/>
          <w:color w:val="000000"/>
        </w:rPr>
      </w:pPr>
      <w:r>
        <w:rPr>
          <w:rFonts w:ascii="Times New Roman" w:hAnsi="Times New Roman" w:cs="Times New Roman"/>
          <w:sz w:val="24"/>
          <w:szCs w:val="24"/>
        </w:rPr>
        <w:t xml:space="preserve">Aruna was a nurse who was assaulted by a ward boy in the hospital basement. He strangled her by a dog chain, leading to her being in </w:t>
      </w:r>
      <w:r>
        <w:rPr>
          <w:rFonts w:ascii="Arial" w:hAnsi="Arial" w:cs="Arial"/>
          <w:color w:val="000000"/>
        </w:rPr>
        <w:t>Persistent Vegetative State (PVS) </w:t>
      </w:r>
      <w:r>
        <w:rPr>
          <w:rFonts w:ascii="Arial" w:hAnsi="Arial" w:cs="Arial"/>
          <w:color w:val="000000"/>
        </w:rPr>
        <w:t xml:space="preserve">for next 41 years and was living on mashed potatoes. Her friend working at the same hospital </w:t>
      </w:r>
      <w:r w:rsidR="00265993">
        <w:rPr>
          <w:rFonts w:ascii="Arial" w:hAnsi="Arial" w:cs="Arial"/>
          <w:color w:val="000000"/>
        </w:rPr>
        <w:t>had filed a petition before the Supreme Court asking it to direct the hospital to stop feeding the her and allow her to die peacefully. </w:t>
      </w:r>
      <w:r w:rsidR="00265993">
        <w:rPr>
          <w:rFonts w:ascii="Arial" w:hAnsi="Arial" w:cs="Arial"/>
          <w:color w:val="000000"/>
        </w:rPr>
        <w:t>This was a landmark judgment as the court allowed passive euthanasia by withdrawing her food and water supply and let her take natural course of death.</w:t>
      </w:r>
    </w:p>
    <w:p w14:paraId="1F67F11D" w14:textId="77777777" w:rsidR="00265993" w:rsidRDefault="00265993" w:rsidP="00265993">
      <w:pPr>
        <w:pStyle w:val="ListParagraph"/>
        <w:rPr>
          <w:rFonts w:ascii="Arial" w:hAnsi="Arial" w:cs="Arial"/>
          <w:color w:val="000000"/>
        </w:rPr>
      </w:pPr>
    </w:p>
    <w:p w14:paraId="49F7FC89" w14:textId="19D0D3B0" w:rsidR="00FB735F" w:rsidRDefault="00FB735F" w:rsidP="00265993">
      <w:pPr>
        <w:pStyle w:val="ListParagraph"/>
        <w:numPr>
          <w:ilvl w:val="0"/>
          <w:numId w:val="1"/>
        </w:numPr>
        <w:rPr>
          <w:rFonts w:ascii="Times New Roman" w:hAnsi="Times New Roman" w:cs="Times New Roman"/>
          <w:b/>
          <w:bCs/>
          <w:sz w:val="24"/>
          <w:szCs w:val="24"/>
        </w:rPr>
      </w:pPr>
      <w:r w:rsidRPr="005248B1">
        <w:rPr>
          <w:rFonts w:ascii="Times New Roman" w:hAnsi="Times New Roman" w:cs="Times New Roman"/>
          <w:b/>
          <w:bCs/>
          <w:sz w:val="24"/>
          <w:szCs w:val="24"/>
        </w:rPr>
        <w:t xml:space="preserve">Common Cause v Union of India </w:t>
      </w:r>
      <w:r w:rsidR="001C5040">
        <w:rPr>
          <w:rFonts w:ascii="Times New Roman" w:hAnsi="Times New Roman" w:cs="Times New Roman"/>
          <w:b/>
          <w:bCs/>
          <w:sz w:val="24"/>
          <w:szCs w:val="24"/>
        </w:rPr>
        <w:t>(2018)</w:t>
      </w:r>
      <w:r w:rsidR="00725E82">
        <w:rPr>
          <w:rStyle w:val="FootnoteReference"/>
          <w:rFonts w:ascii="Times New Roman" w:hAnsi="Times New Roman" w:cs="Times New Roman"/>
          <w:b/>
          <w:bCs/>
          <w:sz w:val="24"/>
          <w:szCs w:val="24"/>
        </w:rPr>
        <w:footnoteReference w:id="8"/>
      </w:r>
    </w:p>
    <w:p w14:paraId="5E9C68E9" w14:textId="77777777" w:rsidR="007B4937" w:rsidRDefault="007B4937" w:rsidP="007B4937">
      <w:pPr>
        <w:pStyle w:val="ListParagraph"/>
        <w:rPr>
          <w:rFonts w:ascii="Times New Roman" w:hAnsi="Times New Roman" w:cs="Times New Roman"/>
          <w:b/>
          <w:bCs/>
          <w:sz w:val="24"/>
          <w:szCs w:val="24"/>
        </w:rPr>
      </w:pPr>
    </w:p>
    <w:p w14:paraId="32CDFE35" w14:textId="6BD25CD6" w:rsidR="001C5040" w:rsidRDefault="001C5040" w:rsidP="001C5040">
      <w:pPr>
        <w:pStyle w:val="ListParagraph"/>
        <w:spacing w:line="259" w:lineRule="auto"/>
        <w:rPr>
          <w:rFonts w:ascii="Times New Roman" w:hAnsi="Times New Roman" w:cs="Times New Roman"/>
          <w:sz w:val="24"/>
          <w:szCs w:val="24"/>
          <w:lang w:val="en-US"/>
        </w:rPr>
      </w:pPr>
      <w:r w:rsidRPr="001C5040">
        <w:rPr>
          <w:rFonts w:ascii="Times New Roman" w:hAnsi="Times New Roman" w:cs="Times New Roman"/>
          <w:sz w:val="24"/>
          <w:szCs w:val="24"/>
          <w:lang w:val="en-US"/>
        </w:rPr>
        <w:t xml:space="preserve">In the year 2002, a registered society named Common Cause initiated a movement regarding grating euthanasia to terminally ill patients by writing letters to ministry of law &amp; justice, health &amp; family welfare and company as well as state governments. In 2005 they approached S.C under article 32 i.e., extensive original jurisdiction, requesting court to issue directions to central government and as an alternative they sought guidelines to regulate the same by appointing an expert committee who can analyze every aspect of this matter to decide the same. They argued that terminally ill patients should be given a right to shorten their suffering and not prolong the inevitable for a greater period of time. Thus, on march 8,2018 S.C held that right to die is a fundamental right and advanced directives to be used to regulate the procedure for the same. It was also held that right to privacy, bodily autonomy and freedom of choice are a necessity for human autonomy and dignity. In this case right to privacy of the individual with respect to bodily autonomy was held higher than state </w:t>
      </w:r>
      <w:r w:rsidRPr="001C5040">
        <w:rPr>
          <w:rFonts w:ascii="Times New Roman" w:hAnsi="Times New Roman" w:cs="Times New Roman"/>
          <w:sz w:val="24"/>
          <w:szCs w:val="24"/>
          <w:lang w:val="en-US"/>
        </w:rPr>
        <w:t>interest</w:t>
      </w:r>
      <w:r w:rsidRPr="001C5040">
        <w:rPr>
          <w:rFonts w:ascii="Times New Roman" w:hAnsi="Times New Roman" w:cs="Times New Roman"/>
          <w:sz w:val="24"/>
          <w:szCs w:val="24"/>
          <w:lang w:val="en-US"/>
        </w:rPr>
        <w:t>.</w:t>
      </w:r>
    </w:p>
    <w:p w14:paraId="4DE9A0E3" w14:textId="77777777" w:rsidR="007B4937" w:rsidRDefault="007B4937" w:rsidP="001C5040">
      <w:pPr>
        <w:pStyle w:val="ListParagraph"/>
        <w:spacing w:line="259" w:lineRule="auto"/>
        <w:rPr>
          <w:rFonts w:ascii="Times New Roman" w:hAnsi="Times New Roman" w:cs="Times New Roman"/>
          <w:sz w:val="24"/>
          <w:szCs w:val="24"/>
          <w:lang w:val="en-US"/>
        </w:rPr>
      </w:pPr>
    </w:p>
    <w:p w14:paraId="3339D0D9" w14:textId="5F65F3FD" w:rsidR="001C5040" w:rsidRDefault="001C5040" w:rsidP="001C5040">
      <w:pPr>
        <w:pStyle w:val="ListParagraph"/>
        <w:numPr>
          <w:ilvl w:val="0"/>
          <w:numId w:val="1"/>
        </w:numPr>
        <w:spacing w:line="259" w:lineRule="auto"/>
        <w:rPr>
          <w:rFonts w:ascii="Times New Roman" w:hAnsi="Times New Roman" w:cs="Times New Roman"/>
          <w:b/>
          <w:bCs/>
          <w:sz w:val="24"/>
          <w:szCs w:val="24"/>
          <w:lang w:val="en-US"/>
        </w:rPr>
      </w:pPr>
      <w:r w:rsidRPr="001C5040">
        <w:rPr>
          <w:rFonts w:ascii="Times New Roman" w:hAnsi="Times New Roman" w:cs="Times New Roman"/>
          <w:b/>
          <w:bCs/>
          <w:sz w:val="24"/>
          <w:szCs w:val="24"/>
          <w:lang w:val="en-US"/>
        </w:rPr>
        <w:t>COMMON CAUSE V UNION OF INDIA</w:t>
      </w:r>
      <w:r>
        <w:rPr>
          <w:rFonts w:ascii="Times New Roman" w:hAnsi="Times New Roman" w:cs="Times New Roman"/>
          <w:b/>
          <w:bCs/>
          <w:sz w:val="24"/>
          <w:szCs w:val="24"/>
          <w:lang w:val="en-US"/>
        </w:rPr>
        <w:t xml:space="preserve"> </w:t>
      </w:r>
      <w:r w:rsidRPr="001C5040">
        <w:rPr>
          <w:rFonts w:ascii="Times New Roman" w:hAnsi="Times New Roman" w:cs="Times New Roman"/>
          <w:b/>
          <w:bCs/>
          <w:sz w:val="24"/>
          <w:szCs w:val="24"/>
          <w:lang w:val="en-US"/>
        </w:rPr>
        <w:t>(2023)</w:t>
      </w:r>
    </w:p>
    <w:p w14:paraId="79B86FF3" w14:textId="77777777" w:rsidR="007B4937" w:rsidRDefault="007B4937" w:rsidP="007B4937">
      <w:pPr>
        <w:pStyle w:val="ListParagraph"/>
        <w:spacing w:line="259" w:lineRule="auto"/>
        <w:rPr>
          <w:rFonts w:ascii="Times New Roman" w:hAnsi="Times New Roman" w:cs="Times New Roman"/>
          <w:b/>
          <w:bCs/>
          <w:sz w:val="24"/>
          <w:szCs w:val="24"/>
          <w:lang w:val="en-US"/>
        </w:rPr>
      </w:pPr>
    </w:p>
    <w:p w14:paraId="6BEF67EA" w14:textId="77777777" w:rsidR="007B4937" w:rsidRPr="007B4937" w:rsidRDefault="007B4937" w:rsidP="007B4937">
      <w:pPr>
        <w:pStyle w:val="ListParagraph"/>
        <w:spacing w:line="259" w:lineRule="auto"/>
        <w:rPr>
          <w:rFonts w:ascii="Times New Roman" w:hAnsi="Times New Roman" w:cs="Times New Roman"/>
          <w:sz w:val="24"/>
          <w:szCs w:val="24"/>
          <w:lang w:val="en-US"/>
        </w:rPr>
      </w:pPr>
      <w:r w:rsidRPr="007B4937">
        <w:rPr>
          <w:rFonts w:ascii="Times New Roman" w:hAnsi="Times New Roman" w:cs="Times New Roman"/>
          <w:sz w:val="24"/>
          <w:szCs w:val="24"/>
          <w:lang w:val="en-US"/>
        </w:rPr>
        <w:t xml:space="preserve">Sc ordered to modify the guidelines to make this procedure less cumbersome and more inclusive. While the requirement of setting up two medical boards – one primary and another review to examine medical condition of the patient has been retained, the SC has done away with rule mandating that the district collector set up the review board. Both courts will be constituted by hospital. Review board must consist one nominee doctor and district medical officer. Sc also simplified the process of making a living will as earlier rule stipulated that a living will have to be made in the presence of two attesting witnesses and countersigned by the jurisdictional JMFC, the new order says such a will can be attested by notary or a gazette rank officer. Earlier there was no prescribed period of time for medical board to give their opinion but now </w:t>
      </w:r>
      <w:proofErr w:type="gramStart"/>
      <w:r w:rsidRPr="007B4937">
        <w:rPr>
          <w:rFonts w:ascii="Times New Roman" w:hAnsi="Times New Roman" w:cs="Times New Roman"/>
          <w:sz w:val="24"/>
          <w:szCs w:val="24"/>
          <w:lang w:val="en-US"/>
        </w:rPr>
        <w:t>The</w:t>
      </w:r>
      <w:proofErr w:type="gramEnd"/>
      <w:r w:rsidRPr="007B4937">
        <w:rPr>
          <w:rFonts w:ascii="Times New Roman" w:hAnsi="Times New Roman" w:cs="Times New Roman"/>
          <w:sz w:val="24"/>
          <w:szCs w:val="24"/>
          <w:lang w:val="en-US"/>
        </w:rPr>
        <w:t xml:space="preserve"> medical board must take decision on such cases within 48 hours. The court also </w:t>
      </w:r>
      <w:r w:rsidRPr="007B4937">
        <w:rPr>
          <w:rFonts w:ascii="Times New Roman" w:hAnsi="Times New Roman" w:cs="Times New Roman"/>
          <w:sz w:val="24"/>
          <w:szCs w:val="24"/>
          <w:lang w:val="en-US"/>
        </w:rPr>
        <w:lastRenderedPageBreak/>
        <w:t>agreed with the petition that there was no need to involve JMFC in the process of preparation of the will.</w:t>
      </w:r>
    </w:p>
    <w:p w14:paraId="3F89537D" w14:textId="77777777" w:rsidR="001C5040" w:rsidRDefault="001C5040" w:rsidP="001C5040">
      <w:pPr>
        <w:pStyle w:val="ListParagraph"/>
        <w:spacing w:line="259" w:lineRule="auto"/>
        <w:rPr>
          <w:rFonts w:ascii="Times New Roman" w:hAnsi="Times New Roman" w:cs="Times New Roman"/>
          <w:b/>
          <w:bCs/>
          <w:sz w:val="24"/>
          <w:szCs w:val="24"/>
          <w:lang w:val="en-US"/>
        </w:rPr>
      </w:pPr>
    </w:p>
    <w:p w14:paraId="24BB293A" w14:textId="77777777" w:rsidR="00061B55" w:rsidRDefault="00061B55" w:rsidP="001C5040">
      <w:pPr>
        <w:pStyle w:val="ListParagraph"/>
        <w:spacing w:line="259" w:lineRule="auto"/>
        <w:rPr>
          <w:rFonts w:ascii="Times New Roman" w:hAnsi="Times New Roman" w:cs="Times New Roman"/>
          <w:b/>
          <w:bCs/>
          <w:sz w:val="24"/>
          <w:szCs w:val="24"/>
          <w:lang w:val="en-US"/>
        </w:rPr>
      </w:pPr>
    </w:p>
    <w:p w14:paraId="3D4FEAFE" w14:textId="77777777" w:rsidR="00061B55" w:rsidRDefault="00061B55" w:rsidP="001C5040">
      <w:pPr>
        <w:pStyle w:val="ListParagraph"/>
        <w:spacing w:line="259" w:lineRule="auto"/>
        <w:rPr>
          <w:rFonts w:ascii="Times New Roman" w:hAnsi="Times New Roman" w:cs="Times New Roman"/>
          <w:b/>
          <w:bCs/>
          <w:sz w:val="24"/>
          <w:szCs w:val="24"/>
          <w:lang w:val="en-US"/>
        </w:rPr>
      </w:pPr>
    </w:p>
    <w:p w14:paraId="44AA67C2" w14:textId="77777777" w:rsidR="00061B55" w:rsidRDefault="00061B55" w:rsidP="001C5040">
      <w:pPr>
        <w:pStyle w:val="ListParagraph"/>
        <w:spacing w:line="259" w:lineRule="auto"/>
        <w:rPr>
          <w:rFonts w:ascii="Times New Roman" w:hAnsi="Times New Roman" w:cs="Times New Roman"/>
          <w:b/>
          <w:bCs/>
          <w:sz w:val="24"/>
          <w:szCs w:val="24"/>
          <w:lang w:val="en-US"/>
        </w:rPr>
      </w:pPr>
    </w:p>
    <w:p w14:paraId="44C9BDBC" w14:textId="26DCDECB" w:rsidR="00061B55" w:rsidRDefault="00061B55" w:rsidP="001C5040">
      <w:pPr>
        <w:pStyle w:val="ListParagraph"/>
        <w:spacing w:line="259" w:lineRule="auto"/>
        <w:rPr>
          <w:rFonts w:ascii="Times New Roman" w:hAnsi="Times New Roman" w:cs="Times New Roman"/>
          <w:b/>
          <w:bCs/>
          <w:sz w:val="24"/>
          <w:szCs w:val="24"/>
          <w:lang w:val="en-US"/>
        </w:rPr>
      </w:pPr>
      <w:r>
        <w:rPr>
          <w:rFonts w:ascii="Times New Roman" w:hAnsi="Times New Roman" w:cs="Times New Roman"/>
          <w:b/>
          <w:bCs/>
          <w:noProof/>
          <w:sz w:val="24"/>
          <w:szCs w:val="24"/>
          <w:lang w:val="en-US"/>
        </w:rPr>
        <w:drawing>
          <wp:inline distT="0" distB="0" distL="0" distR="0" wp14:anchorId="025BD749" wp14:editId="56177976">
            <wp:extent cx="5731510" cy="4298315"/>
            <wp:effectExtent l="0" t="0" r="2540" b="6985"/>
            <wp:docPr id="694482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482328" name="Picture 694482328"/>
                    <pic:cNvPicPr/>
                  </pic:nvPicPr>
                  <pic:blipFill>
                    <a:blip r:embed="rId8">
                      <a:extLst>
                        <a:ext uri="{28A0092B-C50C-407E-A947-70E740481C1C}">
                          <a14:useLocalDpi xmlns:a14="http://schemas.microsoft.com/office/drawing/2010/main" val="0"/>
                        </a:ext>
                      </a:extLst>
                    </a:blip>
                    <a:stretch>
                      <a:fillRect/>
                    </a:stretch>
                  </pic:blipFill>
                  <pic:spPr>
                    <a:xfrm>
                      <a:off x="0" y="0"/>
                      <a:ext cx="5731510" cy="4298315"/>
                    </a:xfrm>
                    <a:prstGeom prst="rect">
                      <a:avLst/>
                    </a:prstGeom>
                  </pic:spPr>
                </pic:pic>
              </a:graphicData>
            </a:graphic>
          </wp:inline>
        </w:drawing>
      </w:r>
    </w:p>
    <w:p w14:paraId="0444B4FB" w14:textId="4CD388D5" w:rsidR="00061B55" w:rsidRDefault="00061B55" w:rsidP="001C5040">
      <w:pPr>
        <w:pStyle w:val="ListParagraph"/>
        <w:spacing w:line="259" w:lineRule="auto"/>
        <w:rPr>
          <w:rFonts w:ascii="Times New Roman" w:hAnsi="Times New Roman" w:cs="Times New Roman"/>
          <w:b/>
          <w:bCs/>
          <w:sz w:val="24"/>
          <w:szCs w:val="24"/>
          <w:lang w:val="en-US"/>
        </w:rPr>
      </w:pPr>
    </w:p>
    <w:p w14:paraId="50D263B5" w14:textId="77777777" w:rsidR="00061B55" w:rsidRDefault="00061B55" w:rsidP="001C5040">
      <w:pPr>
        <w:pStyle w:val="ListParagraph"/>
        <w:spacing w:line="259" w:lineRule="auto"/>
        <w:rPr>
          <w:rFonts w:ascii="Times New Roman" w:hAnsi="Times New Roman" w:cs="Times New Roman"/>
          <w:b/>
          <w:bCs/>
          <w:sz w:val="24"/>
          <w:szCs w:val="24"/>
          <w:lang w:val="en-US"/>
        </w:rPr>
      </w:pPr>
    </w:p>
    <w:p w14:paraId="0D924122" w14:textId="2D99E34E" w:rsidR="00061B55" w:rsidRPr="001C5040" w:rsidRDefault="00061B55" w:rsidP="001C5040">
      <w:pPr>
        <w:pStyle w:val="ListParagraph"/>
        <w:spacing w:line="259" w:lineRule="auto"/>
        <w:rPr>
          <w:rFonts w:ascii="Times New Roman" w:hAnsi="Times New Roman" w:cs="Times New Roman"/>
          <w:b/>
          <w:bCs/>
          <w:sz w:val="24"/>
          <w:szCs w:val="24"/>
          <w:lang w:val="en-US"/>
        </w:rPr>
      </w:pPr>
    </w:p>
    <w:p w14:paraId="72CCB879" w14:textId="77777777" w:rsidR="001C5040" w:rsidRPr="001C5040" w:rsidRDefault="001C5040" w:rsidP="001C5040">
      <w:pPr>
        <w:pStyle w:val="ListParagraph"/>
        <w:rPr>
          <w:rFonts w:ascii="Times New Roman" w:hAnsi="Times New Roman" w:cs="Times New Roman"/>
          <w:b/>
          <w:bCs/>
          <w:sz w:val="24"/>
          <w:szCs w:val="24"/>
        </w:rPr>
      </w:pPr>
    </w:p>
    <w:p w14:paraId="0DC53BCF" w14:textId="77777777" w:rsidR="001C5040" w:rsidRPr="001C5040" w:rsidRDefault="001C5040" w:rsidP="001C5040">
      <w:pPr>
        <w:pStyle w:val="ListParagraph"/>
        <w:rPr>
          <w:rFonts w:ascii="Times New Roman" w:hAnsi="Times New Roman" w:cs="Times New Roman"/>
          <w:b/>
          <w:bCs/>
          <w:sz w:val="24"/>
          <w:szCs w:val="24"/>
        </w:rPr>
      </w:pPr>
    </w:p>
    <w:p w14:paraId="3D3E67B6" w14:textId="77777777" w:rsidR="00861CEB" w:rsidRPr="005248B1" w:rsidRDefault="00861CEB" w:rsidP="00860F6D">
      <w:pPr>
        <w:rPr>
          <w:rFonts w:ascii="Times New Roman" w:hAnsi="Times New Roman" w:cs="Times New Roman"/>
          <w:b/>
          <w:bCs/>
          <w:sz w:val="24"/>
          <w:szCs w:val="24"/>
        </w:rPr>
      </w:pPr>
    </w:p>
    <w:sectPr w:rsidR="00861CEB" w:rsidRPr="005248B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C36397" w14:textId="77777777" w:rsidR="00781424" w:rsidRDefault="00781424" w:rsidP="00F838C9">
      <w:pPr>
        <w:spacing w:after="0" w:line="240" w:lineRule="auto"/>
      </w:pPr>
      <w:r>
        <w:separator/>
      </w:r>
    </w:p>
  </w:endnote>
  <w:endnote w:type="continuationSeparator" w:id="0">
    <w:p w14:paraId="7C455242" w14:textId="77777777" w:rsidR="00781424" w:rsidRDefault="00781424" w:rsidP="00F838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0633F" w14:textId="77777777" w:rsidR="00781424" w:rsidRDefault="00781424" w:rsidP="00F838C9">
      <w:pPr>
        <w:spacing w:after="0" w:line="240" w:lineRule="auto"/>
      </w:pPr>
      <w:r>
        <w:separator/>
      </w:r>
    </w:p>
  </w:footnote>
  <w:footnote w:type="continuationSeparator" w:id="0">
    <w:p w14:paraId="4DA38310" w14:textId="77777777" w:rsidR="00781424" w:rsidRDefault="00781424" w:rsidP="00F838C9">
      <w:pPr>
        <w:spacing w:after="0" w:line="240" w:lineRule="auto"/>
      </w:pPr>
      <w:r>
        <w:continuationSeparator/>
      </w:r>
    </w:p>
  </w:footnote>
  <w:footnote w:id="1">
    <w:p w14:paraId="2159FC95" w14:textId="5EE4AFD2" w:rsidR="007C787B" w:rsidRPr="007C787B" w:rsidRDefault="007C787B">
      <w:pPr>
        <w:pStyle w:val="FootnoteText"/>
        <w:rPr>
          <w:lang w:val="en-US"/>
        </w:rPr>
      </w:pPr>
      <w:r>
        <w:rPr>
          <w:rStyle w:val="FootnoteReference"/>
        </w:rPr>
        <w:footnoteRef/>
      </w:r>
      <w:r>
        <w:t xml:space="preserve"> </w:t>
      </w:r>
      <w:r>
        <w:rPr>
          <w:i/>
          <w:iCs/>
        </w:rPr>
        <w:t xml:space="preserve">Euthanasia, </w:t>
      </w:r>
      <w:r>
        <w:t>Black’s Law Dictionary,2</w:t>
      </w:r>
      <w:r w:rsidRPr="007C787B">
        <w:rPr>
          <w:vertAlign w:val="superscript"/>
        </w:rPr>
        <w:t>nd</w:t>
      </w:r>
      <w:r>
        <w:t xml:space="preserve"> Edition. </w:t>
      </w:r>
    </w:p>
  </w:footnote>
  <w:footnote w:id="2">
    <w:p w14:paraId="1DC7BDDC" w14:textId="2297CEF2" w:rsidR="007C787B" w:rsidRPr="007C787B" w:rsidRDefault="007C787B">
      <w:pPr>
        <w:pStyle w:val="FootnoteText"/>
        <w:rPr>
          <w:lang w:val="en-US"/>
        </w:rPr>
      </w:pPr>
    </w:p>
  </w:footnote>
  <w:footnote w:id="3">
    <w:p w14:paraId="551C16CD" w14:textId="69CC524A" w:rsidR="00E870DC" w:rsidRPr="00E870DC" w:rsidRDefault="00E870DC">
      <w:pPr>
        <w:pStyle w:val="FootnoteText"/>
        <w:rPr>
          <w:lang w:val="en-US"/>
        </w:rPr>
      </w:pPr>
      <w:r>
        <w:rPr>
          <w:lang w:val="en-US"/>
        </w:rPr>
        <w:t>2. Lisa Hanel, Assisted suicide: Germany weighs autonomy and ethics, Made for Minds,</w:t>
      </w:r>
      <w:r w:rsidR="0057537D">
        <w:rPr>
          <w:lang w:val="en-US"/>
        </w:rPr>
        <w:t xml:space="preserve"> (Nov. 20, 2023,09:29pm)</w:t>
      </w:r>
    </w:p>
  </w:footnote>
  <w:footnote w:id="4">
    <w:p w14:paraId="7CA4C249" w14:textId="390260D7" w:rsidR="00C06D4E" w:rsidRPr="00C06D4E" w:rsidRDefault="00C06D4E">
      <w:pPr>
        <w:pStyle w:val="FootnoteText"/>
        <w:rPr>
          <w:lang w:val="en-US"/>
        </w:rPr>
      </w:pPr>
      <w:r>
        <w:rPr>
          <w:rStyle w:val="FootnoteReference"/>
        </w:rPr>
        <w:footnoteRef/>
      </w:r>
      <w:r>
        <w:t xml:space="preserve"> </w:t>
      </w:r>
      <w:r>
        <w:rPr>
          <w:lang w:val="en-US"/>
        </w:rPr>
        <w:t>Maneka Gandhi v Union of India,</w:t>
      </w:r>
      <w:r w:rsidR="00725E82">
        <w:rPr>
          <w:lang w:val="en-US"/>
        </w:rPr>
        <w:t xml:space="preserve"> </w:t>
      </w:r>
      <w:r>
        <w:rPr>
          <w:lang w:val="en-US"/>
        </w:rPr>
        <w:t>[ AIR 1978 SC 597]</w:t>
      </w:r>
    </w:p>
  </w:footnote>
  <w:footnote w:id="5">
    <w:p w14:paraId="7CDF1B77" w14:textId="774AD934" w:rsidR="00C06D4E" w:rsidRPr="00C06D4E" w:rsidRDefault="00C06D4E">
      <w:pPr>
        <w:pStyle w:val="FootnoteText"/>
        <w:rPr>
          <w:lang w:val="en-US"/>
        </w:rPr>
      </w:pPr>
      <w:r>
        <w:rPr>
          <w:rStyle w:val="FootnoteReference"/>
        </w:rPr>
        <w:footnoteRef/>
      </w:r>
      <w:r>
        <w:t xml:space="preserve"> </w:t>
      </w:r>
      <w:r w:rsidR="00725E82" w:rsidRPr="00725E82">
        <w:t>P. Rathinam v. Union of India, (1994) 3 SCC 394</w:t>
      </w:r>
    </w:p>
  </w:footnote>
  <w:footnote w:id="6">
    <w:p w14:paraId="18319CFB" w14:textId="7FB79E62" w:rsidR="00725E82" w:rsidRPr="00725E82" w:rsidRDefault="00725E82">
      <w:pPr>
        <w:pStyle w:val="FootnoteText"/>
        <w:rPr>
          <w:lang w:val="en-US"/>
        </w:rPr>
      </w:pPr>
      <w:r>
        <w:rPr>
          <w:rStyle w:val="FootnoteReference"/>
        </w:rPr>
        <w:footnoteRef/>
      </w:r>
      <w:r>
        <w:t xml:space="preserve"> </w:t>
      </w:r>
      <w:r w:rsidRPr="00725E82">
        <w:t>Gian Kaur v. State of Punjab, (1996) 2 SCC 648</w:t>
      </w:r>
    </w:p>
  </w:footnote>
  <w:footnote w:id="7">
    <w:p w14:paraId="75C7D2AB" w14:textId="2B489034" w:rsidR="00725E82" w:rsidRPr="00725E82" w:rsidRDefault="00725E82">
      <w:pPr>
        <w:pStyle w:val="FootnoteText"/>
        <w:rPr>
          <w:lang w:val="en-US"/>
        </w:rPr>
      </w:pPr>
      <w:r>
        <w:rPr>
          <w:rStyle w:val="FootnoteReference"/>
        </w:rPr>
        <w:footnoteRef/>
      </w:r>
      <w:r>
        <w:rPr>
          <w:lang w:val="en-US"/>
        </w:rPr>
        <w:t xml:space="preserve"> </w:t>
      </w:r>
      <w:r w:rsidRPr="00725E82">
        <w:rPr>
          <w:lang w:val="en-US"/>
        </w:rPr>
        <w:t>Aruna Ramachandra Shanbaug v. Union of India, (2011) 4 SCC 454</w:t>
      </w:r>
    </w:p>
  </w:footnote>
  <w:footnote w:id="8">
    <w:p w14:paraId="7B55D4A3" w14:textId="1A7ADA65" w:rsidR="00725E82" w:rsidRPr="00725E82" w:rsidRDefault="00725E82">
      <w:pPr>
        <w:pStyle w:val="FootnoteText"/>
        <w:rPr>
          <w:lang w:val="en-US"/>
        </w:rPr>
      </w:pPr>
      <w:r>
        <w:rPr>
          <w:rStyle w:val="FootnoteReference"/>
        </w:rPr>
        <w:footnoteRef/>
      </w:r>
      <w:r>
        <w:t xml:space="preserve"> </w:t>
      </w:r>
      <w:r w:rsidRPr="00725E82">
        <w:t>Common Cause v. Union of India, (2018) 5 SCC 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96F5A"/>
    <w:multiLevelType w:val="hybridMultilevel"/>
    <w:tmpl w:val="C9F8C4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7F128BE"/>
    <w:multiLevelType w:val="multilevel"/>
    <w:tmpl w:val="7CC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A927AA"/>
    <w:multiLevelType w:val="hybridMultilevel"/>
    <w:tmpl w:val="F0C42D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3AA38BD"/>
    <w:multiLevelType w:val="hybridMultilevel"/>
    <w:tmpl w:val="E19A6F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A657F81"/>
    <w:multiLevelType w:val="hybridMultilevel"/>
    <w:tmpl w:val="4D2E35A2"/>
    <w:lvl w:ilvl="0" w:tplc="DEFCFE6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4F7F0BFB"/>
    <w:multiLevelType w:val="hybridMultilevel"/>
    <w:tmpl w:val="A8623E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56426FB2"/>
    <w:multiLevelType w:val="hybridMultilevel"/>
    <w:tmpl w:val="8370BE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592C3842"/>
    <w:multiLevelType w:val="hybridMultilevel"/>
    <w:tmpl w:val="0720A56C"/>
    <w:lvl w:ilvl="0" w:tplc="DEFCFE60">
      <w:start w:val="1"/>
      <w:numFmt w:val="decimal"/>
      <w:lvlText w:val="%1."/>
      <w:lvlJc w:val="left"/>
      <w:pPr>
        <w:ind w:left="180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8" w15:restartNumberingAfterBreak="0">
    <w:nsid w:val="6D8F552B"/>
    <w:multiLevelType w:val="hybridMultilevel"/>
    <w:tmpl w:val="36445FC8"/>
    <w:lvl w:ilvl="0" w:tplc="15C20C6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15:restartNumberingAfterBreak="0">
    <w:nsid w:val="6F2C3000"/>
    <w:multiLevelType w:val="hybridMultilevel"/>
    <w:tmpl w:val="8812A2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7CF815B4"/>
    <w:multiLevelType w:val="hybridMultilevel"/>
    <w:tmpl w:val="32FEBE2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873465789">
    <w:abstractNumId w:val="2"/>
  </w:num>
  <w:num w:numId="2" w16cid:durableId="55326278">
    <w:abstractNumId w:val="5"/>
  </w:num>
  <w:num w:numId="3" w16cid:durableId="1994413080">
    <w:abstractNumId w:val="6"/>
  </w:num>
  <w:num w:numId="4" w16cid:durableId="2060352159">
    <w:abstractNumId w:val="9"/>
  </w:num>
  <w:num w:numId="5" w16cid:durableId="287510953">
    <w:abstractNumId w:val="1"/>
  </w:num>
  <w:num w:numId="6" w16cid:durableId="1446535821">
    <w:abstractNumId w:val="8"/>
  </w:num>
  <w:num w:numId="7" w16cid:durableId="306516671">
    <w:abstractNumId w:val="4"/>
  </w:num>
  <w:num w:numId="8" w16cid:durableId="1945575477">
    <w:abstractNumId w:val="7"/>
  </w:num>
  <w:num w:numId="9" w16cid:durableId="430395957">
    <w:abstractNumId w:val="0"/>
  </w:num>
  <w:num w:numId="10" w16cid:durableId="1593734836">
    <w:abstractNumId w:val="3"/>
  </w:num>
  <w:num w:numId="11" w16cid:durableId="136389529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E3D"/>
    <w:rsid w:val="00061B55"/>
    <w:rsid w:val="00094777"/>
    <w:rsid w:val="000C0070"/>
    <w:rsid w:val="000D1DAB"/>
    <w:rsid w:val="000D5564"/>
    <w:rsid w:val="000E2776"/>
    <w:rsid w:val="000E6FA1"/>
    <w:rsid w:val="000F6331"/>
    <w:rsid w:val="0019751D"/>
    <w:rsid w:val="001C5040"/>
    <w:rsid w:val="00233E3D"/>
    <w:rsid w:val="00265993"/>
    <w:rsid w:val="0029651C"/>
    <w:rsid w:val="002A5DCC"/>
    <w:rsid w:val="003D0B8B"/>
    <w:rsid w:val="003D3863"/>
    <w:rsid w:val="004309CB"/>
    <w:rsid w:val="00434C57"/>
    <w:rsid w:val="00497F4F"/>
    <w:rsid w:val="004E07B7"/>
    <w:rsid w:val="005248B1"/>
    <w:rsid w:val="00545A0C"/>
    <w:rsid w:val="0055129A"/>
    <w:rsid w:val="0057537D"/>
    <w:rsid w:val="006509F6"/>
    <w:rsid w:val="00694C33"/>
    <w:rsid w:val="006B02C2"/>
    <w:rsid w:val="00725E82"/>
    <w:rsid w:val="00781424"/>
    <w:rsid w:val="00793099"/>
    <w:rsid w:val="007B4937"/>
    <w:rsid w:val="007C787B"/>
    <w:rsid w:val="008463F6"/>
    <w:rsid w:val="00860F6D"/>
    <w:rsid w:val="0086142A"/>
    <w:rsid w:val="00861CEB"/>
    <w:rsid w:val="008C5793"/>
    <w:rsid w:val="009B1979"/>
    <w:rsid w:val="009B7FA6"/>
    <w:rsid w:val="00A14717"/>
    <w:rsid w:val="00BC44C2"/>
    <w:rsid w:val="00BC7EF3"/>
    <w:rsid w:val="00BD1CBB"/>
    <w:rsid w:val="00C06D4E"/>
    <w:rsid w:val="00C764B5"/>
    <w:rsid w:val="00C92F5A"/>
    <w:rsid w:val="00D25296"/>
    <w:rsid w:val="00D26483"/>
    <w:rsid w:val="00D55270"/>
    <w:rsid w:val="00DC20D0"/>
    <w:rsid w:val="00DE6529"/>
    <w:rsid w:val="00DF212E"/>
    <w:rsid w:val="00E10324"/>
    <w:rsid w:val="00E45ECE"/>
    <w:rsid w:val="00E870DC"/>
    <w:rsid w:val="00EA6AF8"/>
    <w:rsid w:val="00F10F39"/>
    <w:rsid w:val="00F335C1"/>
    <w:rsid w:val="00F60880"/>
    <w:rsid w:val="00F838C9"/>
    <w:rsid w:val="00FB735F"/>
    <w:rsid w:val="00FD399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81AFC"/>
  <w15:chartTrackingRefBased/>
  <w15:docId w15:val="{B6D36B0E-9B79-4485-BD73-10FE19E26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IN"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3E3D"/>
  </w:style>
  <w:style w:type="paragraph" w:styleId="Heading1">
    <w:name w:val="heading 1"/>
    <w:basedOn w:val="Normal"/>
    <w:next w:val="Normal"/>
    <w:link w:val="Heading1Char"/>
    <w:uiPriority w:val="9"/>
    <w:qFormat/>
    <w:rsid w:val="00233E3D"/>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33E3D"/>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233E3D"/>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233E3D"/>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233E3D"/>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233E3D"/>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233E3D"/>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233E3D"/>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233E3D"/>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33E3D"/>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233E3D"/>
    <w:rPr>
      <w:rFonts w:asciiTheme="majorHAnsi" w:eastAsiaTheme="majorEastAsia" w:hAnsiTheme="majorHAnsi" w:cstheme="majorBidi"/>
      <w:caps/>
      <w:color w:val="44546A" w:themeColor="text2"/>
      <w:spacing w:val="30"/>
      <w:sz w:val="72"/>
      <w:szCs w:val="72"/>
    </w:rPr>
  </w:style>
  <w:style w:type="character" w:customStyle="1" w:styleId="Heading1Char">
    <w:name w:val="Heading 1 Char"/>
    <w:basedOn w:val="DefaultParagraphFont"/>
    <w:link w:val="Heading1"/>
    <w:uiPriority w:val="9"/>
    <w:rsid w:val="00233E3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33E3D"/>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233E3D"/>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233E3D"/>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233E3D"/>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233E3D"/>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233E3D"/>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233E3D"/>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233E3D"/>
    <w:rPr>
      <w:b/>
      <w:bCs/>
      <w:i/>
      <w:iCs/>
    </w:rPr>
  </w:style>
  <w:style w:type="paragraph" w:styleId="Caption">
    <w:name w:val="caption"/>
    <w:basedOn w:val="Normal"/>
    <w:next w:val="Normal"/>
    <w:uiPriority w:val="35"/>
    <w:semiHidden/>
    <w:unhideWhenUsed/>
    <w:qFormat/>
    <w:rsid w:val="00233E3D"/>
    <w:pPr>
      <w:spacing w:line="240" w:lineRule="auto"/>
    </w:pPr>
    <w:rPr>
      <w:b/>
      <w:bCs/>
      <w:color w:val="404040" w:themeColor="text1" w:themeTint="BF"/>
      <w:sz w:val="16"/>
      <w:szCs w:val="16"/>
    </w:rPr>
  </w:style>
  <w:style w:type="paragraph" w:styleId="Subtitle">
    <w:name w:val="Subtitle"/>
    <w:basedOn w:val="Normal"/>
    <w:next w:val="Normal"/>
    <w:link w:val="SubtitleChar"/>
    <w:uiPriority w:val="11"/>
    <w:qFormat/>
    <w:rsid w:val="00233E3D"/>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233E3D"/>
    <w:rPr>
      <w:color w:val="44546A" w:themeColor="text2"/>
      <w:sz w:val="28"/>
      <w:szCs w:val="28"/>
    </w:rPr>
  </w:style>
  <w:style w:type="character" w:styleId="Strong">
    <w:name w:val="Strong"/>
    <w:basedOn w:val="DefaultParagraphFont"/>
    <w:uiPriority w:val="22"/>
    <w:qFormat/>
    <w:rsid w:val="00233E3D"/>
    <w:rPr>
      <w:b/>
      <w:bCs/>
    </w:rPr>
  </w:style>
  <w:style w:type="character" w:styleId="Emphasis">
    <w:name w:val="Emphasis"/>
    <w:basedOn w:val="DefaultParagraphFont"/>
    <w:uiPriority w:val="20"/>
    <w:qFormat/>
    <w:rsid w:val="00233E3D"/>
    <w:rPr>
      <w:i/>
      <w:iCs/>
      <w:color w:val="000000" w:themeColor="text1"/>
    </w:rPr>
  </w:style>
  <w:style w:type="paragraph" w:styleId="NoSpacing">
    <w:name w:val="No Spacing"/>
    <w:uiPriority w:val="1"/>
    <w:qFormat/>
    <w:rsid w:val="00233E3D"/>
    <w:pPr>
      <w:spacing w:after="0" w:line="240" w:lineRule="auto"/>
    </w:pPr>
  </w:style>
  <w:style w:type="paragraph" w:styleId="Quote">
    <w:name w:val="Quote"/>
    <w:basedOn w:val="Normal"/>
    <w:next w:val="Normal"/>
    <w:link w:val="QuoteChar"/>
    <w:uiPriority w:val="29"/>
    <w:qFormat/>
    <w:rsid w:val="00233E3D"/>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233E3D"/>
    <w:rPr>
      <w:i/>
      <w:iCs/>
      <w:color w:val="7B7B7B" w:themeColor="accent3" w:themeShade="BF"/>
      <w:sz w:val="24"/>
      <w:szCs w:val="24"/>
    </w:rPr>
  </w:style>
  <w:style w:type="paragraph" w:styleId="IntenseQuote">
    <w:name w:val="Intense Quote"/>
    <w:basedOn w:val="Normal"/>
    <w:next w:val="Normal"/>
    <w:link w:val="IntenseQuoteChar"/>
    <w:uiPriority w:val="30"/>
    <w:qFormat/>
    <w:rsid w:val="00233E3D"/>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233E3D"/>
    <w:rPr>
      <w:rFonts w:asciiTheme="majorHAnsi" w:eastAsiaTheme="majorEastAsia" w:hAnsiTheme="majorHAnsi" w:cstheme="majorBidi"/>
      <w:caps/>
      <w:color w:val="2F5496" w:themeColor="accent1" w:themeShade="BF"/>
      <w:sz w:val="28"/>
      <w:szCs w:val="28"/>
    </w:rPr>
  </w:style>
  <w:style w:type="character" w:styleId="SubtleEmphasis">
    <w:name w:val="Subtle Emphasis"/>
    <w:basedOn w:val="DefaultParagraphFont"/>
    <w:uiPriority w:val="19"/>
    <w:qFormat/>
    <w:rsid w:val="00233E3D"/>
    <w:rPr>
      <w:i/>
      <w:iCs/>
      <w:color w:val="595959" w:themeColor="text1" w:themeTint="A6"/>
    </w:rPr>
  </w:style>
  <w:style w:type="character" w:styleId="IntenseEmphasis">
    <w:name w:val="Intense Emphasis"/>
    <w:basedOn w:val="DefaultParagraphFont"/>
    <w:uiPriority w:val="21"/>
    <w:qFormat/>
    <w:rsid w:val="00233E3D"/>
    <w:rPr>
      <w:b/>
      <w:bCs/>
      <w:i/>
      <w:iCs/>
      <w:color w:val="auto"/>
    </w:rPr>
  </w:style>
  <w:style w:type="character" w:styleId="SubtleReference">
    <w:name w:val="Subtle Reference"/>
    <w:basedOn w:val="DefaultParagraphFont"/>
    <w:uiPriority w:val="31"/>
    <w:qFormat/>
    <w:rsid w:val="00233E3D"/>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233E3D"/>
    <w:rPr>
      <w:b/>
      <w:bCs/>
      <w:caps w:val="0"/>
      <w:smallCaps/>
      <w:color w:val="auto"/>
      <w:spacing w:val="0"/>
      <w:u w:val="single"/>
    </w:rPr>
  </w:style>
  <w:style w:type="character" w:styleId="BookTitle">
    <w:name w:val="Book Title"/>
    <w:basedOn w:val="DefaultParagraphFont"/>
    <w:uiPriority w:val="33"/>
    <w:qFormat/>
    <w:rsid w:val="00233E3D"/>
    <w:rPr>
      <w:b/>
      <w:bCs/>
      <w:caps w:val="0"/>
      <w:smallCaps/>
      <w:spacing w:val="0"/>
    </w:rPr>
  </w:style>
  <w:style w:type="paragraph" w:styleId="TOCHeading">
    <w:name w:val="TOC Heading"/>
    <w:basedOn w:val="Heading1"/>
    <w:next w:val="Normal"/>
    <w:uiPriority w:val="39"/>
    <w:semiHidden/>
    <w:unhideWhenUsed/>
    <w:qFormat/>
    <w:rsid w:val="00233E3D"/>
    <w:pPr>
      <w:outlineLvl w:val="9"/>
    </w:pPr>
  </w:style>
  <w:style w:type="paragraph" w:styleId="ListParagraph">
    <w:name w:val="List Paragraph"/>
    <w:basedOn w:val="Normal"/>
    <w:uiPriority w:val="34"/>
    <w:qFormat/>
    <w:rsid w:val="00861CEB"/>
    <w:pPr>
      <w:ind w:left="720"/>
      <w:contextualSpacing/>
    </w:pPr>
  </w:style>
  <w:style w:type="paragraph" w:styleId="NormalWeb">
    <w:name w:val="Normal (Web)"/>
    <w:basedOn w:val="Normal"/>
    <w:uiPriority w:val="99"/>
    <w:unhideWhenUsed/>
    <w:rsid w:val="00FD399B"/>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z-TopofForm">
    <w:name w:val="HTML Top of Form"/>
    <w:basedOn w:val="Normal"/>
    <w:next w:val="Normal"/>
    <w:link w:val="z-TopofFormChar"/>
    <w:hidden/>
    <w:uiPriority w:val="99"/>
    <w:unhideWhenUsed/>
    <w:rsid w:val="00FD399B"/>
    <w:pPr>
      <w:pBdr>
        <w:bottom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TopofFormChar">
    <w:name w:val="z-Top of Form Char"/>
    <w:basedOn w:val="DefaultParagraphFont"/>
    <w:link w:val="z-TopofForm"/>
    <w:uiPriority w:val="99"/>
    <w:rsid w:val="00FD399B"/>
    <w:rPr>
      <w:rFonts w:ascii="Arial" w:eastAsia="Times New Roman" w:hAnsi="Arial" w:cs="Arial"/>
      <w:vanish/>
      <w:sz w:val="16"/>
      <w:szCs w:val="16"/>
      <w:lang w:eastAsia="en-IN"/>
    </w:rPr>
  </w:style>
  <w:style w:type="character" w:styleId="Hyperlink">
    <w:name w:val="Hyperlink"/>
    <w:basedOn w:val="DefaultParagraphFont"/>
    <w:uiPriority w:val="99"/>
    <w:unhideWhenUsed/>
    <w:rsid w:val="00545A0C"/>
    <w:rPr>
      <w:color w:val="0000FF"/>
      <w:u w:val="single"/>
    </w:rPr>
  </w:style>
  <w:style w:type="paragraph" w:styleId="FootnoteText">
    <w:name w:val="footnote text"/>
    <w:basedOn w:val="Normal"/>
    <w:link w:val="FootnoteTextChar"/>
    <w:uiPriority w:val="99"/>
    <w:semiHidden/>
    <w:unhideWhenUsed/>
    <w:rsid w:val="00F838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838C9"/>
    <w:rPr>
      <w:sz w:val="20"/>
      <w:szCs w:val="20"/>
    </w:rPr>
  </w:style>
  <w:style w:type="character" w:styleId="FootnoteReference">
    <w:name w:val="footnote reference"/>
    <w:basedOn w:val="DefaultParagraphFont"/>
    <w:uiPriority w:val="99"/>
    <w:semiHidden/>
    <w:unhideWhenUsed/>
    <w:rsid w:val="00F838C9"/>
    <w:rPr>
      <w:vertAlign w:val="superscript"/>
    </w:rPr>
  </w:style>
  <w:style w:type="character" w:styleId="UnresolvedMention">
    <w:name w:val="Unresolved Mention"/>
    <w:basedOn w:val="DefaultParagraphFont"/>
    <w:uiPriority w:val="99"/>
    <w:semiHidden/>
    <w:unhideWhenUsed/>
    <w:rsid w:val="005753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833561">
      <w:bodyDiv w:val="1"/>
      <w:marLeft w:val="0"/>
      <w:marRight w:val="0"/>
      <w:marTop w:val="0"/>
      <w:marBottom w:val="0"/>
      <w:divBdr>
        <w:top w:val="none" w:sz="0" w:space="0" w:color="auto"/>
        <w:left w:val="none" w:sz="0" w:space="0" w:color="auto"/>
        <w:bottom w:val="none" w:sz="0" w:space="0" w:color="auto"/>
        <w:right w:val="none" w:sz="0" w:space="0" w:color="auto"/>
      </w:divBdr>
    </w:div>
    <w:div w:id="671838008">
      <w:bodyDiv w:val="1"/>
      <w:marLeft w:val="0"/>
      <w:marRight w:val="0"/>
      <w:marTop w:val="0"/>
      <w:marBottom w:val="0"/>
      <w:divBdr>
        <w:top w:val="none" w:sz="0" w:space="0" w:color="auto"/>
        <w:left w:val="none" w:sz="0" w:space="0" w:color="auto"/>
        <w:bottom w:val="none" w:sz="0" w:space="0" w:color="auto"/>
        <w:right w:val="none" w:sz="0" w:space="0" w:color="auto"/>
      </w:divBdr>
    </w:div>
    <w:div w:id="1025015735">
      <w:bodyDiv w:val="1"/>
      <w:marLeft w:val="0"/>
      <w:marRight w:val="0"/>
      <w:marTop w:val="0"/>
      <w:marBottom w:val="0"/>
      <w:divBdr>
        <w:top w:val="none" w:sz="0" w:space="0" w:color="auto"/>
        <w:left w:val="none" w:sz="0" w:space="0" w:color="auto"/>
        <w:bottom w:val="none" w:sz="0" w:space="0" w:color="auto"/>
        <w:right w:val="none" w:sz="0" w:space="0" w:color="auto"/>
      </w:divBdr>
    </w:div>
    <w:div w:id="1254582874">
      <w:bodyDiv w:val="1"/>
      <w:marLeft w:val="0"/>
      <w:marRight w:val="0"/>
      <w:marTop w:val="0"/>
      <w:marBottom w:val="0"/>
      <w:divBdr>
        <w:top w:val="none" w:sz="0" w:space="0" w:color="auto"/>
        <w:left w:val="none" w:sz="0" w:space="0" w:color="auto"/>
        <w:bottom w:val="none" w:sz="0" w:space="0" w:color="auto"/>
        <w:right w:val="none" w:sz="0" w:space="0" w:color="auto"/>
      </w:divBdr>
      <w:divsChild>
        <w:div w:id="1003161851">
          <w:marLeft w:val="0"/>
          <w:marRight w:val="0"/>
          <w:marTop w:val="0"/>
          <w:marBottom w:val="0"/>
          <w:divBdr>
            <w:top w:val="single" w:sz="2" w:space="0" w:color="D9D9E3"/>
            <w:left w:val="single" w:sz="2" w:space="0" w:color="D9D9E3"/>
            <w:bottom w:val="single" w:sz="2" w:space="0" w:color="D9D9E3"/>
            <w:right w:val="single" w:sz="2" w:space="0" w:color="D9D9E3"/>
          </w:divBdr>
          <w:divsChild>
            <w:div w:id="1463689196">
              <w:marLeft w:val="0"/>
              <w:marRight w:val="0"/>
              <w:marTop w:val="0"/>
              <w:marBottom w:val="0"/>
              <w:divBdr>
                <w:top w:val="single" w:sz="2" w:space="0" w:color="D9D9E3"/>
                <w:left w:val="single" w:sz="2" w:space="0" w:color="D9D9E3"/>
                <w:bottom w:val="single" w:sz="2" w:space="0" w:color="D9D9E3"/>
                <w:right w:val="single" w:sz="2" w:space="0" w:color="D9D9E3"/>
              </w:divBdr>
              <w:divsChild>
                <w:div w:id="104467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614362973">
      <w:bodyDiv w:val="1"/>
      <w:marLeft w:val="0"/>
      <w:marRight w:val="0"/>
      <w:marTop w:val="0"/>
      <w:marBottom w:val="0"/>
      <w:divBdr>
        <w:top w:val="none" w:sz="0" w:space="0" w:color="auto"/>
        <w:left w:val="none" w:sz="0" w:space="0" w:color="auto"/>
        <w:bottom w:val="none" w:sz="0" w:space="0" w:color="auto"/>
        <w:right w:val="none" w:sz="0" w:space="0" w:color="auto"/>
      </w:divBdr>
      <w:divsChild>
        <w:div w:id="835270225">
          <w:marLeft w:val="0"/>
          <w:marRight w:val="0"/>
          <w:marTop w:val="0"/>
          <w:marBottom w:val="0"/>
          <w:divBdr>
            <w:top w:val="single" w:sz="2" w:space="0" w:color="D9D9E3"/>
            <w:left w:val="single" w:sz="2" w:space="0" w:color="D9D9E3"/>
            <w:bottom w:val="single" w:sz="2" w:space="0" w:color="D9D9E3"/>
            <w:right w:val="single" w:sz="2" w:space="0" w:color="D9D9E3"/>
          </w:divBdr>
          <w:divsChild>
            <w:div w:id="1755518295">
              <w:marLeft w:val="0"/>
              <w:marRight w:val="0"/>
              <w:marTop w:val="0"/>
              <w:marBottom w:val="0"/>
              <w:divBdr>
                <w:top w:val="single" w:sz="2" w:space="0" w:color="D9D9E3"/>
                <w:left w:val="single" w:sz="2" w:space="0" w:color="D9D9E3"/>
                <w:bottom w:val="single" w:sz="2" w:space="0" w:color="D9D9E3"/>
                <w:right w:val="single" w:sz="2" w:space="0" w:color="D9D9E3"/>
              </w:divBdr>
              <w:divsChild>
                <w:div w:id="668561342">
                  <w:marLeft w:val="0"/>
                  <w:marRight w:val="0"/>
                  <w:marTop w:val="0"/>
                  <w:marBottom w:val="0"/>
                  <w:divBdr>
                    <w:top w:val="single" w:sz="2" w:space="0" w:color="D9D9E3"/>
                    <w:left w:val="single" w:sz="2" w:space="0" w:color="D9D9E3"/>
                    <w:bottom w:val="single" w:sz="2" w:space="0" w:color="D9D9E3"/>
                    <w:right w:val="single" w:sz="2" w:space="0" w:color="D9D9E3"/>
                  </w:divBdr>
                  <w:divsChild>
                    <w:div w:id="1726832784">
                      <w:marLeft w:val="0"/>
                      <w:marRight w:val="0"/>
                      <w:marTop w:val="0"/>
                      <w:marBottom w:val="0"/>
                      <w:divBdr>
                        <w:top w:val="single" w:sz="2" w:space="0" w:color="D9D9E3"/>
                        <w:left w:val="single" w:sz="2" w:space="0" w:color="D9D9E3"/>
                        <w:bottom w:val="single" w:sz="2" w:space="0" w:color="D9D9E3"/>
                        <w:right w:val="single" w:sz="2" w:space="0" w:color="D9D9E3"/>
                      </w:divBdr>
                      <w:divsChild>
                        <w:div w:id="995303829">
                          <w:marLeft w:val="0"/>
                          <w:marRight w:val="0"/>
                          <w:marTop w:val="0"/>
                          <w:marBottom w:val="0"/>
                          <w:divBdr>
                            <w:top w:val="none" w:sz="0" w:space="0" w:color="auto"/>
                            <w:left w:val="none" w:sz="0" w:space="0" w:color="auto"/>
                            <w:bottom w:val="none" w:sz="0" w:space="0" w:color="auto"/>
                            <w:right w:val="none" w:sz="0" w:space="0" w:color="auto"/>
                          </w:divBdr>
                          <w:divsChild>
                            <w:div w:id="139489022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5324229">
                                  <w:marLeft w:val="0"/>
                                  <w:marRight w:val="0"/>
                                  <w:marTop w:val="0"/>
                                  <w:marBottom w:val="0"/>
                                  <w:divBdr>
                                    <w:top w:val="single" w:sz="2" w:space="0" w:color="D9D9E3"/>
                                    <w:left w:val="single" w:sz="2" w:space="0" w:color="D9D9E3"/>
                                    <w:bottom w:val="single" w:sz="2" w:space="0" w:color="D9D9E3"/>
                                    <w:right w:val="single" w:sz="2" w:space="0" w:color="D9D9E3"/>
                                  </w:divBdr>
                                  <w:divsChild>
                                    <w:div w:id="252252013">
                                      <w:marLeft w:val="0"/>
                                      <w:marRight w:val="0"/>
                                      <w:marTop w:val="0"/>
                                      <w:marBottom w:val="0"/>
                                      <w:divBdr>
                                        <w:top w:val="single" w:sz="2" w:space="0" w:color="D9D9E3"/>
                                        <w:left w:val="single" w:sz="2" w:space="0" w:color="D9D9E3"/>
                                        <w:bottom w:val="single" w:sz="2" w:space="0" w:color="D9D9E3"/>
                                        <w:right w:val="single" w:sz="2" w:space="0" w:color="D9D9E3"/>
                                      </w:divBdr>
                                      <w:divsChild>
                                        <w:div w:id="1056469794">
                                          <w:marLeft w:val="0"/>
                                          <w:marRight w:val="0"/>
                                          <w:marTop w:val="0"/>
                                          <w:marBottom w:val="0"/>
                                          <w:divBdr>
                                            <w:top w:val="single" w:sz="2" w:space="0" w:color="D9D9E3"/>
                                            <w:left w:val="single" w:sz="2" w:space="0" w:color="D9D9E3"/>
                                            <w:bottom w:val="single" w:sz="2" w:space="0" w:color="D9D9E3"/>
                                            <w:right w:val="single" w:sz="2" w:space="0" w:color="D9D9E3"/>
                                          </w:divBdr>
                                          <w:divsChild>
                                            <w:div w:id="875770782">
                                              <w:marLeft w:val="0"/>
                                              <w:marRight w:val="0"/>
                                              <w:marTop w:val="0"/>
                                              <w:marBottom w:val="0"/>
                                              <w:divBdr>
                                                <w:top w:val="single" w:sz="2" w:space="0" w:color="D9D9E3"/>
                                                <w:left w:val="single" w:sz="2" w:space="0" w:color="D9D9E3"/>
                                                <w:bottom w:val="single" w:sz="2" w:space="0" w:color="D9D9E3"/>
                                                <w:right w:val="single" w:sz="2" w:space="0" w:color="D9D9E3"/>
                                              </w:divBdr>
                                              <w:divsChild>
                                                <w:div w:id="1194420753">
                                                  <w:marLeft w:val="0"/>
                                                  <w:marRight w:val="0"/>
                                                  <w:marTop w:val="0"/>
                                                  <w:marBottom w:val="0"/>
                                                  <w:divBdr>
                                                    <w:top w:val="single" w:sz="2" w:space="0" w:color="D9D9E3"/>
                                                    <w:left w:val="single" w:sz="2" w:space="0" w:color="D9D9E3"/>
                                                    <w:bottom w:val="single" w:sz="2" w:space="0" w:color="D9D9E3"/>
                                                    <w:right w:val="single" w:sz="2" w:space="0" w:color="D9D9E3"/>
                                                  </w:divBdr>
                                                  <w:divsChild>
                                                    <w:div w:id="5216673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249703426">
          <w:marLeft w:val="0"/>
          <w:marRight w:val="0"/>
          <w:marTop w:val="0"/>
          <w:marBottom w:val="0"/>
          <w:divBdr>
            <w:top w:val="none" w:sz="0" w:space="0" w:color="auto"/>
            <w:left w:val="none" w:sz="0" w:space="0" w:color="auto"/>
            <w:bottom w:val="none" w:sz="0" w:space="0" w:color="auto"/>
            <w:right w:val="none" w:sz="0" w:space="0" w:color="auto"/>
          </w:divBdr>
        </w:div>
      </w:divsChild>
    </w:div>
    <w:div w:id="1635330456">
      <w:bodyDiv w:val="1"/>
      <w:marLeft w:val="0"/>
      <w:marRight w:val="0"/>
      <w:marTop w:val="0"/>
      <w:marBottom w:val="0"/>
      <w:divBdr>
        <w:top w:val="none" w:sz="0" w:space="0" w:color="auto"/>
        <w:left w:val="none" w:sz="0" w:space="0" w:color="auto"/>
        <w:bottom w:val="none" w:sz="0" w:space="0" w:color="auto"/>
        <w:right w:val="none" w:sz="0" w:space="0" w:color="auto"/>
      </w:divBdr>
    </w:div>
    <w:div w:id="1691450695">
      <w:bodyDiv w:val="1"/>
      <w:marLeft w:val="0"/>
      <w:marRight w:val="0"/>
      <w:marTop w:val="0"/>
      <w:marBottom w:val="0"/>
      <w:divBdr>
        <w:top w:val="none" w:sz="0" w:space="0" w:color="auto"/>
        <w:left w:val="none" w:sz="0" w:space="0" w:color="auto"/>
        <w:bottom w:val="none" w:sz="0" w:space="0" w:color="auto"/>
        <w:right w:val="none" w:sz="0" w:space="0" w:color="auto"/>
      </w:divBdr>
      <w:divsChild>
        <w:div w:id="1575159248">
          <w:marLeft w:val="0"/>
          <w:marRight w:val="0"/>
          <w:marTop w:val="0"/>
          <w:marBottom w:val="0"/>
          <w:divBdr>
            <w:top w:val="single" w:sz="2" w:space="0" w:color="D9D9E3"/>
            <w:left w:val="single" w:sz="2" w:space="0" w:color="D9D9E3"/>
            <w:bottom w:val="single" w:sz="2" w:space="0" w:color="D9D9E3"/>
            <w:right w:val="single" w:sz="2" w:space="0" w:color="D9D9E3"/>
          </w:divBdr>
          <w:divsChild>
            <w:div w:id="1684432575">
              <w:marLeft w:val="0"/>
              <w:marRight w:val="0"/>
              <w:marTop w:val="0"/>
              <w:marBottom w:val="0"/>
              <w:divBdr>
                <w:top w:val="single" w:sz="2" w:space="0" w:color="D9D9E3"/>
                <w:left w:val="single" w:sz="2" w:space="0" w:color="D9D9E3"/>
                <w:bottom w:val="single" w:sz="2" w:space="0" w:color="D9D9E3"/>
                <w:right w:val="single" w:sz="2" w:space="0" w:color="D9D9E3"/>
              </w:divBdr>
              <w:divsChild>
                <w:div w:id="1617370096">
                  <w:marLeft w:val="0"/>
                  <w:marRight w:val="0"/>
                  <w:marTop w:val="0"/>
                  <w:marBottom w:val="0"/>
                  <w:divBdr>
                    <w:top w:val="single" w:sz="2" w:space="0" w:color="D9D9E3"/>
                    <w:left w:val="single" w:sz="2" w:space="0" w:color="D9D9E3"/>
                    <w:bottom w:val="single" w:sz="2" w:space="0" w:color="D9D9E3"/>
                    <w:right w:val="single" w:sz="2" w:space="0" w:color="D9D9E3"/>
                  </w:divBdr>
                  <w:divsChild>
                    <w:div w:id="228853876">
                      <w:marLeft w:val="0"/>
                      <w:marRight w:val="0"/>
                      <w:marTop w:val="0"/>
                      <w:marBottom w:val="0"/>
                      <w:divBdr>
                        <w:top w:val="single" w:sz="2" w:space="0" w:color="D9D9E3"/>
                        <w:left w:val="single" w:sz="2" w:space="0" w:color="D9D9E3"/>
                        <w:bottom w:val="single" w:sz="2" w:space="0" w:color="D9D9E3"/>
                        <w:right w:val="single" w:sz="2" w:space="0" w:color="D9D9E3"/>
                      </w:divBdr>
                      <w:divsChild>
                        <w:div w:id="411046360">
                          <w:marLeft w:val="0"/>
                          <w:marRight w:val="0"/>
                          <w:marTop w:val="0"/>
                          <w:marBottom w:val="0"/>
                          <w:divBdr>
                            <w:top w:val="none" w:sz="0" w:space="0" w:color="auto"/>
                            <w:left w:val="none" w:sz="0" w:space="0" w:color="auto"/>
                            <w:bottom w:val="none" w:sz="0" w:space="0" w:color="auto"/>
                            <w:right w:val="none" w:sz="0" w:space="0" w:color="auto"/>
                          </w:divBdr>
                          <w:divsChild>
                            <w:div w:id="1434132222">
                              <w:marLeft w:val="0"/>
                              <w:marRight w:val="0"/>
                              <w:marTop w:val="100"/>
                              <w:marBottom w:val="100"/>
                              <w:divBdr>
                                <w:top w:val="single" w:sz="2" w:space="0" w:color="D9D9E3"/>
                                <w:left w:val="single" w:sz="2" w:space="0" w:color="D9D9E3"/>
                                <w:bottom w:val="single" w:sz="2" w:space="0" w:color="D9D9E3"/>
                                <w:right w:val="single" w:sz="2" w:space="0" w:color="D9D9E3"/>
                              </w:divBdr>
                              <w:divsChild>
                                <w:div w:id="919144197">
                                  <w:marLeft w:val="0"/>
                                  <w:marRight w:val="0"/>
                                  <w:marTop w:val="0"/>
                                  <w:marBottom w:val="0"/>
                                  <w:divBdr>
                                    <w:top w:val="single" w:sz="2" w:space="0" w:color="D9D9E3"/>
                                    <w:left w:val="single" w:sz="2" w:space="0" w:color="D9D9E3"/>
                                    <w:bottom w:val="single" w:sz="2" w:space="0" w:color="D9D9E3"/>
                                    <w:right w:val="single" w:sz="2" w:space="0" w:color="D9D9E3"/>
                                  </w:divBdr>
                                  <w:divsChild>
                                    <w:div w:id="1230195188">
                                      <w:marLeft w:val="0"/>
                                      <w:marRight w:val="0"/>
                                      <w:marTop w:val="0"/>
                                      <w:marBottom w:val="0"/>
                                      <w:divBdr>
                                        <w:top w:val="single" w:sz="2" w:space="0" w:color="D9D9E3"/>
                                        <w:left w:val="single" w:sz="2" w:space="0" w:color="D9D9E3"/>
                                        <w:bottom w:val="single" w:sz="2" w:space="0" w:color="D9D9E3"/>
                                        <w:right w:val="single" w:sz="2" w:space="0" w:color="D9D9E3"/>
                                      </w:divBdr>
                                      <w:divsChild>
                                        <w:div w:id="871187005">
                                          <w:marLeft w:val="0"/>
                                          <w:marRight w:val="0"/>
                                          <w:marTop w:val="0"/>
                                          <w:marBottom w:val="0"/>
                                          <w:divBdr>
                                            <w:top w:val="single" w:sz="2" w:space="0" w:color="D9D9E3"/>
                                            <w:left w:val="single" w:sz="2" w:space="0" w:color="D9D9E3"/>
                                            <w:bottom w:val="single" w:sz="2" w:space="0" w:color="D9D9E3"/>
                                            <w:right w:val="single" w:sz="2" w:space="0" w:color="D9D9E3"/>
                                          </w:divBdr>
                                          <w:divsChild>
                                            <w:div w:id="1532691471">
                                              <w:marLeft w:val="0"/>
                                              <w:marRight w:val="0"/>
                                              <w:marTop w:val="0"/>
                                              <w:marBottom w:val="0"/>
                                              <w:divBdr>
                                                <w:top w:val="single" w:sz="2" w:space="0" w:color="D9D9E3"/>
                                                <w:left w:val="single" w:sz="2" w:space="0" w:color="D9D9E3"/>
                                                <w:bottom w:val="single" w:sz="2" w:space="0" w:color="D9D9E3"/>
                                                <w:right w:val="single" w:sz="2" w:space="0" w:color="D9D9E3"/>
                                              </w:divBdr>
                                              <w:divsChild>
                                                <w:div w:id="18629125">
                                                  <w:marLeft w:val="0"/>
                                                  <w:marRight w:val="0"/>
                                                  <w:marTop w:val="0"/>
                                                  <w:marBottom w:val="0"/>
                                                  <w:divBdr>
                                                    <w:top w:val="single" w:sz="2" w:space="0" w:color="D9D9E3"/>
                                                    <w:left w:val="single" w:sz="2" w:space="0" w:color="D9D9E3"/>
                                                    <w:bottom w:val="single" w:sz="2" w:space="0" w:color="D9D9E3"/>
                                                    <w:right w:val="single" w:sz="2" w:space="0" w:color="D9D9E3"/>
                                                  </w:divBdr>
                                                  <w:divsChild>
                                                    <w:div w:id="3986011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2943663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D45A9-8C36-402D-906B-02E082B86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2785</Words>
  <Characters>15878</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Aahana Pandey</dc:creator>
  <cp:keywords/>
  <dc:description/>
  <cp:lastModifiedBy>Aahana Pandey</cp:lastModifiedBy>
  <cp:revision>3</cp:revision>
  <dcterms:created xsi:type="dcterms:W3CDTF">2023-11-25T16:12:00Z</dcterms:created>
  <dcterms:modified xsi:type="dcterms:W3CDTF">2023-11-25T16:13:00Z</dcterms:modified>
</cp:coreProperties>
</file>