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54BE0C" w14:textId="36C92190" w:rsidR="006514DF" w:rsidRDefault="000B1F78" w:rsidP="000B1F78">
      <w:pPr>
        <w:spacing w:line="360" w:lineRule="auto"/>
        <w:jc w:val="center"/>
        <w:rPr>
          <w:rFonts w:ascii="Times New Roman" w:hAnsi="Times New Roman" w:cs="Times New Roman"/>
          <w:b/>
          <w:bCs/>
          <w:sz w:val="24"/>
          <w:szCs w:val="24"/>
          <w:u w:val="single"/>
        </w:rPr>
      </w:pPr>
      <w:r w:rsidRPr="000B1F78">
        <w:rPr>
          <w:rFonts w:ascii="Times New Roman" w:hAnsi="Times New Roman" w:cs="Times New Roman"/>
          <w:b/>
          <w:bCs/>
          <w:sz w:val="24"/>
          <w:szCs w:val="24"/>
          <w:u w:val="single"/>
        </w:rPr>
        <w:t xml:space="preserve">An </w:t>
      </w:r>
      <w:r>
        <w:rPr>
          <w:rFonts w:ascii="Times New Roman" w:hAnsi="Times New Roman" w:cs="Times New Roman"/>
          <w:b/>
          <w:bCs/>
          <w:sz w:val="24"/>
          <w:szCs w:val="24"/>
          <w:u w:val="single"/>
        </w:rPr>
        <w:t>A</w:t>
      </w:r>
      <w:r w:rsidRPr="000B1F78">
        <w:rPr>
          <w:rFonts w:ascii="Times New Roman" w:hAnsi="Times New Roman" w:cs="Times New Roman"/>
          <w:b/>
          <w:bCs/>
          <w:sz w:val="24"/>
          <w:szCs w:val="24"/>
          <w:u w:val="single"/>
        </w:rPr>
        <w:t xml:space="preserve">ssessment of the </w:t>
      </w:r>
      <w:r>
        <w:rPr>
          <w:rFonts w:ascii="Times New Roman" w:hAnsi="Times New Roman" w:cs="Times New Roman"/>
          <w:b/>
          <w:bCs/>
          <w:sz w:val="24"/>
          <w:szCs w:val="24"/>
          <w:u w:val="single"/>
        </w:rPr>
        <w:t>A</w:t>
      </w:r>
      <w:r w:rsidRPr="000B1F78">
        <w:rPr>
          <w:rFonts w:ascii="Times New Roman" w:hAnsi="Times New Roman" w:cs="Times New Roman"/>
          <w:b/>
          <w:bCs/>
          <w:sz w:val="24"/>
          <w:szCs w:val="24"/>
          <w:u w:val="single"/>
        </w:rPr>
        <w:t xml:space="preserve">ge of </w:t>
      </w:r>
      <w:r>
        <w:rPr>
          <w:rFonts w:ascii="Times New Roman" w:hAnsi="Times New Roman" w:cs="Times New Roman"/>
          <w:b/>
          <w:bCs/>
          <w:sz w:val="24"/>
          <w:szCs w:val="24"/>
          <w:u w:val="single"/>
        </w:rPr>
        <w:t>C</w:t>
      </w:r>
      <w:r w:rsidRPr="000B1F78">
        <w:rPr>
          <w:rFonts w:ascii="Times New Roman" w:hAnsi="Times New Roman" w:cs="Times New Roman"/>
          <w:b/>
          <w:bCs/>
          <w:sz w:val="24"/>
          <w:szCs w:val="24"/>
          <w:u w:val="single"/>
        </w:rPr>
        <w:t xml:space="preserve">onsent </w:t>
      </w:r>
      <w:r>
        <w:rPr>
          <w:rFonts w:ascii="Times New Roman" w:hAnsi="Times New Roman" w:cs="Times New Roman"/>
          <w:b/>
          <w:bCs/>
          <w:sz w:val="24"/>
          <w:szCs w:val="24"/>
          <w:u w:val="single"/>
        </w:rPr>
        <w:t>U</w:t>
      </w:r>
      <w:r w:rsidRPr="000B1F78">
        <w:rPr>
          <w:rFonts w:ascii="Times New Roman" w:hAnsi="Times New Roman" w:cs="Times New Roman"/>
          <w:b/>
          <w:bCs/>
          <w:sz w:val="24"/>
          <w:szCs w:val="24"/>
          <w:u w:val="single"/>
        </w:rPr>
        <w:t>nder the POCSO Act, 2012</w:t>
      </w:r>
    </w:p>
    <w:p w14:paraId="30144CAA" w14:textId="77777777" w:rsidR="000B1F78" w:rsidRDefault="000B1F78" w:rsidP="000B1F78">
      <w:pPr>
        <w:spacing w:line="360" w:lineRule="auto"/>
        <w:jc w:val="center"/>
        <w:rPr>
          <w:rFonts w:ascii="Times New Roman" w:hAnsi="Times New Roman" w:cs="Times New Roman"/>
          <w:b/>
          <w:bCs/>
          <w:sz w:val="24"/>
          <w:szCs w:val="24"/>
          <w:u w:val="single"/>
        </w:rPr>
      </w:pPr>
    </w:p>
    <w:p w14:paraId="16F50333" w14:textId="202DD4E0" w:rsidR="000B1F78" w:rsidRDefault="000B1F78" w:rsidP="000B1F78">
      <w:pPr>
        <w:spacing w:line="360" w:lineRule="auto"/>
        <w:jc w:val="both"/>
        <w:rPr>
          <w:rFonts w:ascii="Times New Roman" w:hAnsi="Times New Roman" w:cs="Times New Roman"/>
          <w:sz w:val="24"/>
          <w:szCs w:val="24"/>
        </w:rPr>
      </w:pPr>
      <w:r w:rsidRPr="000B1F78">
        <w:rPr>
          <w:rFonts w:ascii="Times New Roman" w:hAnsi="Times New Roman" w:cs="Times New Roman"/>
          <w:sz w:val="24"/>
          <w:szCs w:val="24"/>
        </w:rPr>
        <w:t>"Safety and security don't just happen, they are the result of collective consensus and public investment. We owe our children, the most vulnerable citizens in our society, a life free of violence and fear."</w:t>
      </w:r>
    </w:p>
    <w:p w14:paraId="203A31DC" w14:textId="5917E74B" w:rsidR="000B1F78" w:rsidRDefault="000B1F78" w:rsidP="006A797B">
      <w:pPr>
        <w:spacing w:line="360" w:lineRule="auto"/>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Nalson</w:t>
      </w:r>
      <w:proofErr w:type="spellEnd"/>
      <w:r>
        <w:rPr>
          <w:rFonts w:ascii="Times New Roman" w:hAnsi="Times New Roman" w:cs="Times New Roman"/>
          <w:sz w:val="24"/>
          <w:szCs w:val="24"/>
        </w:rPr>
        <w:t xml:space="preserve"> Mandela</w:t>
      </w:r>
    </w:p>
    <w:p w14:paraId="1A409823" w14:textId="7205B4A6" w:rsidR="000B1F78" w:rsidRPr="00CD4894" w:rsidRDefault="0054426B" w:rsidP="006A797B">
      <w:pPr>
        <w:pStyle w:val="ListParagraph"/>
        <w:numPr>
          <w:ilvl w:val="0"/>
          <w:numId w:val="3"/>
        </w:numPr>
        <w:spacing w:line="360" w:lineRule="auto"/>
        <w:jc w:val="both"/>
        <w:rPr>
          <w:rFonts w:ascii="Times New Roman" w:hAnsi="Times New Roman" w:cs="Times New Roman"/>
          <w:b/>
          <w:bCs/>
          <w:sz w:val="24"/>
          <w:szCs w:val="24"/>
          <w:u w:val="single"/>
        </w:rPr>
      </w:pPr>
      <w:r>
        <w:rPr>
          <w:rFonts w:ascii="Times New Roman" w:hAnsi="Times New Roman" w:cs="Times New Roman"/>
          <w:b/>
          <w:bCs/>
          <w:sz w:val="24"/>
          <w:szCs w:val="24"/>
          <w:u w:val="single"/>
        </w:rPr>
        <w:t>INTRODUCTION</w:t>
      </w:r>
    </w:p>
    <w:p w14:paraId="51EFED85" w14:textId="5B461F95" w:rsidR="000B1F78" w:rsidRDefault="000B1F78" w:rsidP="000B1F78">
      <w:pPr>
        <w:spacing w:line="360" w:lineRule="auto"/>
        <w:jc w:val="both"/>
        <w:rPr>
          <w:rFonts w:ascii="Times New Roman" w:hAnsi="Times New Roman" w:cs="Times New Roman"/>
          <w:sz w:val="24"/>
          <w:szCs w:val="24"/>
        </w:rPr>
      </w:pPr>
      <w:r w:rsidRPr="000B1F78">
        <w:rPr>
          <w:rFonts w:ascii="Times New Roman" w:hAnsi="Times New Roman" w:cs="Times New Roman"/>
          <w:sz w:val="24"/>
          <w:szCs w:val="24"/>
        </w:rPr>
        <w:t>We are not oblivious to the horrific crimes and misfortunes occurring all around us, particularly against women in our nation or perhaps the entire world. There is a fundamental belief that women are the most likely victims of any heinous acts that could be committed. But regrettably, the human mind can sink so low as to classify</w:t>
      </w:r>
      <w:r w:rsidR="002F6902">
        <w:rPr>
          <w:rFonts w:ascii="Times New Roman" w:hAnsi="Times New Roman" w:cs="Times New Roman"/>
          <w:sz w:val="24"/>
          <w:szCs w:val="24"/>
        </w:rPr>
        <w:t xml:space="preserve"> even</w:t>
      </w:r>
      <w:r w:rsidRPr="000B1F78">
        <w:rPr>
          <w:rFonts w:ascii="Times New Roman" w:hAnsi="Times New Roman" w:cs="Times New Roman"/>
          <w:sz w:val="24"/>
          <w:szCs w:val="24"/>
        </w:rPr>
        <w:t xml:space="preserve"> a </w:t>
      </w:r>
      <w:r w:rsidR="002F6902">
        <w:rPr>
          <w:rFonts w:ascii="Times New Roman" w:hAnsi="Times New Roman" w:cs="Times New Roman"/>
          <w:sz w:val="24"/>
          <w:szCs w:val="24"/>
        </w:rPr>
        <w:t>child</w:t>
      </w:r>
      <w:r w:rsidRPr="000B1F78">
        <w:rPr>
          <w:rFonts w:ascii="Times New Roman" w:hAnsi="Times New Roman" w:cs="Times New Roman"/>
          <w:sz w:val="24"/>
          <w:szCs w:val="24"/>
        </w:rPr>
        <w:t xml:space="preserve"> as a soft target</w:t>
      </w:r>
      <w:r w:rsidR="002F6902">
        <w:rPr>
          <w:rFonts w:ascii="Times New Roman" w:hAnsi="Times New Roman" w:cs="Times New Roman"/>
          <w:sz w:val="24"/>
          <w:szCs w:val="24"/>
        </w:rPr>
        <w:t xml:space="preserve">. </w:t>
      </w:r>
    </w:p>
    <w:p w14:paraId="419E22E0" w14:textId="2292EA6F" w:rsidR="002F6902" w:rsidRDefault="00A541AD" w:rsidP="000B1F7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A541AD">
        <w:rPr>
          <w:rFonts w:ascii="Times New Roman" w:hAnsi="Times New Roman" w:cs="Times New Roman"/>
          <w:sz w:val="24"/>
          <w:szCs w:val="24"/>
        </w:rPr>
        <w:t>Child sexual abuse, where adults sexually exploit children, has seen a significant increase, leading to more severe and disturbing situations. While there were existing laws against such crimes, the POCSO Act of 2012 brought greater precision and strictness to address these issues.</w:t>
      </w:r>
    </w:p>
    <w:p w14:paraId="1F1F455F" w14:textId="17EAEA99" w:rsidR="0054426B" w:rsidRPr="0054426B" w:rsidRDefault="0054426B" w:rsidP="0054426B">
      <w:pPr>
        <w:pStyle w:val="ListParagraph"/>
        <w:numPr>
          <w:ilvl w:val="0"/>
          <w:numId w:val="3"/>
        </w:numPr>
        <w:spacing w:line="360" w:lineRule="auto"/>
        <w:rPr>
          <w:rFonts w:ascii="Times New Roman" w:hAnsi="Times New Roman" w:cs="Times New Roman"/>
          <w:b/>
          <w:bCs/>
          <w:sz w:val="24"/>
          <w:szCs w:val="24"/>
          <w:u w:val="single"/>
        </w:rPr>
      </w:pPr>
      <w:r w:rsidRPr="0054426B">
        <w:rPr>
          <w:rFonts w:ascii="Times New Roman" w:hAnsi="Times New Roman" w:cs="Times New Roman"/>
          <w:b/>
          <w:bCs/>
          <w:sz w:val="24"/>
          <w:szCs w:val="24"/>
          <w:u w:val="single"/>
        </w:rPr>
        <w:t>HISTORY</w:t>
      </w:r>
    </w:p>
    <w:p w14:paraId="2336AF90" w14:textId="17906917" w:rsidR="002F6902" w:rsidRDefault="00077C40" w:rsidP="000B1F7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077C40">
        <w:rPr>
          <w:rFonts w:ascii="Times New Roman" w:hAnsi="Times New Roman" w:cs="Times New Roman"/>
          <w:sz w:val="24"/>
          <w:szCs w:val="24"/>
        </w:rPr>
        <w:t>The POCSO Act, in effect since November 14, 2012, consists of 46 sections and plays a critical role in safeguarding children's rights and bodily autonomy, addressing sexual assaults that occur in various settings. It emerged due to the need for dedicated legislation to protect children.</w:t>
      </w:r>
      <w:r w:rsidR="00872076">
        <w:rPr>
          <w:rStyle w:val="FootnoteReference"/>
          <w:rFonts w:ascii="Times New Roman" w:hAnsi="Times New Roman" w:cs="Times New Roman"/>
          <w:sz w:val="24"/>
          <w:szCs w:val="24"/>
        </w:rPr>
        <w:footnoteReference w:id="1"/>
      </w:r>
      <w:r w:rsidR="00B024D3">
        <w:rPr>
          <w:rFonts w:ascii="Times New Roman" w:hAnsi="Times New Roman" w:cs="Times New Roman"/>
          <w:sz w:val="24"/>
          <w:szCs w:val="24"/>
        </w:rPr>
        <w:br/>
      </w:r>
      <w:r w:rsidR="00B024D3" w:rsidRPr="00B024D3">
        <w:rPr>
          <w:rFonts w:ascii="Times New Roman" w:hAnsi="Times New Roman" w:cs="Times New Roman"/>
          <w:sz w:val="24"/>
          <w:szCs w:val="24"/>
        </w:rPr>
        <w:t>The need for the POCSO Act, 2012 arose due to the inadequacy of earlier legislation like Goa's Children's Act, 2003, and sections of the Indian Penal Code, including 354, 375, and 377, in addressing child sexual abuse effectively. This new law, the POCSO Act, was enacted to provide a more stringent and precise legal framework to combat child sexual abuse.</w:t>
      </w:r>
      <w:r w:rsidR="005A2A1F">
        <w:rPr>
          <w:rStyle w:val="FootnoteReference"/>
          <w:rFonts w:ascii="Times New Roman" w:hAnsi="Times New Roman" w:cs="Times New Roman"/>
          <w:sz w:val="24"/>
          <w:szCs w:val="24"/>
        </w:rPr>
        <w:footnoteReference w:id="2"/>
      </w:r>
    </w:p>
    <w:p w14:paraId="1D707E40" w14:textId="114C7A97" w:rsidR="005A29EF" w:rsidRPr="006A797B" w:rsidRDefault="002059A7" w:rsidP="006A797B">
      <w:pPr>
        <w:pStyle w:val="ListParagraph"/>
        <w:numPr>
          <w:ilvl w:val="0"/>
          <w:numId w:val="5"/>
        </w:numPr>
        <w:spacing w:line="360" w:lineRule="auto"/>
        <w:rPr>
          <w:rFonts w:ascii="Times New Roman" w:hAnsi="Times New Roman" w:cs="Times New Roman"/>
          <w:b/>
          <w:bCs/>
          <w:sz w:val="24"/>
          <w:szCs w:val="24"/>
          <w:u w:val="single"/>
        </w:rPr>
      </w:pPr>
      <w:r w:rsidRPr="006A797B">
        <w:rPr>
          <w:rFonts w:ascii="Times New Roman" w:hAnsi="Times New Roman" w:cs="Times New Roman"/>
          <w:b/>
          <w:bCs/>
          <w:sz w:val="24"/>
          <w:szCs w:val="24"/>
          <w:u w:val="single"/>
        </w:rPr>
        <w:t>SALIENT FEATURES OF THE ACT:</w:t>
      </w:r>
    </w:p>
    <w:p w14:paraId="474853C2" w14:textId="6D052605" w:rsidR="002059A7" w:rsidRDefault="00077C40" w:rsidP="002059A7">
      <w:pPr>
        <w:pStyle w:val="ListParagraph"/>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077C40">
        <w:rPr>
          <w:rFonts w:ascii="Times New Roman" w:hAnsi="Times New Roman" w:cs="Times New Roman"/>
          <w:sz w:val="24"/>
          <w:szCs w:val="24"/>
        </w:rPr>
        <w:t>The Act is gender-neutral and prioritizes the child's well-being and healthy development at all stages.</w:t>
      </w:r>
    </w:p>
    <w:p w14:paraId="6AC8B7AD" w14:textId="44B96517" w:rsidR="002059A7" w:rsidRDefault="00077C40" w:rsidP="002059A7">
      <w:pPr>
        <w:pStyle w:val="ListParagraph"/>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077C40">
        <w:rPr>
          <w:rFonts w:ascii="Times New Roman" w:hAnsi="Times New Roman" w:cs="Times New Roman"/>
          <w:sz w:val="24"/>
          <w:szCs w:val="24"/>
        </w:rPr>
        <w:t>The Act defines a child as under 18 and prioritizes their best interests and welfare at all stages.</w:t>
      </w:r>
    </w:p>
    <w:p w14:paraId="254400D7" w14:textId="1D0A8348" w:rsidR="002059A7" w:rsidRDefault="00077C40" w:rsidP="002059A7">
      <w:pPr>
        <w:pStyle w:val="ListParagraph"/>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077C40">
        <w:rPr>
          <w:rFonts w:ascii="Times New Roman" w:hAnsi="Times New Roman" w:cs="Times New Roman"/>
          <w:sz w:val="24"/>
          <w:szCs w:val="24"/>
        </w:rPr>
        <w:t xml:space="preserve">The Act defines various forms of sexual abuse, including penetrative and non-penetrative offenses, harassment, and </w:t>
      </w:r>
      <w:r>
        <w:rPr>
          <w:rFonts w:ascii="Times New Roman" w:hAnsi="Times New Roman" w:cs="Times New Roman"/>
          <w:sz w:val="24"/>
          <w:szCs w:val="24"/>
        </w:rPr>
        <w:t xml:space="preserve">creation of </w:t>
      </w:r>
      <w:r w:rsidRPr="00077C40">
        <w:rPr>
          <w:rFonts w:ascii="Times New Roman" w:hAnsi="Times New Roman" w:cs="Times New Roman"/>
          <w:sz w:val="24"/>
          <w:szCs w:val="24"/>
        </w:rPr>
        <w:t>explicit content. It classifies sexual assault as aggravated under specific circumstances</w:t>
      </w:r>
      <w:r>
        <w:rPr>
          <w:rFonts w:ascii="Times New Roman" w:hAnsi="Times New Roman" w:cs="Times New Roman"/>
          <w:sz w:val="24"/>
          <w:szCs w:val="24"/>
        </w:rPr>
        <w:t xml:space="preserve"> like, </w:t>
      </w:r>
      <w:r w:rsidRPr="00077C40">
        <w:rPr>
          <w:rFonts w:ascii="Times New Roman" w:hAnsi="Times New Roman" w:cs="Times New Roman"/>
          <w:sz w:val="24"/>
          <w:szCs w:val="24"/>
        </w:rPr>
        <w:t>cases involving mentally ill children</w:t>
      </w:r>
      <w:r>
        <w:rPr>
          <w:rFonts w:ascii="Times New Roman" w:hAnsi="Times New Roman" w:cs="Times New Roman"/>
          <w:sz w:val="24"/>
          <w:szCs w:val="24"/>
        </w:rPr>
        <w:t>.</w:t>
      </w:r>
    </w:p>
    <w:p w14:paraId="0300BD5A" w14:textId="51CE6E7D" w:rsidR="008F08DF" w:rsidRDefault="00077C40" w:rsidP="002059A7">
      <w:pPr>
        <w:pStyle w:val="ListParagraph"/>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077C40">
        <w:rPr>
          <w:rFonts w:ascii="Times New Roman" w:hAnsi="Times New Roman" w:cs="Times New Roman"/>
          <w:sz w:val="24"/>
          <w:szCs w:val="24"/>
        </w:rPr>
        <w:t>The Act holds traffickers of children for sexual exploitation accountable and imposes strict penalties, including life imprisonment.</w:t>
      </w:r>
    </w:p>
    <w:p w14:paraId="4BB40619" w14:textId="67C44E36" w:rsidR="008F08DF" w:rsidRDefault="00077C40" w:rsidP="002059A7">
      <w:pPr>
        <w:pStyle w:val="ListParagraph"/>
        <w:numPr>
          <w:ilvl w:val="0"/>
          <w:numId w:val="1"/>
        </w:numPr>
        <w:spacing w:line="360" w:lineRule="auto"/>
        <w:jc w:val="both"/>
        <w:rPr>
          <w:rFonts w:ascii="Times New Roman" w:hAnsi="Times New Roman" w:cs="Times New Roman"/>
          <w:sz w:val="24"/>
          <w:szCs w:val="24"/>
        </w:rPr>
      </w:pPr>
      <w:r w:rsidRPr="00077C40">
        <w:rPr>
          <w:rFonts w:ascii="Times New Roman" w:hAnsi="Times New Roman" w:cs="Times New Roman"/>
          <w:sz w:val="24"/>
          <w:szCs w:val="24"/>
        </w:rPr>
        <w:t>The Act defines "child pornography" as any visual representation depicting explicit sexual acts involving a child, including digitally created or altered images.</w:t>
      </w:r>
      <w:r>
        <w:rPr>
          <w:rFonts w:ascii="Times New Roman" w:hAnsi="Times New Roman" w:cs="Times New Roman"/>
          <w:sz w:val="24"/>
          <w:szCs w:val="24"/>
        </w:rPr>
        <w:t xml:space="preserve"> </w:t>
      </w:r>
      <w:r w:rsidR="008F08DF" w:rsidRPr="008F08DF">
        <w:rPr>
          <w:rFonts w:ascii="Times New Roman" w:hAnsi="Times New Roman" w:cs="Times New Roman"/>
          <w:sz w:val="24"/>
          <w:szCs w:val="24"/>
        </w:rPr>
        <w:t>.</w:t>
      </w:r>
      <w:r w:rsidR="00872076">
        <w:rPr>
          <w:rStyle w:val="FootnoteReference"/>
          <w:rFonts w:ascii="Times New Roman" w:hAnsi="Times New Roman" w:cs="Times New Roman"/>
          <w:sz w:val="24"/>
          <w:szCs w:val="24"/>
        </w:rPr>
        <w:footnoteReference w:id="3"/>
      </w:r>
    </w:p>
    <w:p w14:paraId="065005E9" w14:textId="77777777" w:rsidR="00CD4894" w:rsidRDefault="00CD4894" w:rsidP="00CD4894">
      <w:pPr>
        <w:pStyle w:val="ListParagraph"/>
        <w:spacing w:line="360" w:lineRule="auto"/>
        <w:jc w:val="both"/>
        <w:rPr>
          <w:rFonts w:ascii="Times New Roman" w:hAnsi="Times New Roman" w:cs="Times New Roman"/>
          <w:sz w:val="24"/>
          <w:szCs w:val="24"/>
        </w:rPr>
      </w:pPr>
    </w:p>
    <w:p w14:paraId="30261088" w14:textId="4228F691" w:rsidR="001A2B8E" w:rsidRDefault="00CD4894" w:rsidP="006A797B">
      <w:pPr>
        <w:pStyle w:val="ListParagraph"/>
        <w:numPr>
          <w:ilvl w:val="0"/>
          <w:numId w:val="3"/>
        </w:numPr>
        <w:spacing w:line="360" w:lineRule="auto"/>
        <w:jc w:val="both"/>
        <w:rPr>
          <w:rFonts w:ascii="Times New Roman" w:hAnsi="Times New Roman" w:cs="Times New Roman"/>
          <w:b/>
          <w:bCs/>
          <w:sz w:val="24"/>
          <w:szCs w:val="24"/>
          <w:u w:val="single"/>
        </w:rPr>
      </w:pPr>
      <w:r w:rsidRPr="00CD4894">
        <w:rPr>
          <w:rFonts w:ascii="Times New Roman" w:hAnsi="Times New Roman" w:cs="Times New Roman"/>
          <w:b/>
          <w:bCs/>
          <w:sz w:val="24"/>
          <w:szCs w:val="24"/>
          <w:u w:val="single"/>
        </w:rPr>
        <w:t>THE CONCEPT OF CONSENT UNDER THE ACT</w:t>
      </w:r>
    </w:p>
    <w:p w14:paraId="585B2F72" w14:textId="77777777" w:rsidR="006A797B" w:rsidRPr="00CD4894" w:rsidRDefault="006A797B" w:rsidP="006A797B">
      <w:pPr>
        <w:pStyle w:val="ListParagraph"/>
        <w:spacing w:line="360" w:lineRule="auto"/>
        <w:jc w:val="both"/>
        <w:rPr>
          <w:rFonts w:ascii="Times New Roman" w:hAnsi="Times New Roman" w:cs="Times New Roman"/>
          <w:b/>
          <w:bCs/>
          <w:sz w:val="24"/>
          <w:szCs w:val="24"/>
          <w:u w:val="single"/>
        </w:rPr>
      </w:pPr>
    </w:p>
    <w:p w14:paraId="2CA26433" w14:textId="4B783F03" w:rsidR="001A2B8E" w:rsidRDefault="00077C40" w:rsidP="001A2B8E">
      <w:pPr>
        <w:pStyle w:val="ListParagraph"/>
        <w:spacing w:line="360" w:lineRule="auto"/>
        <w:jc w:val="both"/>
        <w:rPr>
          <w:rFonts w:ascii="Times New Roman" w:hAnsi="Times New Roman" w:cs="Times New Roman"/>
          <w:sz w:val="24"/>
          <w:szCs w:val="24"/>
        </w:rPr>
      </w:pPr>
      <w:r w:rsidRPr="00077C40">
        <w:rPr>
          <w:rFonts w:ascii="Times New Roman" w:hAnsi="Times New Roman" w:cs="Times New Roman"/>
          <w:sz w:val="24"/>
          <w:szCs w:val="24"/>
        </w:rPr>
        <w:t xml:space="preserve">The Act is intended to protect children throughout the legal process, but it raises </w:t>
      </w:r>
      <w:r>
        <w:rPr>
          <w:rFonts w:ascii="Times New Roman" w:hAnsi="Times New Roman" w:cs="Times New Roman"/>
          <w:sz w:val="24"/>
          <w:szCs w:val="24"/>
        </w:rPr>
        <w:t xml:space="preserve">certain theoretical </w:t>
      </w:r>
      <w:r w:rsidRPr="00077C40">
        <w:rPr>
          <w:rFonts w:ascii="Times New Roman" w:hAnsi="Times New Roman" w:cs="Times New Roman"/>
          <w:sz w:val="24"/>
          <w:szCs w:val="24"/>
        </w:rPr>
        <w:t>concerns, particularly regarding the age of consent. It doesn't address consent below 18, nor provides guidance for cases of consensual sexual activity between minors.</w:t>
      </w:r>
      <w:r>
        <w:rPr>
          <w:rFonts w:ascii="Times New Roman" w:hAnsi="Times New Roman" w:cs="Times New Roman"/>
          <w:sz w:val="24"/>
          <w:szCs w:val="24"/>
        </w:rPr>
        <w:t xml:space="preserve"> </w:t>
      </w:r>
    </w:p>
    <w:p w14:paraId="087235E7" w14:textId="1C309F67" w:rsidR="00CD4894" w:rsidRDefault="00795746" w:rsidP="001A2B8E">
      <w:pPr>
        <w:pStyle w:val="ListParagraph"/>
        <w:spacing w:line="360" w:lineRule="auto"/>
        <w:jc w:val="both"/>
        <w:rPr>
          <w:rFonts w:ascii="Times New Roman" w:hAnsi="Times New Roman" w:cs="Times New Roman"/>
          <w:sz w:val="24"/>
          <w:szCs w:val="24"/>
        </w:rPr>
      </w:pPr>
      <w:r w:rsidRPr="00795746">
        <w:rPr>
          <w:rFonts w:ascii="Times New Roman" w:hAnsi="Times New Roman" w:cs="Times New Roman"/>
          <w:sz w:val="24"/>
          <w:szCs w:val="24"/>
        </w:rPr>
        <w:t xml:space="preserve">The article seeks to detail the most recent </w:t>
      </w:r>
      <w:r>
        <w:rPr>
          <w:rFonts w:ascii="Times New Roman" w:hAnsi="Times New Roman" w:cs="Times New Roman"/>
          <w:sz w:val="24"/>
          <w:szCs w:val="24"/>
        </w:rPr>
        <w:t>debate</w:t>
      </w:r>
      <w:r w:rsidRPr="00795746">
        <w:rPr>
          <w:rFonts w:ascii="Times New Roman" w:hAnsi="Times New Roman" w:cs="Times New Roman"/>
          <w:sz w:val="24"/>
          <w:szCs w:val="24"/>
        </w:rPr>
        <w:t xml:space="preserve"> over the recent consideration of act's amendment to the age of consent </w:t>
      </w:r>
      <w:r>
        <w:rPr>
          <w:rFonts w:ascii="Times New Roman" w:hAnsi="Times New Roman" w:cs="Times New Roman"/>
          <w:sz w:val="24"/>
          <w:szCs w:val="24"/>
        </w:rPr>
        <w:t xml:space="preserve">i.e., reducing it from 18 years to 16 years. </w:t>
      </w:r>
    </w:p>
    <w:p w14:paraId="2695ECC4" w14:textId="1B59911D" w:rsidR="00795746" w:rsidRDefault="003070E5" w:rsidP="001A2B8E">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T</w:t>
      </w:r>
      <w:r w:rsidRPr="003070E5">
        <w:rPr>
          <w:rFonts w:ascii="Times New Roman" w:hAnsi="Times New Roman" w:cs="Times New Roman"/>
          <w:sz w:val="24"/>
          <w:szCs w:val="24"/>
        </w:rPr>
        <w:t>he legal age of consent in India has undergone significant changes over time. It has ranged from 10 years in 1860 to 16 years for females until 2012.</w:t>
      </w:r>
      <w:r w:rsidR="00902BEC">
        <w:rPr>
          <w:rStyle w:val="FootnoteReference"/>
          <w:rFonts w:ascii="Times New Roman" w:hAnsi="Times New Roman" w:cs="Times New Roman"/>
          <w:sz w:val="24"/>
          <w:szCs w:val="24"/>
        </w:rPr>
        <w:footnoteReference w:id="4"/>
      </w:r>
    </w:p>
    <w:p w14:paraId="41E94038" w14:textId="73B0C901" w:rsidR="003070E5" w:rsidRDefault="00EB6712" w:rsidP="001A2B8E">
      <w:pPr>
        <w:pStyle w:val="ListParagraph"/>
        <w:spacing w:line="360" w:lineRule="auto"/>
        <w:jc w:val="both"/>
        <w:rPr>
          <w:rFonts w:ascii="Times New Roman" w:hAnsi="Times New Roman" w:cs="Times New Roman"/>
          <w:sz w:val="24"/>
          <w:szCs w:val="24"/>
        </w:rPr>
      </w:pPr>
      <w:r w:rsidRPr="00EB6712">
        <w:rPr>
          <w:rFonts w:ascii="Times New Roman" w:hAnsi="Times New Roman" w:cs="Times New Roman"/>
          <w:sz w:val="24"/>
          <w:szCs w:val="24"/>
        </w:rPr>
        <w:t>The age of consent, legally allowing marriage and sexual intercourse, is now 18 years in India according to the POCSO Act. Before 2012, there was no separate age of consent</w:t>
      </w:r>
      <w:r>
        <w:rPr>
          <w:rFonts w:ascii="Times New Roman" w:hAnsi="Times New Roman" w:cs="Times New Roman"/>
          <w:sz w:val="24"/>
          <w:szCs w:val="24"/>
        </w:rPr>
        <w:t xml:space="preserve"> for males and females</w:t>
      </w:r>
      <w:r w:rsidRPr="00EB6712">
        <w:rPr>
          <w:rFonts w:ascii="Times New Roman" w:hAnsi="Times New Roman" w:cs="Times New Roman"/>
          <w:sz w:val="24"/>
          <w:szCs w:val="24"/>
        </w:rPr>
        <w:t>; it relied on IPC Section 375</w:t>
      </w:r>
      <w:r>
        <w:rPr>
          <w:rFonts w:ascii="Times New Roman" w:hAnsi="Times New Roman" w:cs="Times New Roman"/>
          <w:sz w:val="24"/>
          <w:szCs w:val="24"/>
        </w:rPr>
        <w:t xml:space="preserve"> which defines rape</w:t>
      </w:r>
      <w:r w:rsidRPr="00EB6712">
        <w:rPr>
          <w:rFonts w:ascii="Times New Roman" w:hAnsi="Times New Roman" w:cs="Times New Roman"/>
          <w:sz w:val="24"/>
          <w:szCs w:val="24"/>
        </w:rPr>
        <w:t xml:space="preserve">, with females' consent age </w:t>
      </w:r>
      <w:r>
        <w:rPr>
          <w:rFonts w:ascii="Times New Roman" w:hAnsi="Times New Roman" w:cs="Times New Roman"/>
          <w:sz w:val="24"/>
          <w:szCs w:val="24"/>
        </w:rPr>
        <w:t xml:space="preserve">was </w:t>
      </w:r>
      <w:r w:rsidRPr="00EB6712">
        <w:rPr>
          <w:rFonts w:ascii="Times New Roman" w:hAnsi="Times New Roman" w:cs="Times New Roman"/>
          <w:sz w:val="24"/>
          <w:szCs w:val="24"/>
        </w:rPr>
        <w:t>at 16</w:t>
      </w:r>
      <w:r>
        <w:rPr>
          <w:rFonts w:ascii="Times New Roman" w:hAnsi="Times New Roman" w:cs="Times New Roman"/>
          <w:sz w:val="24"/>
          <w:szCs w:val="24"/>
        </w:rPr>
        <w:t xml:space="preserve"> till 2012.</w:t>
      </w:r>
    </w:p>
    <w:p w14:paraId="0FD31226" w14:textId="15F1600F" w:rsidR="003070E5" w:rsidRDefault="00167D0B" w:rsidP="001A2B8E">
      <w:pPr>
        <w:pStyle w:val="ListParagraph"/>
        <w:spacing w:line="360" w:lineRule="auto"/>
        <w:jc w:val="both"/>
        <w:rPr>
          <w:rFonts w:ascii="Times New Roman" w:hAnsi="Times New Roman" w:cs="Times New Roman"/>
          <w:sz w:val="24"/>
          <w:szCs w:val="24"/>
        </w:rPr>
      </w:pPr>
      <w:r w:rsidRPr="00167D0B">
        <w:rPr>
          <w:rFonts w:ascii="Times New Roman" w:hAnsi="Times New Roman" w:cs="Times New Roman"/>
          <w:sz w:val="24"/>
          <w:szCs w:val="24"/>
        </w:rPr>
        <w:t>Prior to the POCSO Act,</w:t>
      </w:r>
      <w:r w:rsidR="00EB6712">
        <w:rPr>
          <w:rFonts w:ascii="Times New Roman" w:hAnsi="Times New Roman" w:cs="Times New Roman"/>
          <w:sz w:val="24"/>
          <w:szCs w:val="24"/>
        </w:rPr>
        <w:t xml:space="preserve"> </w:t>
      </w:r>
      <w:r w:rsidRPr="00167D0B">
        <w:rPr>
          <w:rFonts w:ascii="Times New Roman" w:hAnsi="Times New Roman" w:cs="Times New Roman"/>
          <w:sz w:val="24"/>
          <w:szCs w:val="24"/>
        </w:rPr>
        <w:t>the term 'child' was not explicitly defined under either the Indian Penal Code or the General Clauses Act, 1897. This lack of specificity likely contributed to legal ambiguities and gaps in addressing issues related to age and consent in certain cases.</w:t>
      </w:r>
    </w:p>
    <w:p w14:paraId="4DCB3AD9" w14:textId="7BE5E7C8" w:rsidR="00167D0B" w:rsidRDefault="00167D0B" w:rsidP="001A2B8E">
      <w:pPr>
        <w:pStyle w:val="ListParagraph"/>
        <w:spacing w:line="360" w:lineRule="auto"/>
        <w:jc w:val="both"/>
        <w:rPr>
          <w:rFonts w:ascii="Times New Roman" w:hAnsi="Times New Roman" w:cs="Times New Roman"/>
          <w:sz w:val="24"/>
          <w:szCs w:val="24"/>
        </w:rPr>
      </w:pPr>
      <w:r w:rsidRPr="00167D0B">
        <w:rPr>
          <w:rFonts w:ascii="Times New Roman" w:hAnsi="Times New Roman" w:cs="Times New Roman"/>
          <w:sz w:val="24"/>
          <w:szCs w:val="24"/>
        </w:rPr>
        <w:t>The report submitted to the law ministry included a historical overview of the age of consent in India. In 1860, the age of consent for women was as low as 10 years. This historical context highlights the significant changes that have occurred in the legal definition of the age of consent in the country over the years.</w:t>
      </w:r>
    </w:p>
    <w:p w14:paraId="7ABE8B98" w14:textId="55393FC5" w:rsidR="00167D0B" w:rsidRDefault="00B024D3" w:rsidP="00167D0B">
      <w:pPr>
        <w:pStyle w:val="ListParagraph"/>
        <w:spacing w:line="360" w:lineRule="auto"/>
        <w:jc w:val="both"/>
        <w:rPr>
          <w:rFonts w:ascii="Times New Roman" w:hAnsi="Times New Roman" w:cs="Times New Roman"/>
          <w:sz w:val="24"/>
          <w:szCs w:val="24"/>
        </w:rPr>
      </w:pPr>
      <w:r w:rsidRPr="00B024D3">
        <w:rPr>
          <w:rFonts w:ascii="Times New Roman" w:hAnsi="Times New Roman" w:cs="Times New Roman"/>
          <w:sz w:val="24"/>
          <w:szCs w:val="24"/>
        </w:rPr>
        <w:lastRenderedPageBreak/>
        <w:t xml:space="preserve">In 1891, the </w:t>
      </w:r>
      <w:proofErr w:type="spellStart"/>
      <w:r w:rsidRPr="00B024D3">
        <w:rPr>
          <w:rFonts w:ascii="Times New Roman" w:hAnsi="Times New Roman" w:cs="Times New Roman"/>
          <w:sz w:val="24"/>
          <w:szCs w:val="24"/>
        </w:rPr>
        <w:t>Phulmoni</w:t>
      </w:r>
      <w:proofErr w:type="spellEnd"/>
      <w:r w:rsidRPr="00B024D3">
        <w:rPr>
          <w:rFonts w:ascii="Times New Roman" w:hAnsi="Times New Roman" w:cs="Times New Roman"/>
          <w:sz w:val="24"/>
          <w:szCs w:val="24"/>
        </w:rPr>
        <w:t xml:space="preserve"> case prompted outrage, leading to an increase in the age of consent for women in India to 12 years under Section 375 of the Indian Penal Code. Prior to this, </w:t>
      </w:r>
      <w:proofErr w:type="spellStart"/>
      <w:r w:rsidRPr="00B024D3">
        <w:rPr>
          <w:rFonts w:ascii="Times New Roman" w:hAnsi="Times New Roman" w:cs="Times New Roman"/>
          <w:sz w:val="24"/>
          <w:szCs w:val="24"/>
        </w:rPr>
        <w:t>Phulmoni</w:t>
      </w:r>
      <w:proofErr w:type="spellEnd"/>
      <w:r w:rsidRPr="00B024D3">
        <w:rPr>
          <w:rFonts w:ascii="Times New Roman" w:hAnsi="Times New Roman" w:cs="Times New Roman"/>
          <w:sz w:val="24"/>
          <w:szCs w:val="24"/>
        </w:rPr>
        <w:t>, an 11-year-old girl, had died due to forced intercourse by her husband. Her husband received a one-year prison sentence for causing grievous harm through reckless acts. Subsequently, the age of consent was raised to 14 years in 1925 and to 16 years in 1940. It remained at 16 years for women until the enactment of the POCSO Act in 2012, with no specified age of consent for men.</w:t>
      </w:r>
    </w:p>
    <w:p w14:paraId="1B930A9C" w14:textId="4AA8E8F9" w:rsidR="00700336" w:rsidRDefault="00700336" w:rsidP="00700336">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Even though the</w:t>
      </w:r>
      <w:r w:rsidRPr="00700336">
        <w:rPr>
          <w:rFonts w:ascii="Times New Roman" w:hAnsi="Times New Roman" w:cs="Times New Roman"/>
          <w:sz w:val="24"/>
          <w:szCs w:val="24"/>
        </w:rPr>
        <w:t xml:space="preserve"> UN Convention on the Rights of the Child defines a child as any person below the age of 18 years</w:t>
      </w:r>
      <w:r>
        <w:rPr>
          <w:rFonts w:ascii="Times New Roman" w:hAnsi="Times New Roman" w:cs="Times New Roman"/>
          <w:sz w:val="24"/>
          <w:szCs w:val="24"/>
        </w:rPr>
        <w:t>. Yet,</w:t>
      </w:r>
      <w:r w:rsidRPr="00700336">
        <w:rPr>
          <w:rFonts w:ascii="Times New Roman" w:hAnsi="Times New Roman" w:cs="Times New Roman"/>
          <w:sz w:val="24"/>
          <w:szCs w:val="24"/>
        </w:rPr>
        <w:t xml:space="preserve"> the age of consent ranges from 13 to 18 years globally.</w:t>
      </w:r>
    </w:p>
    <w:p w14:paraId="13EC172D" w14:textId="0BC29CBC" w:rsidR="00700336" w:rsidRDefault="00F57EED" w:rsidP="00E13D62">
      <w:pPr>
        <w:pStyle w:val="ListParagraph"/>
        <w:numPr>
          <w:ilvl w:val="0"/>
          <w:numId w:val="4"/>
        </w:numPr>
        <w:spacing w:line="360" w:lineRule="auto"/>
        <w:jc w:val="both"/>
        <w:rPr>
          <w:rFonts w:ascii="Times New Roman" w:hAnsi="Times New Roman" w:cs="Times New Roman"/>
          <w:sz w:val="24"/>
          <w:szCs w:val="24"/>
        </w:rPr>
      </w:pPr>
      <w:r w:rsidRPr="00F57EED">
        <w:rPr>
          <w:rFonts w:ascii="Times New Roman" w:hAnsi="Times New Roman" w:cs="Times New Roman"/>
          <w:sz w:val="24"/>
          <w:szCs w:val="24"/>
        </w:rPr>
        <w:t>Canada also raised the age of consent from 14 to 16 years in 2008 due to concerns about increased incidents of teenagers being targeted and lured online</w:t>
      </w:r>
      <w:r>
        <w:rPr>
          <w:rFonts w:ascii="Times New Roman" w:hAnsi="Times New Roman" w:cs="Times New Roman"/>
          <w:sz w:val="24"/>
          <w:szCs w:val="24"/>
        </w:rPr>
        <w:t>.</w:t>
      </w:r>
    </w:p>
    <w:p w14:paraId="55CB6B79" w14:textId="59BF719D" w:rsidR="00F57EED" w:rsidRDefault="00F57EED" w:rsidP="00E13D62">
      <w:pPr>
        <w:pStyle w:val="ListParagraph"/>
        <w:numPr>
          <w:ilvl w:val="0"/>
          <w:numId w:val="4"/>
        </w:numPr>
        <w:spacing w:line="360" w:lineRule="auto"/>
        <w:jc w:val="both"/>
        <w:rPr>
          <w:rFonts w:ascii="Times New Roman" w:hAnsi="Times New Roman" w:cs="Times New Roman"/>
          <w:sz w:val="24"/>
          <w:szCs w:val="24"/>
        </w:rPr>
      </w:pPr>
      <w:r w:rsidRPr="00F57EED">
        <w:rPr>
          <w:rFonts w:ascii="Times New Roman" w:hAnsi="Times New Roman" w:cs="Times New Roman"/>
          <w:sz w:val="24"/>
          <w:szCs w:val="24"/>
        </w:rPr>
        <w:t xml:space="preserve">In the United States, the age of consent varies from state to state, as it is primarily regulated by state laws. </w:t>
      </w:r>
    </w:p>
    <w:p w14:paraId="7659A7F9" w14:textId="151580D7" w:rsidR="00F57EED" w:rsidRDefault="00F57EED" w:rsidP="00E13D62">
      <w:pPr>
        <w:pStyle w:val="ListParagraph"/>
        <w:numPr>
          <w:ilvl w:val="0"/>
          <w:numId w:val="4"/>
        </w:numPr>
        <w:spacing w:line="360" w:lineRule="auto"/>
        <w:jc w:val="both"/>
        <w:rPr>
          <w:rFonts w:ascii="Times New Roman" w:hAnsi="Times New Roman" w:cs="Times New Roman"/>
          <w:sz w:val="24"/>
          <w:szCs w:val="24"/>
        </w:rPr>
      </w:pPr>
      <w:r w:rsidRPr="00F57EED">
        <w:rPr>
          <w:rFonts w:ascii="Times New Roman" w:hAnsi="Times New Roman" w:cs="Times New Roman"/>
          <w:sz w:val="24"/>
          <w:szCs w:val="24"/>
        </w:rPr>
        <w:t>In Australia, the age of consent varies from state to state and territory to territory, with most regions setting it at 16 or 17 years.</w:t>
      </w:r>
    </w:p>
    <w:p w14:paraId="128FC69D" w14:textId="7CE03F3C" w:rsidR="00F57EED" w:rsidRDefault="00F57EED" w:rsidP="00E13D62">
      <w:pPr>
        <w:pStyle w:val="ListParagraph"/>
        <w:numPr>
          <w:ilvl w:val="0"/>
          <w:numId w:val="4"/>
        </w:numPr>
        <w:spacing w:line="360" w:lineRule="auto"/>
        <w:jc w:val="both"/>
        <w:rPr>
          <w:rFonts w:ascii="Times New Roman" w:hAnsi="Times New Roman" w:cs="Times New Roman"/>
          <w:sz w:val="24"/>
          <w:szCs w:val="24"/>
        </w:rPr>
      </w:pPr>
      <w:r w:rsidRPr="00F57EED">
        <w:rPr>
          <w:rFonts w:ascii="Times New Roman" w:hAnsi="Times New Roman" w:cs="Times New Roman"/>
          <w:sz w:val="24"/>
          <w:szCs w:val="24"/>
        </w:rPr>
        <w:t>In Japan, as you mentioned, the age of consent was 13 years until 2023, and the age of majority is 20 years. Additionally, the minimum age for marriage in Japan is 18 years for men and 16 years for women.</w:t>
      </w:r>
    </w:p>
    <w:p w14:paraId="5BB865BE" w14:textId="3B58B2E0" w:rsidR="00E13D62" w:rsidRDefault="00E13D62" w:rsidP="00E13D62">
      <w:pPr>
        <w:pStyle w:val="ListParagraph"/>
        <w:numPr>
          <w:ilvl w:val="0"/>
          <w:numId w:val="4"/>
        </w:numPr>
        <w:spacing w:line="360" w:lineRule="auto"/>
        <w:jc w:val="both"/>
        <w:rPr>
          <w:rFonts w:ascii="Times New Roman" w:hAnsi="Times New Roman" w:cs="Times New Roman"/>
          <w:sz w:val="24"/>
          <w:szCs w:val="24"/>
        </w:rPr>
      </w:pPr>
      <w:r w:rsidRPr="00E13D62">
        <w:rPr>
          <w:rFonts w:ascii="Times New Roman" w:hAnsi="Times New Roman" w:cs="Times New Roman"/>
          <w:sz w:val="24"/>
          <w:szCs w:val="24"/>
        </w:rPr>
        <w:t>In South Africa, the age of consent for sexual activity is 16 years, even though the legal definition of a child encompasses individuals under the age of 18 years. This means that, under South African law, individuals aged 16 and older are considered capable of providing legal consent for sexual activity.</w:t>
      </w:r>
    </w:p>
    <w:p w14:paraId="79CE73CB" w14:textId="1DCBCD88" w:rsidR="00E13D62" w:rsidRDefault="00E13D62" w:rsidP="00E13D62">
      <w:pPr>
        <w:pStyle w:val="ListParagraph"/>
        <w:numPr>
          <w:ilvl w:val="0"/>
          <w:numId w:val="4"/>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And in China the age of consent is 14 years. </w:t>
      </w:r>
    </w:p>
    <w:p w14:paraId="7444E881" w14:textId="16686488" w:rsidR="001E1B89" w:rsidRDefault="001E1B89" w:rsidP="00E13D62">
      <w:pPr>
        <w:pStyle w:val="ListParagraph"/>
        <w:numPr>
          <w:ilvl w:val="0"/>
          <w:numId w:val="4"/>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In Norway the </w:t>
      </w:r>
      <w:r w:rsidR="00011B22">
        <w:rPr>
          <w:rFonts w:ascii="Times New Roman" w:hAnsi="Times New Roman" w:cs="Times New Roman"/>
          <w:sz w:val="24"/>
          <w:szCs w:val="24"/>
        </w:rPr>
        <w:t>age of consent is decided to be 16.</w:t>
      </w:r>
      <w:r w:rsidR="00902BEC">
        <w:rPr>
          <w:rStyle w:val="FootnoteReference"/>
          <w:rFonts w:ascii="Times New Roman" w:hAnsi="Times New Roman" w:cs="Times New Roman"/>
          <w:sz w:val="24"/>
          <w:szCs w:val="24"/>
        </w:rPr>
        <w:footnoteReference w:id="5"/>
      </w:r>
    </w:p>
    <w:p w14:paraId="3D0D3D27" w14:textId="77777777" w:rsidR="008D0C22" w:rsidRDefault="008D0C22" w:rsidP="008D0C22">
      <w:pPr>
        <w:pStyle w:val="ListParagraph"/>
        <w:spacing w:line="360" w:lineRule="auto"/>
        <w:ind w:left="1440"/>
        <w:jc w:val="both"/>
        <w:rPr>
          <w:rFonts w:ascii="Times New Roman" w:hAnsi="Times New Roman" w:cs="Times New Roman"/>
          <w:sz w:val="24"/>
          <w:szCs w:val="24"/>
        </w:rPr>
      </w:pPr>
    </w:p>
    <w:p w14:paraId="6F167461" w14:textId="55F50163" w:rsidR="008D0C22" w:rsidRDefault="00076891" w:rsidP="00076891">
      <w:pPr>
        <w:pStyle w:val="ListParagraph"/>
        <w:numPr>
          <w:ilvl w:val="0"/>
          <w:numId w:val="3"/>
        </w:numPr>
        <w:spacing w:line="360" w:lineRule="auto"/>
        <w:rPr>
          <w:rFonts w:ascii="Times New Roman" w:hAnsi="Times New Roman" w:cs="Times New Roman"/>
          <w:b/>
          <w:bCs/>
          <w:sz w:val="24"/>
          <w:szCs w:val="24"/>
          <w:u w:val="single"/>
        </w:rPr>
      </w:pPr>
      <w:r w:rsidRPr="00076891">
        <w:rPr>
          <w:rFonts w:ascii="Times New Roman" w:hAnsi="Times New Roman" w:cs="Times New Roman"/>
          <w:b/>
          <w:bCs/>
          <w:sz w:val="24"/>
          <w:szCs w:val="24"/>
          <w:u w:val="single"/>
        </w:rPr>
        <w:t>WHETHER INDIA NEEDS TO LOWER THE AGE OF CONSENT?</w:t>
      </w:r>
    </w:p>
    <w:p w14:paraId="288D4B5B" w14:textId="77777777" w:rsidR="006A797B" w:rsidRPr="00076891" w:rsidRDefault="006A797B" w:rsidP="006A797B">
      <w:pPr>
        <w:pStyle w:val="ListParagraph"/>
        <w:spacing w:line="360" w:lineRule="auto"/>
        <w:rPr>
          <w:rFonts w:ascii="Times New Roman" w:hAnsi="Times New Roman" w:cs="Times New Roman"/>
          <w:b/>
          <w:bCs/>
          <w:sz w:val="24"/>
          <w:szCs w:val="24"/>
          <w:u w:val="single"/>
        </w:rPr>
      </w:pPr>
    </w:p>
    <w:p w14:paraId="2240FE4C" w14:textId="2F2AB3FA" w:rsidR="00076891" w:rsidRDefault="00EB6712" w:rsidP="00076891">
      <w:pPr>
        <w:pStyle w:val="ListParagraph"/>
        <w:spacing w:line="360" w:lineRule="auto"/>
        <w:jc w:val="both"/>
        <w:rPr>
          <w:rFonts w:ascii="Times New Roman" w:hAnsi="Times New Roman" w:cs="Times New Roman"/>
          <w:sz w:val="24"/>
          <w:szCs w:val="24"/>
        </w:rPr>
      </w:pPr>
      <w:r w:rsidRPr="00EB6712">
        <w:rPr>
          <w:rFonts w:ascii="Times New Roman" w:hAnsi="Times New Roman" w:cs="Times New Roman"/>
          <w:sz w:val="24"/>
          <w:szCs w:val="24"/>
        </w:rPr>
        <w:t>The POCSO Act of 2012 is in the spotlight, not just for horrifying cases but also due to debates about the age of consent. Various stakeholders, including Chief Justice DY Chandrachud, propose a re</w:t>
      </w:r>
      <w:r>
        <w:rPr>
          <w:rFonts w:ascii="Times New Roman" w:hAnsi="Times New Roman" w:cs="Times New Roman"/>
          <w:sz w:val="24"/>
          <w:szCs w:val="24"/>
        </w:rPr>
        <w:t>-</w:t>
      </w:r>
      <w:r w:rsidRPr="00EB6712">
        <w:rPr>
          <w:rFonts w:ascii="Times New Roman" w:hAnsi="Times New Roman" w:cs="Times New Roman"/>
          <w:sz w:val="24"/>
          <w:szCs w:val="24"/>
        </w:rPr>
        <w:t>evaluation of the age of consent, highlighting the ongoing conversation about the legal framework and its alignment with changing societal and legal perspectives on sexual offenses and consent age.</w:t>
      </w:r>
    </w:p>
    <w:p w14:paraId="1D3F0EBB" w14:textId="7942113A" w:rsidR="00C833C6" w:rsidRDefault="00C833C6" w:rsidP="00C833C6">
      <w:pPr>
        <w:pStyle w:val="ListParagraph"/>
        <w:spacing w:line="360" w:lineRule="auto"/>
        <w:jc w:val="both"/>
        <w:rPr>
          <w:rFonts w:ascii="Times New Roman" w:hAnsi="Times New Roman" w:cs="Times New Roman"/>
          <w:sz w:val="24"/>
          <w:szCs w:val="24"/>
        </w:rPr>
      </w:pPr>
      <w:r w:rsidRPr="00C833C6">
        <w:rPr>
          <w:rFonts w:ascii="Times New Roman" w:hAnsi="Times New Roman" w:cs="Times New Roman"/>
          <w:sz w:val="24"/>
          <w:szCs w:val="24"/>
        </w:rPr>
        <w:lastRenderedPageBreak/>
        <w:t>"In my time as a judge, I have seen that this category of cases poses difficult questions for judges across the spectrum," he said</w:t>
      </w:r>
      <w:r>
        <w:rPr>
          <w:rFonts w:ascii="Times New Roman" w:hAnsi="Times New Roman" w:cs="Times New Roman"/>
          <w:sz w:val="24"/>
          <w:szCs w:val="24"/>
        </w:rPr>
        <w:t>.</w:t>
      </w:r>
      <w:r w:rsidR="00902BEC">
        <w:rPr>
          <w:rStyle w:val="FootnoteReference"/>
          <w:rFonts w:ascii="Times New Roman" w:hAnsi="Times New Roman" w:cs="Times New Roman"/>
          <w:sz w:val="24"/>
          <w:szCs w:val="24"/>
        </w:rPr>
        <w:footnoteReference w:id="6"/>
      </w:r>
    </w:p>
    <w:p w14:paraId="5219F73B" w14:textId="59D17F67" w:rsidR="00C833C6" w:rsidRDefault="000D051B" w:rsidP="00C833C6">
      <w:pPr>
        <w:pStyle w:val="ListParagraph"/>
        <w:spacing w:line="360" w:lineRule="auto"/>
        <w:jc w:val="both"/>
        <w:rPr>
          <w:rFonts w:ascii="Times New Roman" w:hAnsi="Times New Roman" w:cs="Times New Roman"/>
          <w:sz w:val="24"/>
          <w:szCs w:val="24"/>
        </w:rPr>
      </w:pPr>
      <w:r w:rsidRPr="000D051B">
        <w:rPr>
          <w:rFonts w:ascii="Times New Roman" w:hAnsi="Times New Roman" w:cs="Times New Roman"/>
          <w:sz w:val="24"/>
          <w:szCs w:val="24"/>
        </w:rPr>
        <w:t>The recent statement by the Chief Justice of India (CJI) resonates with the concerns and suggestions voiced by various entities, including the Karnataka High Court, Madras High Court, Justice Verma Committee, child rights NGOs, and experts who have contributed to discussions on the POCSO Act in recent months.</w:t>
      </w:r>
      <w:r>
        <w:rPr>
          <w:rFonts w:ascii="Times New Roman" w:hAnsi="Times New Roman" w:cs="Times New Roman"/>
          <w:sz w:val="24"/>
          <w:szCs w:val="24"/>
        </w:rPr>
        <w:t xml:space="preserve"> </w:t>
      </w:r>
    </w:p>
    <w:p w14:paraId="1C4CE54B" w14:textId="77777777" w:rsidR="000D051B" w:rsidRDefault="000D051B" w:rsidP="003615F9">
      <w:pPr>
        <w:pStyle w:val="ListParagraph"/>
        <w:spacing w:line="360" w:lineRule="auto"/>
        <w:jc w:val="both"/>
        <w:rPr>
          <w:rFonts w:ascii="Times New Roman" w:hAnsi="Times New Roman" w:cs="Times New Roman"/>
          <w:sz w:val="24"/>
          <w:szCs w:val="24"/>
        </w:rPr>
      </w:pPr>
      <w:r w:rsidRPr="000D051B">
        <w:rPr>
          <w:rFonts w:ascii="Times New Roman" w:hAnsi="Times New Roman" w:cs="Times New Roman"/>
          <w:sz w:val="24"/>
          <w:szCs w:val="24"/>
        </w:rPr>
        <w:t>Critics argue that the age of consent at 18 may not reflect the realities of adolescent sexuality, potentially criminalizing consensual activity rather than focusing on child sexual abuse. This debate underscores the challenge of balancing minor protection with evolving perspectives on adolescent relationships and behaviour, emphasizing the need for ongoing discussions and potential legal adjustments.</w:t>
      </w:r>
    </w:p>
    <w:p w14:paraId="07AD3605" w14:textId="551185F5" w:rsidR="003615F9" w:rsidRPr="006A797B" w:rsidRDefault="000D051B" w:rsidP="003615F9">
      <w:pPr>
        <w:pStyle w:val="ListParagraph"/>
        <w:spacing w:line="360" w:lineRule="auto"/>
        <w:jc w:val="both"/>
        <w:rPr>
          <w:rFonts w:ascii="Times New Roman" w:hAnsi="Times New Roman" w:cs="Times New Roman"/>
          <w:sz w:val="24"/>
          <w:szCs w:val="24"/>
          <w:u w:val="single"/>
        </w:rPr>
      </w:pPr>
      <w:r w:rsidRPr="006A797B">
        <w:rPr>
          <w:rFonts w:ascii="Times New Roman" w:hAnsi="Times New Roman" w:cs="Times New Roman"/>
          <w:sz w:val="24"/>
          <w:szCs w:val="24"/>
          <w:u w:val="single"/>
        </w:rPr>
        <w:t xml:space="preserve"> </w:t>
      </w:r>
    </w:p>
    <w:p w14:paraId="073A4538" w14:textId="6F0606DB" w:rsidR="003615F9" w:rsidRDefault="003615F9" w:rsidP="006A797B">
      <w:pPr>
        <w:pStyle w:val="ListParagraph"/>
        <w:numPr>
          <w:ilvl w:val="0"/>
          <w:numId w:val="3"/>
        </w:numPr>
        <w:spacing w:line="360" w:lineRule="auto"/>
        <w:rPr>
          <w:rFonts w:ascii="Times New Roman" w:hAnsi="Times New Roman" w:cs="Times New Roman"/>
          <w:b/>
          <w:bCs/>
          <w:sz w:val="24"/>
          <w:szCs w:val="24"/>
          <w:u w:val="single"/>
        </w:rPr>
      </w:pPr>
      <w:r w:rsidRPr="006A797B">
        <w:rPr>
          <w:rFonts w:ascii="Times New Roman" w:hAnsi="Times New Roman" w:cs="Times New Roman"/>
          <w:b/>
          <w:bCs/>
          <w:sz w:val="24"/>
          <w:szCs w:val="24"/>
          <w:u w:val="single"/>
        </w:rPr>
        <w:t>WHAT DOES THE DATA IND</w:t>
      </w:r>
      <w:r w:rsidR="00FA7272" w:rsidRPr="006A797B">
        <w:rPr>
          <w:rFonts w:ascii="Times New Roman" w:hAnsi="Times New Roman" w:cs="Times New Roman"/>
          <w:b/>
          <w:bCs/>
          <w:sz w:val="24"/>
          <w:szCs w:val="24"/>
          <w:u w:val="single"/>
        </w:rPr>
        <w:t>I</w:t>
      </w:r>
      <w:r w:rsidRPr="006A797B">
        <w:rPr>
          <w:rFonts w:ascii="Times New Roman" w:hAnsi="Times New Roman" w:cs="Times New Roman"/>
          <w:b/>
          <w:bCs/>
          <w:sz w:val="24"/>
          <w:szCs w:val="24"/>
          <w:u w:val="single"/>
        </w:rPr>
        <w:t>CATE?</w:t>
      </w:r>
    </w:p>
    <w:p w14:paraId="5F3FF61F" w14:textId="77777777" w:rsidR="006A797B" w:rsidRPr="006A797B" w:rsidRDefault="006A797B" w:rsidP="006A797B">
      <w:pPr>
        <w:pStyle w:val="ListParagraph"/>
        <w:spacing w:line="360" w:lineRule="auto"/>
        <w:rPr>
          <w:rFonts w:ascii="Times New Roman" w:hAnsi="Times New Roman" w:cs="Times New Roman"/>
          <w:b/>
          <w:bCs/>
          <w:sz w:val="24"/>
          <w:szCs w:val="24"/>
          <w:u w:val="single"/>
        </w:rPr>
      </w:pPr>
    </w:p>
    <w:p w14:paraId="23594F3E" w14:textId="1B86F71E" w:rsidR="003615F9" w:rsidRDefault="000D051B" w:rsidP="003615F9">
      <w:pPr>
        <w:pStyle w:val="ListParagraph"/>
        <w:spacing w:line="360" w:lineRule="auto"/>
        <w:jc w:val="both"/>
        <w:rPr>
          <w:rFonts w:ascii="Times New Roman" w:hAnsi="Times New Roman" w:cs="Times New Roman"/>
          <w:sz w:val="24"/>
          <w:szCs w:val="24"/>
        </w:rPr>
      </w:pPr>
      <w:r w:rsidRPr="000D051B">
        <w:rPr>
          <w:rFonts w:ascii="Times New Roman" w:hAnsi="Times New Roman" w:cs="Times New Roman"/>
          <w:sz w:val="24"/>
          <w:szCs w:val="24"/>
        </w:rPr>
        <w:t>Data, like the findings from the Enfold Proactive Health Trust study, can serve as empirical support for potential legislative amendments. The study revealed that a considerable portion of cases in Assam, Maharashtra, and West Bengal between 2016-2020 were labelled as "romantic cases." What's noteworthy is that in most of these cases, the young women considered the "victims" acknowledged being in romantic relationships with the accused. This data suggests a possible need to reevaluate the legal framework's approach to consensual adolescent relationships</w:t>
      </w:r>
      <w:r>
        <w:rPr>
          <w:rFonts w:ascii="Times New Roman" w:hAnsi="Times New Roman" w:cs="Times New Roman"/>
          <w:sz w:val="24"/>
          <w:szCs w:val="24"/>
        </w:rPr>
        <w:t>.</w:t>
      </w:r>
    </w:p>
    <w:p w14:paraId="27161181" w14:textId="24258BEC" w:rsidR="003615F9" w:rsidRDefault="003615F9" w:rsidP="003615F9">
      <w:pPr>
        <w:pStyle w:val="ListParagraph"/>
        <w:spacing w:line="360" w:lineRule="auto"/>
        <w:jc w:val="both"/>
        <w:rPr>
          <w:rFonts w:ascii="Times New Roman" w:hAnsi="Times New Roman" w:cs="Times New Roman"/>
          <w:sz w:val="24"/>
          <w:szCs w:val="24"/>
        </w:rPr>
      </w:pPr>
      <w:r w:rsidRPr="003615F9">
        <w:rPr>
          <w:rFonts w:ascii="Times New Roman" w:hAnsi="Times New Roman" w:cs="Times New Roman"/>
          <w:sz w:val="24"/>
          <w:szCs w:val="24"/>
        </w:rPr>
        <w:t>The findings from the 2018 study conducted by the Centre for the Child and the Law at the National Law School of India University, indicating that "romantic cases" comprised over 20 percent of cases in various regions including Andhra Pradesh, Delhi, Maharashtra, and parts of Karnataka</w:t>
      </w:r>
      <w:r w:rsidR="0002258B">
        <w:rPr>
          <w:rFonts w:ascii="Times New Roman" w:hAnsi="Times New Roman" w:cs="Times New Roman"/>
          <w:sz w:val="24"/>
          <w:szCs w:val="24"/>
        </w:rPr>
        <w:t>.</w:t>
      </w:r>
      <w:r w:rsidR="0054426B">
        <w:rPr>
          <w:rStyle w:val="FootnoteReference"/>
          <w:rFonts w:ascii="Times New Roman" w:hAnsi="Times New Roman" w:cs="Times New Roman"/>
          <w:sz w:val="24"/>
          <w:szCs w:val="24"/>
        </w:rPr>
        <w:footnoteReference w:id="7"/>
      </w:r>
    </w:p>
    <w:p w14:paraId="389E78D3" w14:textId="5BA98EA6" w:rsidR="003615F9" w:rsidRDefault="004E1300" w:rsidP="003615F9">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One can takeaway from such data that most of the times POCSO cases are filed by the girl’s family in pure vengeance from the “accused” and to some extent from the girl as well, for sabotaging the honour of the family.</w:t>
      </w:r>
    </w:p>
    <w:p w14:paraId="73D180A1" w14:textId="77777777" w:rsidR="006A797B" w:rsidRDefault="006A797B" w:rsidP="003615F9">
      <w:pPr>
        <w:pStyle w:val="ListParagraph"/>
        <w:spacing w:line="360" w:lineRule="auto"/>
        <w:jc w:val="both"/>
        <w:rPr>
          <w:rFonts w:ascii="Times New Roman" w:hAnsi="Times New Roman" w:cs="Times New Roman"/>
          <w:sz w:val="24"/>
          <w:szCs w:val="24"/>
        </w:rPr>
      </w:pPr>
    </w:p>
    <w:p w14:paraId="27B23310" w14:textId="77777777" w:rsidR="00B82F37" w:rsidRDefault="00B82F37" w:rsidP="003615F9">
      <w:pPr>
        <w:pStyle w:val="ListParagraph"/>
        <w:spacing w:line="360" w:lineRule="auto"/>
        <w:jc w:val="both"/>
        <w:rPr>
          <w:rFonts w:ascii="Times New Roman" w:hAnsi="Times New Roman" w:cs="Times New Roman"/>
          <w:sz w:val="24"/>
          <w:szCs w:val="24"/>
        </w:rPr>
      </w:pPr>
    </w:p>
    <w:p w14:paraId="295F2CDB" w14:textId="79168813" w:rsidR="004E1300" w:rsidRPr="006A797B" w:rsidRDefault="00B82F37" w:rsidP="006A797B">
      <w:pPr>
        <w:pStyle w:val="ListParagraph"/>
        <w:numPr>
          <w:ilvl w:val="0"/>
          <w:numId w:val="3"/>
        </w:numPr>
        <w:spacing w:line="360" w:lineRule="auto"/>
        <w:rPr>
          <w:rFonts w:ascii="Times New Roman" w:hAnsi="Times New Roman" w:cs="Times New Roman"/>
          <w:b/>
          <w:bCs/>
          <w:sz w:val="24"/>
          <w:szCs w:val="24"/>
          <w:u w:val="single"/>
        </w:rPr>
      </w:pPr>
      <w:r w:rsidRPr="006A797B">
        <w:rPr>
          <w:rFonts w:ascii="Times New Roman" w:hAnsi="Times New Roman" w:cs="Times New Roman"/>
          <w:b/>
          <w:bCs/>
          <w:sz w:val="24"/>
          <w:szCs w:val="24"/>
          <w:u w:val="single"/>
        </w:rPr>
        <w:lastRenderedPageBreak/>
        <w:t>MINORS TRIABLE AS ADULTS BUT CANNOT CONSENT TO SEX</w:t>
      </w:r>
    </w:p>
    <w:p w14:paraId="138A0D43" w14:textId="77777777" w:rsidR="006A797B" w:rsidRPr="00B82F37" w:rsidRDefault="006A797B" w:rsidP="006A797B">
      <w:pPr>
        <w:pStyle w:val="ListParagraph"/>
        <w:spacing w:line="360" w:lineRule="auto"/>
        <w:rPr>
          <w:rFonts w:ascii="Times New Roman" w:hAnsi="Times New Roman" w:cs="Times New Roman"/>
          <w:b/>
          <w:bCs/>
          <w:sz w:val="24"/>
          <w:szCs w:val="24"/>
        </w:rPr>
      </w:pPr>
    </w:p>
    <w:p w14:paraId="4DDBBC79" w14:textId="73D4633E" w:rsidR="004E1300" w:rsidRDefault="004E1300" w:rsidP="00103A6E">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Another aspect in favour of reducing the age of consent can be the fact that t</w:t>
      </w:r>
      <w:r w:rsidRPr="004E1300">
        <w:rPr>
          <w:rFonts w:ascii="Times New Roman" w:hAnsi="Times New Roman" w:cs="Times New Roman"/>
          <w:sz w:val="24"/>
          <w:szCs w:val="24"/>
        </w:rPr>
        <w:t xml:space="preserve">he Protection of Children from Sexual Offences (POCSO) Act, which criminalizes sexual </w:t>
      </w:r>
      <w:r w:rsidR="0002258B" w:rsidRPr="004E1300">
        <w:rPr>
          <w:rFonts w:ascii="Times New Roman" w:hAnsi="Times New Roman" w:cs="Times New Roman"/>
          <w:sz w:val="24"/>
          <w:szCs w:val="24"/>
        </w:rPr>
        <w:t>behaviour</w:t>
      </w:r>
      <w:r w:rsidRPr="004E1300">
        <w:rPr>
          <w:rFonts w:ascii="Times New Roman" w:hAnsi="Times New Roman" w:cs="Times New Roman"/>
          <w:sz w:val="24"/>
          <w:szCs w:val="24"/>
        </w:rPr>
        <w:t xml:space="preserve"> involving minors under the age of 18 years, has been in place for the protection of children. However, the Juvenile Justice (Care and Protection of Children) Act, 2015 introduced changes that allowed children between the ages of 16 to 18 years to be tried as adults in specific circumstances. </w:t>
      </w:r>
      <w:r w:rsidR="006A797B">
        <w:rPr>
          <w:rStyle w:val="FootnoteReference"/>
          <w:rFonts w:ascii="Times New Roman" w:hAnsi="Times New Roman" w:cs="Times New Roman"/>
          <w:sz w:val="24"/>
          <w:szCs w:val="24"/>
        </w:rPr>
        <w:footnoteReference w:id="8"/>
      </w:r>
    </w:p>
    <w:p w14:paraId="53FD54BA" w14:textId="404A0CA8" w:rsidR="004E1300" w:rsidRDefault="00103A6E" w:rsidP="00103A6E">
      <w:pPr>
        <w:pStyle w:val="ListParagraph"/>
        <w:spacing w:line="360" w:lineRule="auto"/>
        <w:jc w:val="both"/>
        <w:rPr>
          <w:rFonts w:ascii="Times New Roman" w:hAnsi="Times New Roman" w:cs="Times New Roman"/>
          <w:sz w:val="24"/>
          <w:szCs w:val="24"/>
        </w:rPr>
      </w:pPr>
      <w:r w:rsidRPr="00103A6E">
        <w:rPr>
          <w:rFonts w:ascii="Times New Roman" w:hAnsi="Times New Roman" w:cs="Times New Roman"/>
          <w:sz w:val="24"/>
          <w:szCs w:val="24"/>
        </w:rPr>
        <w:t>The Juvenile Justice Act allows for treating older adolescents as adults in cases of severe offenses, aiming to balance child rights and address serious crimes. In heinous offense cases, the Juvenile Justice Board conducts a preliminary assessment, considering factors like the child's understanding of the offense's consequences, their physical and mental capacity, and the circumstances of the offense</w:t>
      </w:r>
      <w:r w:rsidR="004E1300" w:rsidRPr="004E1300">
        <w:rPr>
          <w:rFonts w:ascii="Times New Roman" w:hAnsi="Times New Roman" w:cs="Times New Roman"/>
          <w:sz w:val="24"/>
          <w:szCs w:val="24"/>
        </w:rPr>
        <w:t xml:space="preserve">. The purpose of this </w:t>
      </w:r>
      <w:r w:rsidR="006A797B">
        <w:rPr>
          <w:rStyle w:val="FootnoteReference"/>
          <w:rFonts w:ascii="Times New Roman" w:hAnsi="Times New Roman" w:cs="Times New Roman"/>
          <w:sz w:val="24"/>
          <w:szCs w:val="24"/>
        </w:rPr>
        <w:t xml:space="preserve"> </w:t>
      </w:r>
      <w:r w:rsidR="004E1300" w:rsidRPr="004E1300">
        <w:rPr>
          <w:rFonts w:ascii="Times New Roman" w:hAnsi="Times New Roman" w:cs="Times New Roman"/>
          <w:sz w:val="24"/>
          <w:szCs w:val="24"/>
        </w:rPr>
        <w:t>assessment is to make an informed decision about whether the child should be treated as a juvenile or as an adult in the legal proceedings.</w:t>
      </w:r>
    </w:p>
    <w:p w14:paraId="2C1E4482" w14:textId="6A32FD83" w:rsidR="004E1300" w:rsidRDefault="000413F0" w:rsidP="00103A6E">
      <w:pPr>
        <w:pStyle w:val="ListParagraph"/>
        <w:spacing w:line="360" w:lineRule="auto"/>
        <w:jc w:val="both"/>
        <w:rPr>
          <w:rFonts w:ascii="Times New Roman" w:hAnsi="Times New Roman" w:cs="Times New Roman"/>
          <w:sz w:val="24"/>
          <w:szCs w:val="24"/>
        </w:rPr>
      </w:pPr>
      <w:r w:rsidRPr="000413F0">
        <w:rPr>
          <w:rFonts w:ascii="Times New Roman" w:hAnsi="Times New Roman" w:cs="Times New Roman"/>
          <w:sz w:val="24"/>
          <w:szCs w:val="24"/>
        </w:rPr>
        <w:t>The law's stance may seem intriguing and even contradictory. While it permits the treatment of older adolescents as adults when they commit serious crimes, it simultaneously prohibits these same adolescents from giving sexual consent with the same level of understanding and maturity as adults.</w:t>
      </w:r>
    </w:p>
    <w:p w14:paraId="77BAE772" w14:textId="6B754D56" w:rsidR="00B82F37" w:rsidRDefault="00B82F37" w:rsidP="003615F9">
      <w:pPr>
        <w:pStyle w:val="ListParagraph"/>
        <w:spacing w:line="360" w:lineRule="auto"/>
        <w:jc w:val="both"/>
        <w:rPr>
          <w:rFonts w:ascii="Times New Roman" w:hAnsi="Times New Roman" w:cs="Times New Roman"/>
          <w:sz w:val="24"/>
          <w:szCs w:val="24"/>
        </w:rPr>
      </w:pPr>
      <w:r w:rsidRPr="00B82F37">
        <w:rPr>
          <w:rFonts w:ascii="Times New Roman" w:hAnsi="Times New Roman" w:cs="Times New Roman"/>
          <w:sz w:val="24"/>
          <w:szCs w:val="24"/>
        </w:rPr>
        <w:t>The effects of this legislation go beyond the individuals, predominantly men and boys, who are accused of sexually abusing their romantic partners. It can have a profound and often devastating impact on their lives. This includes the trauma of incarceration, disruption to their education and livelihood, and the enduring stigma they may encounter.</w:t>
      </w:r>
      <w:r>
        <w:rPr>
          <w:rFonts w:ascii="Times New Roman" w:hAnsi="Times New Roman" w:cs="Times New Roman"/>
          <w:sz w:val="24"/>
          <w:szCs w:val="24"/>
        </w:rPr>
        <w:t xml:space="preserve"> Even the young women suffer the wrath of the system and go through grave humiliation. </w:t>
      </w:r>
    </w:p>
    <w:p w14:paraId="28E4571D" w14:textId="77777777" w:rsidR="00FA7272" w:rsidRDefault="00FA7272" w:rsidP="003615F9">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Even though the inclination is towards recognising adolescent romantic relationship and consequently reducing the age of consent, it does not talk about excluding this specific age group from the protection of the law.</w:t>
      </w:r>
    </w:p>
    <w:p w14:paraId="559D4689" w14:textId="46039AF1" w:rsidR="00FA7272" w:rsidRDefault="00FA7272" w:rsidP="003615F9">
      <w:pPr>
        <w:pStyle w:val="ListParagraph"/>
        <w:spacing w:line="360" w:lineRule="auto"/>
        <w:jc w:val="both"/>
        <w:rPr>
          <w:rFonts w:ascii="Times New Roman" w:hAnsi="Times New Roman" w:cs="Times New Roman"/>
          <w:sz w:val="24"/>
          <w:szCs w:val="24"/>
        </w:rPr>
      </w:pPr>
      <w:r w:rsidRPr="00FA7272">
        <w:rPr>
          <w:rFonts w:ascii="Times New Roman" w:hAnsi="Times New Roman" w:cs="Times New Roman"/>
          <w:sz w:val="24"/>
          <w:szCs w:val="24"/>
        </w:rPr>
        <w:t xml:space="preserve">Enfold Proactive Health Trust, in their insightful study, recommends that adolescents between the ages of 16 and 18 should still be protected under the POCSO Act when they are victims of non-consensual sexual acts. </w:t>
      </w:r>
      <w:r>
        <w:rPr>
          <w:rFonts w:ascii="Times New Roman" w:hAnsi="Times New Roman" w:cs="Times New Roman"/>
          <w:sz w:val="24"/>
          <w:szCs w:val="24"/>
        </w:rPr>
        <w:t xml:space="preserve"> </w:t>
      </w:r>
    </w:p>
    <w:p w14:paraId="3438B50C" w14:textId="6667B956" w:rsidR="00B82F37" w:rsidRDefault="00103A6E" w:rsidP="003615F9">
      <w:pPr>
        <w:pStyle w:val="ListParagraph"/>
        <w:spacing w:line="360" w:lineRule="auto"/>
        <w:jc w:val="both"/>
        <w:rPr>
          <w:rFonts w:ascii="Times New Roman" w:hAnsi="Times New Roman" w:cs="Times New Roman"/>
          <w:sz w:val="24"/>
          <w:szCs w:val="24"/>
        </w:rPr>
      </w:pPr>
      <w:r w:rsidRPr="00103A6E">
        <w:rPr>
          <w:rFonts w:ascii="Times New Roman" w:hAnsi="Times New Roman" w:cs="Times New Roman"/>
          <w:sz w:val="24"/>
          <w:szCs w:val="24"/>
        </w:rPr>
        <w:lastRenderedPageBreak/>
        <w:t>This proposal aims to balance consensual adolescent relationships, preventing unnecessary criminalization, while maintaining the child-friendly provisions of the POCSO Act for cases of sexual abuse in this age group, aligning with the law's protective intent for children.</w:t>
      </w:r>
      <w:r w:rsidR="00E20EA6">
        <w:rPr>
          <w:rStyle w:val="FootnoteReference"/>
          <w:rFonts w:ascii="Times New Roman" w:hAnsi="Times New Roman" w:cs="Times New Roman"/>
          <w:sz w:val="24"/>
          <w:szCs w:val="24"/>
        </w:rPr>
        <w:footnoteReference w:id="9"/>
      </w:r>
    </w:p>
    <w:p w14:paraId="31D124C6" w14:textId="77777777" w:rsidR="00FA7272" w:rsidRDefault="00FA7272" w:rsidP="003615F9">
      <w:pPr>
        <w:pStyle w:val="ListParagraph"/>
        <w:spacing w:line="360" w:lineRule="auto"/>
        <w:jc w:val="both"/>
        <w:rPr>
          <w:rFonts w:ascii="Times New Roman" w:hAnsi="Times New Roman" w:cs="Times New Roman"/>
          <w:sz w:val="24"/>
          <w:szCs w:val="24"/>
        </w:rPr>
      </w:pPr>
    </w:p>
    <w:p w14:paraId="7426CB57" w14:textId="3A5DF3B1" w:rsidR="00E20EA6" w:rsidRDefault="00E20EA6" w:rsidP="006A797B">
      <w:pPr>
        <w:pStyle w:val="ListParagraph"/>
        <w:numPr>
          <w:ilvl w:val="0"/>
          <w:numId w:val="3"/>
        </w:numPr>
        <w:spacing w:line="36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THE CHAOS IN THE LEGAL SYSTEM BY NOT REDUCING THE AGE OF CONSENT</w:t>
      </w:r>
    </w:p>
    <w:p w14:paraId="4740AFB2" w14:textId="77777777" w:rsidR="006A797B" w:rsidRDefault="006A797B" w:rsidP="00E20EA6">
      <w:pPr>
        <w:pStyle w:val="ListParagraph"/>
        <w:spacing w:line="360" w:lineRule="auto"/>
        <w:rPr>
          <w:rFonts w:ascii="Times New Roman" w:hAnsi="Times New Roman" w:cs="Times New Roman"/>
          <w:b/>
          <w:bCs/>
          <w:sz w:val="24"/>
          <w:szCs w:val="24"/>
          <w:u w:val="single"/>
        </w:rPr>
      </w:pPr>
    </w:p>
    <w:p w14:paraId="764B10CA" w14:textId="2E9C11E8" w:rsidR="00E20EA6" w:rsidRDefault="000D051B" w:rsidP="00E20EA6">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0D051B">
        <w:rPr>
          <w:rFonts w:ascii="Times New Roman" w:hAnsi="Times New Roman" w:cs="Times New Roman"/>
          <w:sz w:val="24"/>
          <w:szCs w:val="24"/>
        </w:rPr>
        <w:t>A comprehensive study by the Centre for Child and the Law at the National Law School of India University examined 526 sexual assault complaints under POCSO in Delhi State from January 2013 to September 2015. Among these, 28% (186 complaints) involved adolescents aged 16 to 18. Significantly, 90% of cases within this age group (167 out of 186) resulted in acquittals as the adolescent girls chose not to testify against their sexual partners. Of all cases, 19% (100) involved accused individuals who had married the adolescent girls by the time the cases reached court. Additionally, 10% (51) of the adolescent girls testified that the accused was their boyfriend, and 7% (36) said the accused was a friend. The study also found that, generally, as the adolescent girl's age increased, there was a higher likelihood that she would not support the prosecution. In these cases, adolescent girls refrained from supporting the prosecution due to their consensual relationships, with no intention of reporting rape.</w:t>
      </w:r>
      <w:r w:rsidR="002D4DB1">
        <w:rPr>
          <w:rStyle w:val="FootnoteReference"/>
          <w:rFonts w:ascii="Times New Roman" w:hAnsi="Times New Roman" w:cs="Times New Roman"/>
          <w:sz w:val="24"/>
          <w:szCs w:val="24"/>
        </w:rPr>
        <w:footnoteReference w:id="10"/>
      </w:r>
    </w:p>
    <w:p w14:paraId="18C8319B" w14:textId="54D6C74D" w:rsidR="00E20EA6" w:rsidRDefault="00E20EA6" w:rsidP="00E20EA6">
      <w:pPr>
        <w:pStyle w:val="ListParagraph"/>
        <w:spacing w:line="360" w:lineRule="auto"/>
        <w:jc w:val="both"/>
        <w:rPr>
          <w:rFonts w:ascii="Times New Roman" w:hAnsi="Times New Roman" w:cs="Times New Roman"/>
          <w:sz w:val="24"/>
          <w:szCs w:val="24"/>
        </w:rPr>
      </w:pPr>
      <w:r w:rsidRPr="00E20EA6">
        <w:rPr>
          <w:rFonts w:ascii="Times New Roman" w:hAnsi="Times New Roman" w:cs="Times New Roman"/>
          <w:sz w:val="24"/>
          <w:szCs w:val="24"/>
        </w:rPr>
        <w:t>A comparable examination of cases in a fast-track court dedicated to sexual offences against women in Lucknow34 between April and May 2015 found that more than half of complaints were brought by parents of consenting teenage daughters.</w:t>
      </w:r>
      <w:r>
        <w:rPr>
          <w:rFonts w:ascii="Times New Roman" w:hAnsi="Times New Roman" w:cs="Times New Roman"/>
          <w:sz w:val="24"/>
          <w:szCs w:val="24"/>
        </w:rPr>
        <w:t xml:space="preserve"> As they were very evidently against the relationship of the “accused” and the “victim.”</w:t>
      </w:r>
      <w:r w:rsidR="00643BC2">
        <w:rPr>
          <w:rStyle w:val="FootnoteReference"/>
          <w:rFonts w:ascii="Times New Roman" w:hAnsi="Times New Roman" w:cs="Times New Roman"/>
          <w:sz w:val="24"/>
          <w:szCs w:val="24"/>
        </w:rPr>
        <w:t xml:space="preserve"> </w:t>
      </w:r>
    </w:p>
    <w:p w14:paraId="372D13BE" w14:textId="393008C2" w:rsidR="00E20EA6" w:rsidRDefault="00103A6E" w:rsidP="00E20EA6">
      <w:pPr>
        <w:pStyle w:val="ListParagraph"/>
        <w:spacing w:line="360" w:lineRule="auto"/>
        <w:jc w:val="both"/>
        <w:rPr>
          <w:rFonts w:ascii="Times New Roman" w:hAnsi="Times New Roman" w:cs="Times New Roman"/>
          <w:sz w:val="24"/>
          <w:szCs w:val="24"/>
        </w:rPr>
      </w:pPr>
      <w:r w:rsidRPr="00103A6E">
        <w:rPr>
          <w:rFonts w:ascii="Times New Roman" w:hAnsi="Times New Roman" w:cs="Times New Roman"/>
          <w:sz w:val="24"/>
          <w:szCs w:val="24"/>
        </w:rPr>
        <w:t>A recent Partners in Law and Development study found that girls may elope with boyfriends when parents oppose their relationships, leading to marriages marked by uncertainties and unpreparedness. This perpetuates the societal belief that sex should solely take place within marriage, especially among adolescents, reinforcing ideas about virginity, child legitimacy, and the honour of women's sexuality.</w:t>
      </w:r>
      <w:r w:rsidR="00643BC2">
        <w:rPr>
          <w:rStyle w:val="FootnoteReference"/>
          <w:rFonts w:ascii="Times New Roman" w:hAnsi="Times New Roman" w:cs="Times New Roman"/>
          <w:sz w:val="24"/>
          <w:szCs w:val="24"/>
        </w:rPr>
        <w:footnoteReference w:id="11"/>
      </w:r>
    </w:p>
    <w:p w14:paraId="0ECC5CFD" w14:textId="0EDB1287" w:rsidR="00B024D3" w:rsidRPr="00B024D3" w:rsidRDefault="00B024D3" w:rsidP="00B024D3">
      <w:pPr>
        <w:pStyle w:val="ListParagraph"/>
        <w:spacing w:line="360" w:lineRule="auto"/>
        <w:jc w:val="both"/>
        <w:rPr>
          <w:rFonts w:ascii="Times New Roman" w:hAnsi="Times New Roman" w:cs="Times New Roman"/>
          <w:sz w:val="24"/>
          <w:szCs w:val="24"/>
        </w:rPr>
      </w:pPr>
      <w:r w:rsidRPr="00B024D3">
        <w:rPr>
          <w:rFonts w:ascii="Times New Roman" w:hAnsi="Times New Roman" w:cs="Times New Roman"/>
          <w:sz w:val="24"/>
          <w:szCs w:val="24"/>
        </w:rPr>
        <w:lastRenderedPageBreak/>
        <w:t>In the case of Sabari @ Sabarinathan @ Sabarivasan vs. the Inspector of Police, the Madras High Court recently acquitted a 19-year-old accused of kidnapping and sexually assaulting a 17-year-old girl in 2014. The lower court had sentenced him to 10 years in prison and fined him Rs 3,000 in 2018, despite the girl's statement that she consented to the relationship and lived with him for six months. The case began with a complaint from the girl's grandfather about her disappearance, supported by a doctor's testimony regarding her ruptured hymen.</w:t>
      </w:r>
      <w:r w:rsidR="00643BC2">
        <w:rPr>
          <w:rStyle w:val="FootnoteReference"/>
          <w:rFonts w:ascii="Times New Roman" w:hAnsi="Times New Roman" w:cs="Times New Roman"/>
          <w:sz w:val="24"/>
          <w:szCs w:val="24"/>
        </w:rPr>
        <w:footnoteReference w:id="12"/>
      </w:r>
    </w:p>
    <w:p w14:paraId="511805CA" w14:textId="77777777" w:rsidR="00B024D3" w:rsidRPr="00B024D3" w:rsidRDefault="00B024D3" w:rsidP="00B024D3">
      <w:pPr>
        <w:pStyle w:val="ListParagraph"/>
        <w:spacing w:line="360" w:lineRule="auto"/>
        <w:jc w:val="both"/>
        <w:rPr>
          <w:rFonts w:ascii="Times New Roman" w:hAnsi="Times New Roman" w:cs="Times New Roman"/>
          <w:sz w:val="24"/>
          <w:szCs w:val="24"/>
        </w:rPr>
      </w:pPr>
      <w:r w:rsidRPr="00B024D3">
        <w:rPr>
          <w:rFonts w:ascii="Times New Roman" w:hAnsi="Times New Roman" w:cs="Times New Roman"/>
          <w:sz w:val="24"/>
          <w:szCs w:val="24"/>
        </w:rPr>
        <w:t>The High Court, after a thorough review, found insufficient evidence to support the charges. They criticized the trial court for overlooking critical factors, including the circumstances surrounding the complaint's filing and the girl's explanation that her previous disappearance resulted from her parents arranging a marriage.</w:t>
      </w:r>
    </w:p>
    <w:p w14:paraId="47B77275" w14:textId="21A2F2D9" w:rsidR="00103A6E" w:rsidRDefault="00B024D3" w:rsidP="00B024D3">
      <w:pPr>
        <w:pStyle w:val="ListParagraph"/>
        <w:spacing w:line="360" w:lineRule="auto"/>
        <w:jc w:val="both"/>
        <w:rPr>
          <w:rFonts w:ascii="Times New Roman" w:hAnsi="Times New Roman" w:cs="Times New Roman"/>
          <w:sz w:val="24"/>
          <w:szCs w:val="24"/>
        </w:rPr>
      </w:pPr>
      <w:r w:rsidRPr="00B024D3">
        <w:rPr>
          <w:rFonts w:ascii="Times New Roman" w:hAnsi="Times New Roman" w:cs="Times New Roman"/>
          <w:sz w:val="24"/>
          <w:szCs w:val="24"/>
        </w:rPr>
        <w:t>The High Court also opined that girls aged 16 and above were mature enough to provide consent for sexual activity and recommended redefining the term "child" under 2(d) of the POCSO Act to 16 years from the current 18 years.</w:t>
      </w:r>
      <w:r>
        <w:rPr>
          <w:rFonts w:ascii="Times New Roman" w:hAnsi="Times New Roman" w:cs="Times New Roman"/>
          <w:sz w:val="24"/>
          <w:szCs w:val="24"/>
        </w:rPr>
        <w:t xml:space="preserve"> </w:t>
      </w:r>
    </w:p>
    <w:p w14:paraId="3748DC7F" w14:textId="4F28FF2C" w:rsidR="00720E38" w:rsidRPr="00103A6E" w:rsidRDefault="00103A6E" w:rsidP="00103A6E">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14:paraId="554294ED" w14:textId="780860E7" w:rsidR="00FF3321" w:rsidRDefault="00FF3321" w:rsidP="006A797B">
      <w:pPr>
        <w:pStyle w:val="ListParagraph"/>
        <w:numPr>
          <w:ilvl w:val="0"/>
          <w:numId w:val="3"/>
        </w:numPr>
        <w:spacing w:line="360" w:lineRule="auto"/>
        <w:rPr>
          <w:rFonts w:ascii="Times New Roman" w:hAnsi="Times New Roman" w:cs="Times New Roman"/>
          <w:b/>
          <w:bCs/>
          <w:sz w:val="24"/>
          <w:szCs w:val="24"/>
          <w:u w:val="single"/>
        </w:rPr>
      </w:pPr>
      <w:r w:rsidRPr="00FF3321">
        <w:rPr>
          <w:rFonts w:ascii="Times New Roman" w:hAnsi="Times New Roman" w:cs="Times New Roman"/>
          <w:b/>
          <w:bCs/>
          <w:sz w:val="24"/>
          <w:szCs w:val="24"/>
          <w:u w:val="single"/>
        </w:rPr>
        <w:t>RESTRICTED HEALTHCARE ACCESS FOR ADOLESCENT GIRLS</w:t>
      </w:r>
    </w:p>
    <w:p w14:paraId="59984BA3" w14:textId="77777777" w:rsidR="00B024D3" w:rsidRDefault="00B024D3" w:rsidP="00FF3321">
      <w:pPr>
        <w:pStyle w:val="ListParagraph"/>
        <w:spacing w:line="360" w:lineRule="auto"/>
        <w:rPr>
          <w:rFonts w:ascii="Times New Roman" w:hAnsi="Times New Roman" w:cs="Times New Roman"/>
          <w:b/>
          <w:bCs/>
          <w:sz w:val="24"/>
          <w:szCs w:val="24"/>
          <w:u w:val="single"/>
        </w:rPr>
      </w:pPr>
    </w:p>
    <w:p w14:paraId="096DF670" w14:textId="4012B913" w:rsidR="009D10D1" w:rsidRDefault="008502AB" w:rsidP="008502AB">
      <w:pPr>
        <w:pStyle w:val="ListParagraph"/>
        <w:spacing w:line="360" w:lineRule="auto"/>
        <w:jc w:val="both"/>
        <w:rPr>
          <w:rFonts w:ascii="Times New Roman" w:hAnsi="Times New Roman" w:cs="Times New Roman"/>
          <w:sz w:val="24"/>
          <w:szCs w:val="24"/>
        </w:rPr>
      </w:pPr>
      <w:r w:rsidRPr="008502AB">
        <w:rPr>
          <w:rFonts w:ascii="Times New Roman" w:hAnsi="Times New Roman" w:cs="Times New Roman"/>
          <w:sz w:val="24"/>
          <w:szCs w:val="24"/>
        </w:rPr>
        <w:t>Sexually active adolescents require diverse healthcare services, including contraception, STI care, and abortion. Mandatory reporting due to laws criminalizing sexual activity under 18 infringes on adolescents' autonomy and privacy when seeking healthcare. Doctors are obligated to report cases, even for services like abortion or sexual assault complaints, which can undermine informed consent, privacy, and confidentiality for the adolescent.</w:t>
      </w:r>
    </w:p>
    <w:p w14:paraId="7666BF0D" w14:textId="3DEE5C54" w:rsidR="008502AB" w:rsidRDefault="008502AB" w:rsidP="008502AB">
      <w:pPr>
        <w:pStyle w:val="ListParagraph"/>
        <w:spacing w:line="360" w:lineRule="auto"/>
        <w:jc w:val="both"/>
        <w:rPr>
          <w:rFonts w:ascii="Times New Roman" w:hAnsi="Times New Roman" w:cs="Times New Roman"/>
          <w:sz w:val="24"/>
          <w:szCs w:val="24"/>
        </w:rPr>
      </w:pPr>
      <w:r w:rsidRPr="008502AB">
        <w:rPr>
          <w:rFonts w:ascii="Times New Roman" w:hAnsi="Times New Roman" w:cs="Times New Roman"/>
          <w:sz w:val="24"/>
          <w:szCs w:val="24"/>
        </w:rPr>
        <w:t>Reports indicate doctors often report sexual assault suspicions and abortion requests to law enforcement without the adolescent girl's consent. This can result in girls refusing treatment, avoiding hospitals due to reporting fears, or leaving the hospital. This poses a dilemma for young girls: report their boyfriends for sexual activity or forgo healthcare. Consequently, criminalizing adolescent sexuality and mandatory reporting have hindered their access to reproductive and sexual healthcare.</w:t>
      </w:r>
      <w:r w:rsidR="00643BC2">
        <w:rPr>
          <w:rStyle w:val="FootnoteReference"/>
          <w:rFonts w:ascii="Times New Roman" w:hAnsi="Times New Roman" w:cs="Times New Roman"/>
          <w:sz w:val="24"/>
          <w:szCs w:val="24"/>
        </w:rPr>
        <w:footnoteReference w:id="13"/>
      </w:r>
    </w:p>
    <w:p w14:paraId="05D55E11" w14:textId="3D0DD36A" w:rsidR="009D10D1" w:rsidRPr="008502AB" w:rsidRDefault="008502AB" w:rsidP="008502AB">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14:paraId="70A30194" w14:textId="349DE9B1" w:rsidR="009D10D1" w:rsidRDefault="009C2F76" w:rsidP="006A797B">
      <w:pPr>
        <w:pStyle w:val="ListParagraph"/>
        <w:numPr>
          <w:ilvl w:val="0"/>
          <w:numId w:val="3"/>
        </w:numPr>
        <w:spacing w:line="360" w:lineRule="auto"/>
        <w:rPr>
          <w:rFonts w:ascii="Times New Roman" w:hAnsi="Times New Roman" w:cs="Times New Roman"/>
          <w:b/>
          <w:bCs/>
          <w:sz w:val="24"/>
          <w:szCs w:val="24"/>
          <w:u w:val="single"/>
        </w:rPr>
      </w:pPr>
      <w:r>
        <w:rPr>
          <w:rFonts w:ascii="Times New Roman" w:hAnsi="Times New Roman" w:cs="Times New Roman"/>
          <w:b/>
          <w:bCs/>
          <w:sz w:val="24"/>
          <w:szCs w:val="24"/>
          <w:u w:val="single"/>
        </w:rPr>
        <w:lastRenderedPageBreak/>
        <w:t>LAW COMMISSION’S STANCE ON REDUCING THE AGE OF CONSENT:</w:t>
      </w:r>
    </w:p>
    <w:p w14:paraId="49E06155" w14:textId="77777777" w:rsidR="008502AB" w:rsidRDefault="008502AB" w:rsidP="009D10D1">
      <w:pPr>
        <w:pStyle w:val="ListParagraph"/>
        <w:spacing w:line="360" w:lineRule="auto"/>
        <w:rPr>
          <w:rFonts w:ascii="Times New Roman" w:hAnsi="Times New Roman" w:cs="Times New Roman"/>
          <w:b/>
          <w:bCs/>
          <w:sz w:val="24"/>
          <w:szCs w:val="24"/>
          <w:u w:val="single"/>
        </w:rPr>
      </w:pPr>
    </w:p>
    <w:p w14:paraId="6FFFA7DC" w14:textId="7CE13197" w:rsidR="009C2F76" w:rsidRDefault="00B024D3" w:rsidP="009C2F76">
      <w:pPr>
        <w:pStyle w:val="ListParagraph"/>
        <w:spacing w:line="360" w:lineRule="auto"/>
        <w:jc w:val="both"/>
        <w:rPr>
          <w:rFonts w:ascii="Times New Roman" w:hAnsi="Times New Roman" w:cs="Times New Roman"/>
          <w:sz w:val="24"/>
          <w:szCs w:val="24"/>
        </w:rPr>
      </w:pPr>
      <w:r w:rsidRPr="00B024D3">
        <w:rPr>
          <w:rFonts w:ascii="Times New Roman" w:hAnsi="Times New Roman" w:cs="Times New Roman"/>
          <w:sz w:val="24"/>
          <w:szCs w:val="24"/>
        </w:rPr>
        <w:t>The 22nd Law Commission, led by Justice (Retired) Ritu Raj Awasthi, submitted report number 283 to the Law Ministry on September 27. In a report released on September 29, the Law Commission recommended retaining the current age of consent at 18 under the POCSO Act. Instead of changing the age, they suggested introducing "guided judicial discretion" for cases involving the implicit consent of individuals aged 16 to 18.</w:t>
      </w:r>
      <w:r>
        <w:rPr>
          <w:rFonts w:ascii="Times New Roman" w:hAnsi="Times New Roman" w:cs="Times New Roman"/>
          <w:sz w:val="24"/>
          <w:szCs w:val="24"/>
        </w:rPr>
        <w:t xml:space="preserve"> </w:t>
      </w:r>
    </w:p>
    <w:p w14:paraId="40B796A4" w14:textId="4AA5F825" w:rsidR="009C2F76" w:rsidRDefault="008C0203" w:rsidP="009C2F76">
      <w:pPr>
        <w:pStyle w:val="ListParagraph"/>
        <w:spacing w:line="360" w:lineRule="auto"/>
        <w:jc w:val="both"/>
        <w:rPr>
          <w:rFonts w:ascii="Times New Roman" w:hAnsi="Times New Roman" w:cs="Times New Roman"/>
          <w:sz w:val="24"/>
          <w:szCs w:val="24"/>
        </w:rPr>
      </w:pPr>
      <w:r w:rsidRPr="008C0203">
        <w:rPr>
          <w:rFonts w:ascii="Times New Roman" w:hAnsi="Times New Roman" w:cs="Times New Roman"/>
          <w:sz w:val="24"/>
          <w:szCs w:val="24"/>
        </w:rPr>
        <w:t>The Law Commission's report acknowledged that specific amendments would be necessary in the POCSO Act, 2012 to address the situation where children aged between 16 and 18 years provide tacit approval, even if it doesn't legally qualify as consent.</w:t>
      </w:r>
    </w:p>
    <w:p w14:paraId="6BD10C06" w14:textId="2CA4D928" w:rsidR="001E1B89" w:rsidRPr="008502AB" w:rsidRDefault="008502AB" w:rsidP="008502AB">
      <w:pPr>
        <w:pStyle w:val="ListParagraph"/>
        <w:spacing w:line="360" w:lineRule="auto"/>
        <w:jc w:val="both"/>
        <w:rPr>
          <w:rFonts w:ascii="Times New Roman" w:hAnsi="Times New Roman" w:cs="Times New Roman"/>
          <w:sz w:val="24"/>
          <w:szCs w:val="24"/>
        </w:rPr>
      </w:pPr>
      <w:r w:rsidRPr="008502AB">
        <w:rPr>
          <w:rFonts w:ascii="Times New Roman" w:hAnsi="Times New Roman" w:cs="Times New Roman"/>
          <w:sz w:val="24"/>
          <w:szCs w:val="24"/>
        </w:rPr>
        <w:t>The panel stressed that lowering the age of consent would impact efforts to combat child marriage and child trafficking and advised caution in cases related to "adolescent love," citing the rise in grooming and cybercrimes targeting young individuals in this age group.</w:t>
      </w:r>
      <w:r w:rsidR="00643BC2">
        <w:rPr>
          <w:rStyle w:val="FootnoteReference"/>
          <w:rFonts w:ascii="Times New Roman" w:hAnsi="Times New Roman" w:cs="Times New Roman"/>
          <w:sz w:val="24"/>
          <w:szCs w:val="24"/>
        </w:rPr>
        <w:footnoteReference w:id="14"/>
      </w:r>
    </w:p>
    <w:p w14:paraId="38491751" w14:textId="7F114D42" w:rsidR="008C0203" w:rsidRDefault="008C0203" w:rsidP="009C2F76">
      <w:pPr>
        <w:pStyle w:val="ListParagraph"/>
        <w:spacing w:line="360" w:lineRule="auto"/>
        <w:jc w:val="both"/>
        <w:rPr>
          <w:rFonts w:ascii="Times New Roman" w:hAnsi="Times New Roman" w:cs="Times New Roman"/>
          <w:sz w:val="24"/>
          <w:szCs w:val="24"/>
        </w:rPr>
      </w:pPr>
      <w:r w:rsidRPr="008C0203">
        <w:rPr>
          <w:rFonts w:ascii="Times New Roman" w:hAnsi="Times New Roman" w:cs="Times New Roman"/>
          <w:sz w:val="24"/>
          <w:szCs w:val="24"/>
        </w:rPr>
        <w:t>In his covering letter to Law Minister Arjun Ram Meghwal, Justice Awasthi wrote, “...the Commission is of the measured view that it is not advisable to tinker with the existing age of consent under the POCSO Act”.</w:t>
      </w:r>
    </w:p>
    <w:p w14:paraId="565A577E" w14:textId="668BCD88" w:rsidR="008C0203" w:rsidRDefault="008C0203" w:rsidP="009C2F76">
      <w:pPr>
        <w:pStyle w:val="ListParagraph"/>
        <w:spacing w:line="360" w:lineRule="auto"/>
        <w:jc w:val="both"/>
        <w:rPr>
          <w:rFonts w:ascii="Times New Roman" w:hAnsi="Times New Roman" w:cs="Times New Roman"/>
          <w:sz w:val="24"/>
          <w:szCs w:val="24"/>
        </w:rPr>
      </w:pPr>
      <w:r w:rsidRPr="008C0203">
        <w:rPr>
          <w:rFonts w:ascii="Times New Roman" w:hAnsi="Times New Roman" w:cs="Times New Roman"/>
          <w:sz w:val="24"/>
          <w:szCs w:val="24"/>
        </w:rPr>
        <w:t>The Karnataka High Court (Dharwad Bench) raised the question of the age of consent and referred it to the Law Commission on November 9, 2022. The court asked the Commission to reconsider the age criteria for consent, specifically considering the increasing instances of minor girls above the age of 16 years falling in love, eloping, and engaging in sexual intercourse with boys.</w:t>
      </w:r>
    </w:p>
    <w:p w14:paraId="12E7DC79" w14:textId="320B29C5" w:rsidR="008C0203" w:rsidRDefault="008C0203" w:rsidP="009C2F76">
      <w:pPr>
        <w:pStyle w:val="ListParagraph"/>
        <w:spacing w:line="360" w:lineRule="auto"/>
        <w:jc w:val="both"/>
        <w:rPr>
          <w:rFonts w:ascii="Times New Roman" w:hAnsi="Times New Roman" w:cs="Times New Roman"/>
          <w:sz w:val="24"/>
          <w:szCs w:val="24"/>
        </w:rPr>
      </w:pPr>
      <w:r w:rsidRPr="008C0203">
        <w:rPr>
          <w:rFonts w:ascii="Times New Roman" w:hAnsi="Times New Roman" w:cs="Times New Roman"/>
          <w:sz w:val="24"/>
          <w:szCs w:val="24"/>
        </w:rPr>
        <w:t>The Madhya Pradesh High Court (Gwalior Bench) also made a similar reference in April this year. The court pointed out that the existing application of the POCSO Act can result in unjust outcomes in cases of statutory rape where de facto consent is evident.</w:t>
      </w:r>
    </w:p>
    <w:p w14:paraId="61B1A651" w14:textId="470E10B0" w:rsidR="008C0203" w:rsidRDefault="008C0203" w:rsidP="009C2F76">
      <w:pPr>
        <w:pStyle w:val="ListParagraph"/>
        <w:spacing w:line="360" w:lineRule="auto"/>
        <w:jc w:val="both"/>
        <w:rPr>
          <w:rFonts w:ascii="Times New Roman" w:hAnsi="Times New Roman" w:cs="Times New Roman"/>
          <w:sz w:val="24"/>
          <w:szCs w:val="24"/>
        </w:rPr>
      </w:pPr>
      <w:r w:rsidRPr="008C0203">
        <w:rPr>
          <w:rFonts w:ascii="Times New Roman" w:hAnsi="Times New Roman" w:cs="Times New Roman"/>
          <w:sz w:val="24"/>
          <w:szCs w:val="24"/>
        </w:rPr>
        <w:t>In response to these judicial observations, the Commission recognized that cases involving tacit approval do not warrant the same level of severity as</w:t>
      </w:r>
      <w:r>
        <w:rPr>
          <w:rFonts w:ascii="Times New Roman" w:hAnsi="Times New Roman" w:cs="Times New Roman"/>
          <w:sz w:val="24"/>
          <w:szCs w:val="24"/>
        </w:rPr>
        <w:t xml:space="preserve"> “</w:t>
      </w:r>
      <w:r w:rsidRPr="008C0203">
        <w:rPr>
          <w:rFonts w:ascii="Times New Roman" w:hAnsi="Times New Roman" w:cs="Times New Roman"/>
          <w:sz w:val="24"/>
          <w:szCs w:val="24"/>
        </w:rPr>
        <w:t>cases that were ideally imagined to</w:t>
      </w:r>
      <w:r w:rsidR="008502AB">
        <w:rPr>
          <w:rFonts w:ascii="Times New Roman" w:hAnsi="Times New Roman" w:cs="Times New Roman"/>
          <w:sz w:val="24"/>
          <w:szCs w:val="24"/>
        </w:rPr>
        <w:t xml:space="preserve"> </w:t>
      </w:r>
      <w:r w:rsidRPr="008C0203">
        <w:rPr>
          <w:rFonts w:ascii="Times New Roman" w:hAnsi="Times New Roman" w:cs="Times New Roman"/>
          <w:sz w:val="24"/>
          <w:szCs w:val="24"/>
        </w:rPr>
        <w:t>fall under the POCSO Act”.</w:t>
      </w:r>
    </w:p>
    <w:p w14:paraId="7613D1F8" w14:textId="22A7B727" w:rsidR="008C0203" w:rsidRDefault="008C0203" w:rsidP="009C2F76">
      <w:pPr>
        <w:pStyle w:val="ListParagraph"/>
        <w:spacing w:line="360" w:lineRule="auto"/>
        <w:jc w:val="both"/>
        <w:rPr>
          <w:rFonts w:ascii="Times New Roman" w:hAnsi="Times New Roman" w:cs="Times New Roman"/>
          <w:sz w:val="24"/>
          <w:szCs w:val="24"/>
        </w:rPr>
      </w:pPr>
      <w:r w:rsidRPr="008C0203">
        <w:rPr>
          <w:rFonts w:ascii="Times New Roman" w:hAnsi="Times New Roman" w:cs="Times New Roman"/>
          <w:sz w:val="24"/>
          <w:szCs w:val="24"/>
        </w:rPr>
        <w:lastRenderedPageBreak/>
        <w:t xml:space="preserve">“The Commission, therefore, deems it fit to introduce guided judicial discretion in the matter of sentencing in such cases. This will ensure that the law is balanced, thus safeguarding the best interests of the child. Accordingly, this Report is being submitted for your kind perusal,” </w:t>
      </w:r>
      <w:r>
        <w:rPr>
          <w:rFonts w:ascii="Times New Roman" w:hAnsi="Times New Roman" w:cs="Times New Roman"/>
          <w:sz w:val="24"/>
          <w:szCs w:val="24"/>
        </w:rPr>
        <w:t>as mentioned by Justice Awasthi in the letter.</w:t>
      </w:r>
      <w:r w:rsidR="00643BC2">
        <w:rPr>
          <w:rStyle w:val="FootnoteReference"/>
          <w:rFonts w:ascii="Times New Roman" w:hAnsi="Times New Roman" w:cs="Times New Roman"/>
          <w:sz w:val="24"/>
          <w:szCs w:val="24"/>
        </w:rPr>
        <w:footnoteReference w:id="15"/>
      </w:r>
    </w:p>
    <w:p w14:paraId="5CE92854" w14:textId="6735E24D" w:rsidR="004E7107" w:rsidRDefault="000D051B" w:rsidP="009C2F76">
      <w:pPr>
        <w:pStyle w:val="ListParagraph"/>
        <w:spacing w:line="360" w:lineRule="auto"/>
        <w:jc w:val="both"/>
        <w:rPr>
          <w:rFonts w:ascii="Times New Roman" w:hAnsi="Times New Roman" w:cs="Times New Roman"/>
          <w:sz w:val="24"/>
          <w:szCs w:val="24"/>
        </w:rPr>
      </w:pPr>
      <w:r w:rsidRPr="000D051B">
        <w:rPr>
          <w:rFonts w:ascii="Times New Roman" w:hAnsi="Times New Roman" w:cs="Times New Roman"/>
          <w:sz w:val="24"/>
          <w:szCs w:val="24"/>
        </w:rPr>
        <w:t xml:space="preserve">The Calcutta High Court expressed mixed opinions on the issue of consent. While it called for the decriminalization of consensual sexual acts among adolescents above 16 years of age, it did not propose </w:t>
      </w:r>
      <w:r>
        <w:rPr>
          <w:rFonts w:ascii="Times New Roman" w:hAnsi="Times New Roman" w:cs="Times New Roman"/>
          <w:sz w:val="24"/>
          <w:szCs w:val="24"/>
        </w:rPr>
        <w:t>tinkering with</w:t>
      </w:r>
      <w:r w:rsidRPr="000D051B">
        <w:rPr>
          <w:rFonts w:ascii="Times New Roman" w:hAnsi="Times New Roman" w:cs="Times New Roman"/>
          <w:sz w:val="24"/>
          <w:szCs w:val="24"/>
        </w:rPr>
        <w:t xml:space="preserve"> the age of consent under the POCSO Act of 2012. In one case, the court acquitted the appellant, describing it as a "non-exploitative consensual relationship between two consenting adolescents," with the victim's age being deemed irrelevant.</w:t>
      </w:r>
      <w:r>
        <w:rPr>
          <w:rFonts w:ascii="Times New Roman" w:hAnsi="Times New Roman" w:cs="Times New Roman"/>
          <w:sz w:val="24"/>
          <w:szCs w:val="24"/>
        </w:rPr>
        <w:t xml:space="preserve"> </w:t>
      </w:r>
      <w:r w:rsidR="004E7107">
        <w:rPr>
          <w:rFonts w:ascii="Times New Roman" w:hAnsi="Times New Roman" w:cs="Times New Roman"/>
          <w:sz w:val="24"/>
          <w:szCs w:val="24"/>
        </w:rPr>
        <w:t xml:space="preserve"> However, as per the bench of Justices </w:t>
      </w:r>
      <w:r w:rsidR="004E7107" w:rsidRPr="004E7107">
        <w:rPr>
          <w:rFonts w:ascii="Times New Roman" w:hAnsi="Times New Roman" w:cs="Times New Roman"/>
          <w:sz w:val="24"/>
          <w:szCs w:val="24"/>
        </w:rPr>
        <w:t>Chitta Ranjan Dash and Partha Sarathi Sen</w:t>
      </w:r>
      <w:r w:rsidR="004E7107">
        <w:rPr>
          <w:rFonts w:ascii="Times New Roman" w:hAnsi="Times New Roman" w:cs="Times New Roman"/>
          <w:sz w:val="24"/>
          <w:szCs w:val="24"/>
        </w:rPr>
        <w:t xml:space="preserve"> the case shall act as a precedent.</w:t>
      </w:r>
    </w:p>
    <w:p w14:paraId="6A0D523D" w14:textId="568177DC" w:rsidR="008C0203" w:rsidRDefault="004E7107" w:rsidP="009C2F76">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w:t>
      </w:r>
      <w:r w:rsidRPr="004E7107">
        <w:rPr>
          <w:rFonts w:ascii="Times New Roman" w:hAnsi="Times New Roman" w:cs="Times New Roman"/>
          <w:sz w:val="24"/>
          <w:szCs w:val="24"/>
        </w:rPr>
        <w:t xml:space="preserve">We do not want our adolescents to do anything that will push them from the dark to the darker side of life. It is normal for each adolescent to seek the company of the opposite </w:t>
      </w:r>
      <w:proofErr w:type="gramStart"/>
      <w:r w:rsidRPr="004E7107">
        <w:rPr>
          <w:rFonts w:ascii="Times New Roman" w:hAnsi="Times New Roman" w:cs="Times New Roman"/>
          <w:sz w:val="24"/>
          <w:szCs w:val="24"/>
        </w:rPr>
        <w:t>sex</w:t>
      </w:r>
      <w:proofErr w:type="gramEnd"/>
      <w:r w:rsidRPr="004E7107">
        <w:rPr>
          <w:rFonts w:ascii="Times New Roman" w:hAnsi="Times New Roman" w:cs="Times New Roman"/>
          <w:sz w:val="24"/>
          <w:szCs w:val="24"/>
        </w:rPr>
        <w:t xml:space="preserve"> but it is not normal for them to engage in sex devoid of any commitment and dedication,” the verdict said.</w:t>
      </w:r>
      <w:r w:rsidR="00643BC2">
        <w:rPr>
          <w:rStyle w:val="FootnoteReference"/>
          <w:rFonts w:ascii="Times New Roman" w:hAnsi="Times New Roman" w:cs="Times New Roman"/>
          <w:sz w:val="24"/>
          <w:szCs w:val="24"/>
        </w:rPr>
        <w:footnoteReference w:id="16"/>
      </w:r>
    </w:p>
    <w:p w14:paraId="73F3C0EA" w14:textId="399E123E" w:rsidR="004E7107" w:rsidRDefault="004E7107" w:rsidP="009C2F76">
      <w:pPr>
        <w:pStyle w:val="ListParagraph"/>
        <w:spacing w:line="360" w:lineRule="auto"/>
        <w:jc w:val="both"/>
        <w:rPr>
          <w:rFonts w:ascii="Times New Roman" w:hAnsi="Times New Roman" w:cs="Times New Roman"/>
          <w:sz w:val="24"/>
          <w:szCs w:val="24"/>
        </w:rPr>
      </w:pPr>
      <w:r w:rsidRPr="004E7107">
        <w:rPr>
          <w:rFonts w:ascii="Times New Roman" w:hAnsi="Times New Roman" w:cs="Times New Roman"/>
          <w:sz w:val="24"/>
          <w:szCs w:val="24"/>
        </w:rPr>
        <w:t>“We leave it to the Law Commission of India and the National Commission for Protection of Child Rights to deliberate on this aspect to give their suggestions to the appropriate government,”</w:t>
      </w:r>
      <w:r>
        <w:rPr>
          <w:rFonts w:ascii="Times New Roman" w:hAnsi="Times New Roman" w:cs="Times New Roman"/>
          <w:sz w:val="24"/>
          <w:szCs w:val="24"/>
        </w:rPr>
        <w:t xml:space="preserve"> as far as tinkering with the age of consent is concerned.</w:t>
      </w:r>
    </w:p>
    <w:p w14:paraId="1BA74328" w14:textId="23E7CE7A" w:rsidR="004E7107" w:rsidRDefault="004E7107" w:rsidP="009C2F76">
      <w:pPr>
        <w:pStyle w:val="ListParagraph"/>
        <w:spacing w:line="360" w:lineRule="auto"/>
        <w:jc w:val="both"/>
        <w:rPr>
          <w:rFonts w:ascii="Times New Roman" w:hAnsi="Times New Roman" w:cs="Times New Roman"/>
          <w:sz w:val="24"/>
          <w:szCs w:val="24"/>
        </w:rPr>
      </w:pPr>
      <w:r w:rsidRPr="004E7107">
        <w:rPr>
          <w:rFonts w:ascii="Times New Roman" w:hAnsi="Times New Roman" w:cs="Times New Roman"/>
          <w:sz w:val="24"/>
          <w:szCs w:val="24"/>
        </w:rPr>
        <w:t xml:space="preserve">The Bench also considered the victim's statement in court, where she disclosed that she had </w:t>
      </w:r>
      <w:r>
        <w:rPr>
          <w:rFonts w:ascii="Times New Roman" w:hAnsi="Times New Roman" w:cs="Times New Roman"/>
          <w:sz w:val="24"/>
          <w:szCs w:val="24"/>
        </w:rPr>
        <w:t xml:space="preserve">voluntarily </w:t>
      </w:r>
      <w:r w:rsidRPr="004E7107">
        <w:rPr>
          <w:rFonts w:ascii="Times New Roman" w:hAnsi="Times New Roman" w:cs="Times New Roman"/>
          <w:sz w:val="24"/>
          <w:szCs w:val="24"/>
        </w:rPr>
        <w:t>married the accused (appellant) in 2019 and had subsequently given birth to a daughter.</w:t>
      </w:r>
      <w:r w:rsidR="001E1B89">
        <w:rPr>
          <w:rFonts w:ascii="Times New Roman" w:hAnsi="Times New Roman" w:cs="Times New Roman"/>
          <w:sz w:val="24"/>
          <w:szCs w:val="24"/>
        </w:rPr>
        <w:t xml:space="preserve"> And the accused was eventually granted bail by the Bench.</w:t>
      </w:r>
    </w:p>
    <w:p w14:paraId="305A08E3" w14:textId="77777777" w:rsidR="0002258B" w:rsidRDefault="0002258B" w:rsidP="009C2F76">
      <w:pPr>
        <w:pStyle w:val="ListParagraph"/>
        <w:spacing w:line="360" w:lineRule="auto"/>
        <w:jc w:val="both"/>
        <w:rPr>
          <w:rFonts w:ascii="Times New Roman" w:hAnsi="Times New Roman" w:cs="Times New Roman"/>
          <w:sz w:val="24"/>
          <w:szCs w:val="24"/>
        </w:rPr>
      </w:pPr>
    </w:p>
    <w:p w14:paraId="7699567C" w14:textId="724B1C81" w:rsidR="00011B22" w:rsidRDefault="00F950A5" w:rsidP="006A797B">
      <w:pPr>
        <w:pStyle w:val="ListParagraph"/>
        <w:numPr>
          <w:ilvl w:val="0"/>
          <w:numId w:val="3"/>
        </w:numPr>
        <w:spacing w:line="36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CONCLUSION</w:t>
      </w:r>
    </w:p>
    <w:p w14:paraId="56CF1DD2" w14:textId="77777777" w:rsidR="006A797B" w:rsidRDefault="006A797B" w:rsidP="006A797B">
      <w:pPr>
        <w:pStyle w:val="ListParagraph"/>
        <w:spacing w:line="360" w:lineRule="auto"/>
        <w:rPr>
          <w:rFonts w:ascii="Times New Roman" w:hAnsi="Times New Roman" w:cs="Times New Roman"/>
          <w:b/>
          <w:bCs/>
          <w:sz w:val="24"/>
          <w:szCs w:val="24"/>
          <w:u w:val="single"/>
        </w:rPr>
      </w:pPr>
    </w:p>
    <w:p w14:paraId="36E5B9E2" w14:textId="17983EE7" w:rsidR="00F950A5" w:rsidRDefault="0002258B" w:rsidP="00F950A5">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02258B">
        <w:rPr>
          <w:rFonts w:ascii="Times New Roman" w:hAnsi="Times New Roman" w:cs="Times New Roman"/>
          <w:sz w:val="24"/>
          <w:szCs w:val="24"/>
        </w:rPr>
        <w:t xml:space="preserve">In conclusion, the Indian judiciary has varied opinions on this issue. Even those not in </w:t>
      </w:r>
      <w:proofErr w:type="spellStart"/>
      <w:r w:rsidR="00386E5A">
        <w:rPr>
          <w:rFonts w:ascii="Times New Roman" w:hAnsi="Times New Roman" w:cs="Times New Roman"/>
          <w:sz w:val="24"/>
          <w:szCs w:val="24"/>
        </w:rPr>
        <w:t>f</w:t>
      </w:r>
      <w:r w:rsidR="00386E5A" w:rsidRPr="0002258B">
        <w:rPr>
          <w:rFonts w:ascii="Times New Roman" w:hAnsi="Times New Roman" w:cs="Times New Roman"/>
          <w:sz w:val="24"/>
          <w:szCs w:val="24"/>
        </w:rPr>
        <w:t>avor</w:t>
      </w:r>
      <w:proofErr w:type="spellEnd"/>
      <w:r w:rsidRPr="0002258B">
        <w:rPr>
          <w:rFonts w:ascii="Times New Roman" w:hAnsi="Times New Roman" w:cs="Times New Roman"/>
          <w:sz w:val="24"/>
          <w:szCs w:val="24"/>
        </w:rPr>
        <w:t xml:space="preserve"> of lowering the age of consent to 16 recognize the reality of adolescent sexuality and the problem of consensual relationships being mischaracterized. The need is for crucial amendments to protect minors from sexual abuse while respecting their autonomy.</w:t>
      </w:r>
      <w:r>
        <w:rPr>
          <w:rFonts w:ascii="Times New Roman" w:hAnsi="Times New Roman" w:cs="Times New Roman"/>
          <w:sz w:val="24"/>
          <w:szCs w:val="24"/>
        </w:rPr>
        <w:t xml:space="preserve"> </w:t>
      </w:r>
      <w:r w:rsidRPr="00F950A5">
        <w:rPr>
          <w:rFonts w:ascii="Times New Roman" w:hAnsi="Times New Roman" w:cs="Times New Roman"/>
          <w:sz w:val="24"/>
          <w:szCs w:val="24"/>
        </w:rPr>
        <w:t>Furthermore</w:t>
      </w:r>
      <w:r w:rsidR="00F950A5" w:rsidRPr="00F950A5">
        <w:rPr>
          <w:rFonts w:ascii="Times New Roman" w:hAnsi="Times New Roman" w:cs="Times New Roman"/>
          <w:sz w:val="24"/>
          <w:szCs w:val="24"/>
        </w:rPr>
        <w:t xml:space="preserve">, the valuable time of the courts is squandered </w:t>
      </w:r>
      <w:r w:rsidRPr="0002258B">
        <w:rPr>
          <w:rFonts w:ascii="Times New Roman" w:hAnsi="Times New Roman" w:cs="Times New Roman"/>
          <w:sz w:val="24"/>
          <w:szCs w:val="24"/>
        </w:rPr>
        <w:t>on false sexual abuse cases with informed consent, delaying justice for genuine victims.</w:t>
      </w:r>
    </w:p>
    <w:p w14:paraId="51A99300" w14:textId="64C8455A" w:rsidR="00F950A5" w:rsidRDefault="0002258B" w:rsidP="00F950A5">
      <w:pPr>
        <w:pStyle w:val="ListParagraph"/>
        <w:spacing w:line="360" w:lineRule="auto"/>
        <w:jc w:val="both"/>
        <w:rPr>
          <w:rFonts w:ascii="Times New Roman" w:hAnsi="Times New Roman" w:cs="Times New Roman"/>
          <w:sz w:val="24"/>
          <w:szCs w:val="24"/>
        </w:rPr>
      </w:pPr>
      <w:r w:rsidRPr="0002258B">
        <w:rPr>
          <w:rFonts w:ascii="Times New Roman" w:hAnsi="Times New Roman" w:cs="Times New Roman"/>
          <w:sz w:val="24"/>
          <w:szCs w:val="24"/>
        </w:rPr>
        <w:lastRenderedPageBreak/>
        <w:t>Legal measures must be accompanied by comprehensive sexuality education, empowerment of girls, access to sexual and reproductive health services, gender-sensitive law enforcement, and social support, especially for girls facing family issues. Promoting comprehensive sex education and a supportive state system can offer healthier options to early, ill-prepared marriages.</w:t>
      </w:r>
      <w:r w:rsidR="00D647CB">
        <w:rPr>
          <w:rStyle w:val="FootnoteReference"/>
          <w:rFonts w:ascii="Times New Roman" w:hAnsi="Times New Roman" w:cs="Times New Roman"/>
          <w:sz w:val="24"/>
          <w:szCs w:val="24"/>
        </w:rPr>
        <w:footnoteReference w:id="17"/>
      </w:r>
    </w:p>
    <w:p w14:paraId="2EC3B953" w14:textId="77777777" w:rsidR="00386E5A" w:rsidRDefault="00386E5A" w:rsidP="00F950A5">
      <w:pPr>
        <w:pStyle w:val="ListParagraph"/>
        <w:spacing w:line="360" w:lineRule="auto"/>
        <w:jc w:val="both"/>
        <w:rPr>
          <w:rFonts w:ascii="Times New Roman" w:hAnsi="Times New Roman" w:cs="Times New Roman"/>
          <w:sz w:val="24"/>
          <w:szCs w:val="24"/>
        </w:rPr>
      </w:pPr>
    </w:p>
    <w:p w14:paraId="6E3838F5" w14:textId="3116C67B" w:rsidR="00386E5A" w:rsidRPr="00CC7FF4" w:rsidRDefault="00386E5A" w:rsidP="00CC7FF4">
      <w:pPr>
        <w:pStyle w:val="ListParagraph"/>
        <w:numPr>
          <w:ilvl w:val="0"/>
          <w:numId w:val="3"/>
        </w:numPr>
        <w:spacing w:line="360" w:lineRule="auto"/>
        <w:jc w:val="both"/>
        <w:rPr>
          <w:rFonts w:ascii="Times New Roman" w:hAnsi="Times New Roman" w:cs="Times New Roman"/>
          <w:b/>
          <w:bCs/>
          <w:sz w:val="24"/>
          <w:szCs w:val="24"/>
          <w:u w:val="single"/>
        </w:rPr>
      </w:pPr>
      <w:r w:rsidRPr="00CC7FF4">
        <w:rPr>
          <w:rFonts w:ascii="Times New Roman" w:hAnsi="Times New Roman" w:cs="Times New Roman"/>
          <w:b/>
          <w:bCs/>
          <w:sz w:val="24"/>
          <w:szCs w:val="24"/>
          <w:u w:val="single"/>
        </w:rPr>
        <w:t>REFERENCES</w:t>
      </w:r>
    </w:p>
    <w:p w14:paraId="4CFD91C6" w14:textId="77777777" w:rsidR="00386E5A" w:rsidRDefault="00386E5A" w:rsidP="00F950A5">
      <w:pPr>
        <w:pStyle w:val="ListParagraph"/>
        <w:spacing w:line="360" w:lineRule="auto"/>
        <w:jc w:val="both"/>
        <w:rPr>
          <w:rFonts w:ascii="Times New Roman" w:hAnsi="Times New Roman" w:cs="Times New Roman"/>
          <w:sz w:val="24"/>
          <w:szCs w:val="24"/>
        </w:rPr>
      </w:pPr>
    </w:p>
    <w:p w14:paraId="70E6A860" w14:textId="48914741" w:rsidR="00386E5A" w:rsidRPr="00CC7FF4" w:rsidRDefault="00386E5A" w:rsidP="00CC7FF4">
      <w:pPr>
        <w:pStyle w:val="FootnoteText"/>
        <w:numPr>
          <w:ilvl w:val="0"/>
          <w:numId w:val="6"/>
        </w:numPr>
        <w:spacing w:line="360" w:lineRule="auto"/>
        <w:jc w:val="both"/>
        <w:rPr>
          <w:rFonts w:ascii="Times New Roman" w:hAnsi="Times New Roman" w:cs="Times New Roman"/>
          <w:sz w:val="24"/>
          <w:szCs w:val="24"/>
        </w:rPr>
      </w:pPr>
      <w:r w:rsidRPr="00CC7FF4">
        <w:rPr>
          <w:rFonts w:ascii="Times New Roman" w:hAnsi="Times New Roman" w:cs="Times New Roman"/>
          <w:sz w:val="24"/>
          <w:szCs w:val="24"/>
        </w:rPr>
        <w:t xml:space="preserve">Shiv Sahay Singh, “Calcutta High Court says every ‘female adolescent should control sexual </w:t>
      </w:r>
      <w:proofErr w:type="spellStart"/>
      <w:r w:rsidRPr="00CC7FF4">
        <w:rPr>
          <w:rFonts w:ascii="Times New Roman" w:hAnsi="Times New Roman" w:cs="Times New Roman"/>
          <w:sz w:val="24"/>
          <w:szCs w:val="24"/>
        </w:rPr>
        <w:t>urge.</w:t>
      </w:r>
      <w:r w:rsidRPr="00CC7FF4">
        <w:rPr>
          <w:rFonts w:ascii="Times New Roman" w:hAnsi="Times New Roman" w:cs="Times New Roman"/>
          <w:i/>
          <w:iCs/>
          <w:sz w:val="24"/>
          <w:szCs w:val="24"/>
        </w:rPr>
        <w:t>’The</w:t>
      </w:r>
      <w:proofErr w:type="spellEnd"/>
      <w:r w:rsidRPr="00CC7FF4">
        <w:rPr>
          <w:rFonts w:ascii="Times New Roman" w:hAnsi="Times New Roman" w:cs="Times New Roman"/>
          <w:i/>
          <w:iCs/>
          <w:sz w:val="24"/>
          <w:szCs w:val="24"/>
        </w:rPr>
        <w:t xml:space="preserve"> Hindu</w:t>
      </w:r>
      <w:r w:rsidRPr="00CC7FF4">
        <w:rPr>
          <w:rFonts w:ascii="Times New Roman" w:hAnsi="Times New Roman" w:cs="Times New Roman"/>
          <w:sz w:val="24"/>
          <w:szCs w:val="24"/>
        </w:rPr>
        <w:t>, October 20, 2023.</w:t>
      </w:r>
      <w:r w:rsidRPr="00CC7FF4">
        <w:rPr>
          <w:rFonts w:ascii="Times New Roman" w:hAnsi="Times New Roman" w:cs="Times New Roman"/>
          <w:sz w:val="24"/>
          <w:szCs w:val="24"/>
        </w:rPr>
        <w:t xml:space="preserve"> (</w:t>
      </w:r>
      <w:hyperlink r:id="rId8" w:history="1">
        <w:r w:rsidRPr="00CC7FF4">
          <w:rPr>
            <w:rStyle w:val="Hyperlink"/>
            <w:rFonts w:ascii="Times New Roman" w:hAnsi="Times New Roman" w:cs="Times New Roman"/>
            <w:sz w:val="24"/>
            <w:szCs w:val="24"/>
          </w:rPr>
          <w:t>https://www.thehindu.com/news/national/calcutta-hc-calls-for-decriminalisation-of-consensual-sex-involving-adolescents-above-16-years/article67443374.ece#:~:text=Calling%20for%20decriminalisation%20of%20consensual,to%20integrity%20of%20her%20body%E2%80%9D</w:t>
        </w:r>
      </w:hyperlink>
      <w:r w:rsidRPr="00CC7FF4">
        <w:rPr>
          <w:rFonts w:ascii="Times New Roman" w:hAnsi="Times New Roman" w:cs="Times New Roman"/>
          <w:sz w:val="24"/>
          <w:szCs w:val="24"/>
        </w:rPr>
        <w:t>)</w:t>
      </w:r>
    </w:p>
    <w:p w14:paraId="15C82D1E" w14:textId="459CD427" w:rsidR="00386E5A" w:rsidRPr="00CC7FF4" w:rsidRDefault="00386E5A" w:rsidP="00CC7FF4">
      <w:pPr>
        <w:pStyle w:val="FootnoteText"/>
        <w:numPr>
          <w:ilvl w:val="0"/>
          <w:numId w:val="6"/>
        </w:numPr>
        <w:spacing w:line="360" w:lineRule="auto"/>
        <w:jc w:val="both"/>
        <w:rPr>
          <w:rFonts w:ascii="Times New Roman" w:hAnsi="Times New Roman" w:cs="Times New Roman"/>
          <w:sz w:val="24"/>
          <w:szCs w:val="24"/>
        </w:rPr>
      </w:pPr>
      <w:r w:rsidRPr="00CC7FF4">
        <w:rPr>
          <w:rFonts w:ascii="Times New Roman" w:hAnsi="Times New Roman" w:cs="Times New Roman"/>
          <w:sz w:val="24"/>
          <w:szCs w:val="24"/>
        </w:rPr>
        <w:t xml:space="preserve">Sandeep Phukan, “Law Commission against lowering age of consent under POCSO Act,” </w:t>
      </w:r>
      <w:r w:rsidRPr="00CC7FF4">
        <w:rPr>
          <w:rFonts w:ascii="Times New Roman" w:hAnsi="Times New Roman" w:cs="Times New Roman"/>
          <w:i/>
          <w:iCs/>
          <w:sz w:val="24"/>
          <w:szCs w:val="24"/>
        </w:rPr>
        <w:t>The Hindu</w:t>
      </w:r>
      <w:r w:rsidRPr="00CC7FF4">
        <w:rPr>
          <w:rFonts w:ascii="Times New Roman" w:hAnsi="Times New Roman" w:cs="Times New Roman"/>
          <w:sz w:val="24"/>
          <w:szCs w:val="24"/>
        </w:rPr>
        <w:t>, September 29, 2023.</w:t>
      </w:r>
      <w:r w:rsidRPr="00CC7FF4">
        <w:rPr>
          <w:rFonts w:ascii="Times New Roman" w:hAnsi="Times New Roman" w:cs="Times New Roman"/>
          <w:sz w:val="24"/>
          <w:szCs w:val="24"/>
        </w:rPr>
        <w:t xml:space="preserve"> (</w:t>
      </w:r>
      <w:hyperlink r:id="rId9" w:history="1">
        <w:r w:rsidRPr="00CC7FF4">
          <w:rPr>
            <w:rStyle w:val="Hyperlink"/>
            <w:rFonts w:ascii="Times New Roman" w:hAnsi="Times New Roman" w:cs="Times New Roman"/>
            <w:sz w:val="24"/>
            <w:szCs w:val="24"/>
          </w:rPr>
          <w:t>https://www.thehindu.com/news/national/law-commission-against-lowering-age-of-consent-under-pocso-act-suggests-guided-judicial-discretion/article67361714.ece</w:t>
        </w:r>
      </w:hyperlink>
      <w:r w:rsidRPr="00CC7FF4">
        <w:rPr>
          <w:rFonts w:ascii="Times New Roman" w:hAnsi="Times New Roman" w:cs="Times New Roman"/>
          <w:sz w:val="24"/>
          <w:szCs w:val="24"/>
        </w:rPr>
        <w:t>)</w:t>
      </w:r>
    </w:p>
    <w:p w14:paraId="176BB53C" w14:textId="5CE3CCC0" w:rsidR="00386E5A" w:rsidRPr="00CC7FF4" w:rsidRDefault="00386E5A" w:rsidP="00CC7FF4">
      <w:pPr>
        <w:pStyle w:val="FootnoteText"/>
        <w:numPr>
          <w:ilvl w:val="0"/>
          <w:numId w:val="6"/>
        </w:numPr>
        <w:spacing w:line="360" w:lineRule="auto"/>
        <w:jc w:val="both"/>
        <w:rPr>
          <w:rFonts w:ascii="Times New Roman" w:hAnsi="Times New Roman" w:cs="Times New Roman"/>
          <w:sz w:val="24"/>
          <w:szCs w:val="24"/>
        </w:rPr>
      </w:pPr>
      <w:r w:rsidRPr="00CC7FF4">
        <w:rPr>
          <w:rFonts w:ascii="Times New Roman" w:hAnsi="Times New Roman" w:cs="Times New Roman"/>
          <w:sz w:val="24"/>
          <w:szCs w:val="24"/>
        </w:rPr>
        <w:t>Amita Pitre and Lakshmi Lingam, “Age of consent: challenges and contradictions of sexual violence laws in India”, PMC PubMed Central, Sex Reprod Health Matter, v.29 (2), Feb 2022</w:t>
      </w:r>
      <w:r w:rsidRPr="00CC7FF4">
        <w:rPr>
          <w:rFonts w:ascii="Times New Roman" w:hAnsi="Times New Roman" w:cs="Times New Roman"/>
          <w:sz w:val="24"/>
          <w:szCs w:val="24"/>
        </w:rPr>
        <w:t>. (</w:t>
      </w:r>
      <w:hyperlink r:id="rId10" w:history="1">
        <w:r w:rsidRPr="00CC7FF4">
          <w:rPr>
            <w:rStyle w:val="Hyperlink"/>
            <w:rFonts w:ascii="Times New Roman" w:hAnsi="Times New Roman" w:cs="Times New Roman"/>
            <w:sz w:val="24"/>
            <w:szCs w:val="24"/>
          </w:rPr>
          <w:t>https://www.ncbi.nlm.nih.gov/pmc/articles/PMC8009025/</w:t>
        </w:r>
      </w:hyperlink>
      <w:r w:rsidRPr="00CC7FF4">
        <w:rPr>
          <w:rFonts w:ascii="Times New Roman" w:hAnsi="Times New Roman" w:cs="Times New Roman"/>
          <w:sz w:val="24"/>
          <w:szCs w:val="24"/>
        </w:rPr>
        <w:t xml:space="preserve"> )</w:t>
      </w:r>
    </w:p>
    <w:p w14:paraId="617F6739" w14:textId="0B69FE6E" w:rsidR="00386E5A" w:rsidRPr="00CC7FF4" w:rsidRDefault="00386E5A" w:rsidP="00CC7FF4">
      <w:pPr>
        <w:pStyle w:val="FootnoteText"/>
        <w:numPr>
          <w:ilvl w:val="0"/>
          <w:numId w:val="6"/>
        </w:numPr>
        <w:spacing w:line="360" w:lineRule="auto"/>
        <w:jc w:val="both"/>
        <w:rPr>
          <w:rFonts w:ascii="Times New Roman" w:hAnsi="Times New Roman" w:cs="Times New Roman"/>
          <w:sz w:val="24"/>
          <w:szCs w:val="24"/>
        </w:rPr>
      </w:pPr>
      <w:r w:rsidRPr="00CC7FF4">
        <w:rPr>
          <w:rFonts w:ascii="Times New Roman" w:hAnsi="Times New Roman" w:cs="Times New Roman"/>
          <w:sz w:val="24"/>
          <w:szCs w:val="24"/>
        </w:rPr>
        <w:t>Deeksha Gujral &amp; Nimisha Menon, “India Needs to Lower Age of Consent (And Stop Misuse of Child Protection Laws),” The Quint, 8 May 2023.</w:t>
      </w:r>
      <w:r w:rsidRPr="00CC7FF4">
        <w:rPr>
          <w:rFonts w:ascii="Times New Roman" w:hAnsi="Times New Roman" w:cs="Times New Roman"/>
          <w:sz w:val="24"/>
          <w:szCs w:val="24"/>
        </w:rPr>
        <w:t xml:space="preserve"> (</w:t>
      </w:r>
      <w:hyperlink r:id="rId11" w:history="1">
        <w:r w:rsidRPr="00CC7FF4">
          <w:rPr>
            <w:rStyle w:val="Hyperlink"/>
            <w:rFonts w:ascii="Times New Roman" w:hAnsi="Times New Roman" w:cs="Times New Roman"/>
            <w:sz w:val="24"/>
            <w:szCs w:val="24"/>
          </w:rPr>
          <w:t>https://www.thequint.com/gender/lowering-of-age-of-consent-reasons</w:t>
        </w:r>
      </w:hyperlink>
      <w:r w:rsidRPr="00CC7FF4">
        <w:rPr>
          <w:rFonts w:ascii="Times New Roman" w:hAnsi="Times New Roman" w:cs="Times New Roman"/>
          <w:sz w:val="24"/>
          <w:szCs w:val="24"/>
        </w:rPr>
        <w:t xml:space="preserve"> )</w:t>
      </w:r>
    </w:p>
    <w:p w14:paraId="1FA6BF6E" w14:textId="0C6D43C7" w:rsidR="00386E5A" w:rsidRPr="00CC7FF4" w:rsidRDefault="00386E5A" w:rsidP="00CC7FF4">
      <w:pPr>
        <w:pStyle w:val="ListParagraph"/>
        <w:numPr>
          <w:ilvl w:val="0"/>
          <w:numId w:val="6"/>
        </w:numPr>
        <w:spacing w:line="360" w:lineRule="auto"/>
        <w:jc w:val="both"/>
        <w:rPr>
          <w:rFonts w:ascii="Times New Roman" w:hAnsi="Times New Roman" w:cs="Times New Roman"/>
          <w:sz w:val="24"/>
          <w:szCs w:val="24"/>
        </w:rPr>
      </w:pPr>
      <w:r w:rsidRPr="00CC7FF4">
        <w:rPr>
          <w:rFonts w:ascii="Times New Roman" w:hAnsi="Times New Roman" w:cs="Times New Roman"/>
          <w:sz w:val="24"/>
          <w:szCs w:val="24"/>
        </w:rPr>
        <w:t>Editorial, “From 10 to 18 years: A look at history of age of consent.” Deccan Herald, 29 September 2023.</w:t>
      </w:r>
      <w:r w:rsidRPr="00CC7FF4">
        <w:rPr>
          <w:rFonts w:ascii="Times New Roman" w:hAnsi="Times New Roman" w:cs="Times New Roman"/>
          <w:sz w:val="24"/>
          <w:szCs w:val="24"/>
        </w:rPr>
        <w:t xml:space="preserve"> (</w:t>
      </w:r>
      <w:hyperlink r:id="rId12" w:history="1">
        <w:r w:rsidRPr="00CC7FF4">
          <w:rPr>
            <w:rStyle w:val="Hyperlink"/>
            <w:rFonts w:ascii="Times New Roman" w:hAnsi="Times New Roman" w:cs="Times New Roman"/>
            <w:sz w:val="24"/>
            <w:szCs w:val="24"/>
          </w:rPr>
          <w:t>https://www.deccanherald.com/india/from-10-to-18-years-a-look-at-history-of-age-of-consent-2706535</w:t>
        </w:r>
      </w:hyperlink>
      <w:r w:rsidRPr="00CC7FF4">
        <w:rPr>
          <w:rFonts w:ascii="Times New Roman" w:hAnsi="Times New Roman" w:cs="Times New Roman"/>
          <w:sz w:val="24"/>
          <w:szCs w:val="24"/>
        </w:rPr>
        <w:t xml:space="preserve"> )</w:t>
      </w:r>
    </w:p>
    <w:p w14:paraId="328FC3C2" w14:textId="2C6C4ED4" w:rsidR="00386E5A" w:rsidRPr="00CC7FF4" w:rsidRDefault="00386E5A" w:rsidP="00CC7FF4">
      <w:pPr>
        <w:pStyle w:val="ListParagraph"/>
        <w:numPr>
          <w:ilvl w:val="0"/>
          <w:numId w:val="6"/>
        </w:numPr>
        <w:spacing w:line="360" w:lineRule="auto"/>
        <w:jc w:val="both"/>
        <w:rPr>
          <w:rFonts w:ascii="Times New Roman" w:hAnsi="Times New Roman" w:cs="Times New Roman"/>
          <w:sz w:val="24"/>
          <w:szCs w:val="24"/>
        </w:rPr>
      </w:pPr>
      <w:r w:rsidRPr="00CC7FF4">
        <w:rPr>
          <w:rFonts w:ascii="Times New Roman" w:hAnsi="Times New Roman" w:cs="Times New Roman"/>
          <w:sz w:val="24"/>
          <w:szCs w:val="24"/>
        </w:rPr>
        <w:t>Ritika Sharma</w:t>
      </w:r>
      <w:proofErr w:type="gramStart"/>
      <w:r w:rsidRPr="00CC7FF4">
        <w:rPr>
          <w:rFonts w:ascii="Times New Roman" w:hAnsi="Times New Roman" w:cs="Times New Roman"/>
          <w:sz w:val="24"/>
          <w:szCs w:val="24"/>
        </w:rPr>
        <w:t>, ”POCSO</w:t>
      </w:r>
      <w:proofErr w:type="gramEnd"/>
      <w:r w:rsidRPr="00CC7FF4">
        <w:rPr>
          <w:rFonts w:ascii="Times New Roman" w:hAnsi="Times New Roman" w:cs="Times New Roman"/>
          <w:sz w:val="24"/>
          <w:szCs w:val="24"/>
        </w:rPr>
        <w:t xml:space="preserve"> Act: everything you need to know”, I pleaders, May 13,2022.</w:t>
      </w:r>
      <w:r w:rsidRPr="00CC7FF4">
        <w:rPr>
          <w:rFonts w:ascii="Times New Roman" w:hAnsi="Times New Roman" w:cs="Times New Roman"/>
          <w:sz w:val="24"/>
          <w:szCs w:val="24"/>
        </w:rPr>
        <w:t xml:space="preserve"> ( </w:t>
      </w:r>
      <w:hyperlink r:id="rId13" w:history="1">
        <w:r w:rsidRPr="00CC7FF4">
          <w:rPr>
            <w:rStyle w:val="Hyperlink"/>
            <w:rFonts w:ascii="Times New Roman" w:hAnsi="Times New Roman" w:cs="Times New Roman"/>
            <w:sz w:val="24"/>
            <w:szCs w:val="24"/>
          </w:rPr>
          <w:t>https://blog.ipleaders.in/pocso-act-everything-you-need-to-know/</w:t>
        </w:r>
      </w:hyperlink>
      <w:r w:rsidRPr="00CC7FF4">
        <w:rPr>
          <w:rFonts w:ascii="Times New Roman" w:hAnsi="Times New Roman" w:cs="Times New Roman"/>
          <w:sz w:val="24"/>
          <w:szCs w:val="24"/>
        </w:rPr>
        <w:t>)</w:t>
      </w:r>
    </w:p>
    <w:p w14:paraId="5EA4DE18" w14:textId="4646C392" w:rsidR="00386E5A" w:rsidRPr="00CC7FF4" w:rsidRDefault="00386E5A" w:rsidP="00CC7FF4">
      <w:pPr>
        <w:pStyle w:val="FootnoteText"/>
        <w:numPr>
          <w:ilvl w:val="0"/>
          <w:numId w:val="6"/>
        </w:numPr>
        <w:spacing w:line="360" w:lineRule="auto"/>
        <w:jc w:val="both"/>
        <w:rPr>
          <w:rFonts w:ascii="Times New Roman" w:hAnsi="Times New Roman" w:cs="Times New Roman"/>
          <w:sz w:val="24"/>
          <w:szCs w:val="24"/>
        </w:rPr>
      </w:pPr>
      <w:r w:rsidRPr="00CC7FF4">
        <w:rPr>
          <w:rFonts w:ascii="Times New Roman" w:hAnsi="Times New Roman" w:cs="Times New Roman"/>
          <w:sz w:val="24"/>
          <w:szCs w:val="24"/>
        </w:rPr>
        <w:lastRenderedPageBreak/>
        <w:t xml:space="preserve">Saman, “POCSO Act: Its Need and Relevance in India,” </w:t>
      </w:r>
      <w:r w:rsidRPr="00CC7FF4">
        <w:rPr>
          <w:rFonts w:ascii="Times New Roman" w:hAnsi="Times New Roman" w:cs="Times New Roman"/>
          <w:i/>
          <w:iCs/>
          <w:sz w:val="24"/>
          <w:szCs w:val="24"/>
        </w:rPr>
        <w:t>Legal services India.</w:t>
      </w:r>
      <w:r w:rsidR="00CC7FF4" w:rsidRPr="00CC7FF4">
        <w:rPr>
          <w:rFonts w:ascii="Times New Roman" w:hAnsi="Times New Roman" w:cs="Times New Roman"/>
          <w:i/>
          <w:iCs/>
          <w:sz w:val="24"/>
          <w:szCs w:val="24"/>
        </w:rPr>
        <w:t xml:space="preserve">( </w:t>
      </w:r>
      <w:hyperlink r:id="rId14" w:history="1">
        <w:r w:rsidR="00CC7FF4" w:rsidRPr="00CC7FF4">
          <w:rPr>
            <w:rStyle w:val="Hyperlink"/>
            <w:rFonts w:ascii="Times New Roman" w:hAnsi="Times New Roman" w:cs="Times New Roman"/>
            <w:i/>
            <w:iCs/>
            <w:sz w:val="24"/>
            <w:szCs w:val="24"/>
          </w:rPr>
          <w:t>https://www.legalserviceindia.com/legal/article-7267-pocso-act-its-need-and-relevance-in-india.html</w:t>
        </w:r>
      </w:hyperlink>
      <w:r w:rsidR="00CC7FF4" w:rsidRPr="00CC7FF4">
        <w:rPr>
          <w:rFonts w:ascii="Times New Roman" w:hAnsi="Times New Roman" w:cs="Times New Roman"/>
          <w:i/>
          <w:iCs/>
          <w:sz w:val="24"/>
          <w:szCs w:val="24"/>
        </w:rPr>
        <w:t xml:space="preserve">) </w:t>
      </w:r>
    </w:p>
    <w:p w14:paraId="2F305C12" w14:textId="77777777" w:rsidR="00386E5A" w:rsidRPr="00CC7FF4" w:rsidRDefault="00386E5A" w:rsidP="00CC7FF4">
      <w:pPr>
        <w:pStyle w:val="ListParagraph"/>
        <w:spacing w:line="360" w:lineRule="auto"/>
        <w:ind w:left="1080"/>
        <w:jc w:val="both"/>
        <w:rPr>
          <w:rFonts w:ascii="Times New Roman" w:hAnsi="Times New Roman" w:cs="Times New Roman"/>
          <w:sz w:val="24"/>
          <w:szCs w:val="24"/>
        </w:rPr>
      </w:pPr>
    </w:p>
    <w:p w14:paraId="3BEF177A" w14:textId="77777777" w:rsidR="00F950A5" w:rsidRDefault="00F950A5" w:rsidP="00F950A5">
      <w:pPr>
        <w:pStyle w:val="ListParagraph"/>
        <w:spacing w:line="360" w:lineRule="auto"/>
        <w:jc w:val="both"/>
        <w:rPr>
          <w:rFonts w:ascii="Times New Roman" w:hAnsi="Times New Roman" w:cs="Times New Roman"/>
          <w:sz w:val="24"/>
          <w:szCs w:val="24"/>
        </w:rPr>
      </w:pPr>
    </w:p>
    <w:p w14:paraId="43FCC3CB" w14:textId="77777777" w:rsidR="00F950A5" w:rsidRPr="00F950A5" w:rsidRDefault="00F950A5" w:rsidP="00F950A5">
      <w:pPr>
        <w:pStyle w:val="ListParagraph"/>
        <w:spacing w:line="360" w:lineRule="auto"/>
        <w:jc w:val="both"/>
        <w:rPr>
          <w:rFonts w:ascii="Times New Roman" w:hAnsi="Times New Roman" w:cs="Times New Roman"/>
          <w:sz w:val="24"/>
          <w:szCs w:val="24"/>
        </w:rPr>
      </w:pPr>
    </w:p>
    <w:p w14:paraId="14F1DEC8" w14:textId="77777777" w:rsidR="001E1B89" w:rsidRDefault="001E1B89" w:rsidP="009C2F76">
      <w:pPr>
        <w:pStyle w:val="ListParagraph"/>
        <w:spacing w:line="360" w:lineRule="auto"/>
        <w:jc w:val="both"/>
        <w:rPr>
          <w:rFonts w:ascii="Times New Roman" w:hAnsi="Times New Roman" w:cs="Times New Roman"/>
          <w:sz w:val="24"/>
          <w:szCs w:val="24"/>
        </w:rPr>
      </w:pPr>
    </w:p>
    <w:p w14:paraId="72E38FBA" w14:textId="77777777" w:rsidR="001E1B89" w:rsidRDefault="001E1B89" w:rsidP="009C2F76">
      <w:pPr>
        <w:pStyle w:val="ListParagraph"/>
        <w:spacing w:line="360" w:lineRule="auto"/>
        <w:jc w:val="both"/>
        <w:rPr>
          <w:rFonts w:ascii="Times New Roman" w:hAnsi="Times New Roman" w:cs="Times New Roman"/>
          <w:sz w:val="24"/>
          <w:szCs w:val="24"/>
        </w:rPr>
      </w:pPr>
    </w:p>
    <w:p w14:paraId="20A3D042" w14:textId="77777777" w:rsidR="004E7107" w:rsidRDefault="004E7107" w:rsidP="009C2F76">
      <w:pPr>
        <w:pStyle w:val="ListParagraph"/>
        <w:spacing w:line="360" w:lineRule="auto"/>
        <w:jc w:val="both"/>
        <w:rPr>
          <w:rFonts w:ascii="Times New Roman" w:hAnsi="Times New Roman" w:cs="Times New Roman"/>
          <w:sz w:val="24"/>
          <w:szCs w:val="24"/>
        </w:rPr>
      </w:pPr>
    </w:p>
    <w:p w14:paraId="1119BE80" w14:textId="77777777" w:rsidR="004E7107" w:rsidRDefault="004E7107" w:rsidP="009C2F76">
      <w:pPr>
        <w:pStyle w:val="ListParagraph"/>
        <w:spacing w:line="360" w:lineRule="auto"/>
        <w:jc w:val="both"/>
        <w:rPr>
          <w:rFonts w:ascii="Times New Roman" w:hAnsi="Times New Roman" w:cs="Times New Roman"/>
          <w:sz w:val="24"/>
          <w:szCs w:val="24"/>
        </w:rPr>
      </w:pPr>
    </w:p>
    <w:p w14:paraId="32B22ADC" w14:textId="77777777" w:rsidR="004E7107" w:rsidRDefault="004E7107" w:rsidP="009C2F76">
      <w:pPr>
        <w:pStyle w:val="ListParagraph"/>
        <w:spacing w:line="360" w:lineRule="auto"/>
        <w:jc w:val="both"/>
        <w:rPr>
          <w:rFonts w:ascii="Times New Roman" w:hAnsi="Times New Roman" w:cs="Times New Roman"/>
          <w:sz w:val="24"/>
          <w:szCs w:val="24"/>
        </w:rPr>
      </w:pPr>
    </w:p>
    <w:p w14:paraId="7D48BC12" w14:textId="77777777" w:rsidR="008C0203" w:rsidRDefault="008C0203" w:rsidP="009C2F76">
      <w:pPr>
        <w:pStyle w:val="ListParagraph"/>
        <w:spacing w:line="360" w:lineRule="auto"/>
        <w:jc w:val="both"/>
        <w:rPr>
          <w:rFonts w:ascii="Times New Roman" w:hAnsi="Times New Roman" w:cs="Times New Roman"/>
          <w:sz w:val="24"/>
          <w:szCs w:val="24"/>
        </w:rPr>
      </w:pPr>
    </w:p>
    <w:p w14:paraId="301214CC" w14:textId="77777777" w:rsidR="009C2F76" w:rsidRPr="009C2F76" w:rsidRDefault="009C2F76" w:rsidP="009C2F76">
      <w:pPr>
        <w:pStyle w:val="ListParagraph"/>
        <w:spacing w:line="360" w:lineRule="auto"/>
        <w:jc w:val="both"/>
        <w:rPr>
          <w:rFonts w:ascii="Times New Roman" w:hAnsi="Times New Roman" w:cs="Times New Roman"/>
          <w:sz w:val="24"/>
          <w:szCs w:val="24"/>
        </w:rPr>
      </w:pPr>
    </w:p>
    <w:p w14:paraId="1A847A8C" w14:textId="77777777" w:rsidR="009D10D1" w:rsidRDefault="009D10D1" w:rsidP="009D10D1">
      <w:pPr>
        <w:pStyle w:val="ListParagraph"/>
        <w:spacing w:line="360" w:lineRule="auto"/>
        <w:jc w:val="both"/>
        <w:rPr>
          <w:rFonts w:ascii="Times New Roman" w:hAnsi="Times New Roman" w:cs="Times New Roman"/>
          <w:sz w:val="24"/>
          <w:szCs w:val="24"/>
        </w:rPr>
      </w:pPr>
    </w:p>
    <w:p w14:paraId="2072C48C" w14:textId="77777777" w:rsidR="009D10D1" w:rsidRPr="009D10D1" w:rsidRDefault="009D10D1" w:rsidP="009D10D1">
      <w:pPr>
        <w:pStyle w:val="ListParagraph"/>
        <w:spacing w:line="360" w:lineRule="auto"/>
        <w:jc w:val="both"/>
        <w:rPr>
          <w:rFonts w:ascii="Times New Roman" w:hAnsi="Times New Roman" w:cs="Times New Roman"/>
          <w:sz w:val="24"/>
          <w:szCs w:val="24"/>
        </w:rPr>
      </w:pPr>
    </w:p>
    <w:p w14:paraId="5A93E3D4" w14:textId="77777777" w:rsidR="009D10D1" w:rsidRPr="009D10D1" w:rsidRDefault="009D10D1" w:rsidP="009D10D1">
      <w:pPr>
        <w:pStyle w:val="ListParagraph"/>
        <w:spacing w:line="360" w:lineRule="auto"/>
        <w:jc w:val="both"/>
        <w:rPr>
          <w:rFonts w:ascii="Times New Roman" w:hAnsi="Times New Roman" w:cs="Times New Roman"/>
          <w:sz w:val="24"/>
          <w:szCs w:val="24"/>
        </w:rPr>
      </w:pPr>
    </w:p>
    <w:p w14:paraId="76981E3E" w14:textId="77777777" w:rsidR="009D10D1" w:rsidRPr="009D10D1" w:rsidRDefault="009D10D1" w:rsidP="009D10D1">
      <w:pPr>
        <w:pStyle w:val="ListParagraph"/>
        <w:spacing w:line="360" w:lineRule="auto"/>
        <w:jc w:val="both"/>
        <w:rPr>
          <w:rFonts w:ascii="Times New Roman" w:hAnsi="Times New Roman" w:cs="Times New Roman"/>
          <w:sz w:val="24"/>
          <w:szCs w:val="24"/>
        </w:rPr>
      </w:pPr>
    </w:p>
    <w:p w14:paraId="44CD35BF" w14:textId="77777777" w:rsidR="009D10D1" w:rsidRPr="009D10D1" w:rsidRDefault="009D10D1" w:rsidP="009D10D1">
      <w:pPr>
        <w:pStyle w:val="ListParagraph"/>
        <w:spacing w:line="360" w:lineRule="auto"/>
        <w:jc w:val="both"/>
        <w:rPr>
          <w:rFonts w:ascii="Times New Roman" w:hAnsi="Times New Roman" w:cs="Times New Roman"/>
          <w:sz w:val="24"/>
          <w:szCs w:val="24"/>
        </w:rPr>
      </w:pPr>
    </w:p>
    <w:p w14:paraId="0F93B8BB" w14:textId="77777777" w:rsidR="009D10D1" w:rsidRPr="009D10D1" w:rsidRDefault="009D10D1" w:rsidP="009D10D1">
      <w:pPr>
        <w:pStyle w:val="ListParagraph"/>
        <w:spacing w:line="360" w:lineRule="auto"/>
        <w:jc w:val="both"/>
        <w:rPr>
          <w:rFonts w:ascii="Times New Roman" w:hAnsi="Times New Roman" w:cs="Times New Roman"/>
          <w:sz w:val="24"/>
          <w:szCs w:val="24"/>
        </w:rPr>
      </w:pPr>
    </w:p>
    <w:p w14:paraId="6C6EEA60" w14:textId="77777777" w:rsidR="00FF3321" w:rsidRPr="00FF3321" w:rsidRDefault="00FF3321" w:rsidP="00FF3321">
      <w:pPr>
        <w:pStyle w:val="ListParagraph"/>
        <w:spacing w:line="360" w:lineRule="auto"/>
        <w:jc w:val="both"/>
        <w:rPr>
          <w:rFonts w:ascii="Times New Roman" w:hAnsi="Times New Roman" w:cs="Times New Roman"/>
          <w:sz w:val="24"/>
          <w:szCs w:val="24"/>
        </w:rPr>
      </w:pPr>
    </w:p>
    <w:p w14:paraId="6E8847F5" w14:textId="77777777" w:rsidR="00720E38" w:rsidRDefault="00720E38" w:rsidP="00720E38">
      <w:pPr>
        <w:pStyle w:val="ListParagraph"/>
        <w:spacing w:line="360" w:lineRule="auto"/>
        <w:jc w:val="both"/>
        <w:rPr>
          <w:rFonts w:ascii="Times New Roman" w:hAnsi="Times New Roman" w:cs="Times New Roman"/>
          <w:sz w:val="24"/>
          <w:szCs w:val="24"/>
        </w:rPr>
      </w:pPr>
    </w:p>
    <w:p w14:paraId="3812C71B" w14:textId="77777777" w:rsidR="00720E38" w:rsidRDefault="00720E38" w:rsidP="00720E38">
      <w:pPr>
        <w:pStyle w:val="ListParagraph"/>
        <w:spacing w:line="360" w:lineRule="auto"/>
        <w:jc w:val="both"/>
        <w:rPr>
          <w:rFonts w:ascii="Times New Roman" w:hAnsi="Times New Roman" w:cs="Times New Roman"/>
          <w:sz w:val="24"/>
          <w:szCs w:val="24"/>
        </w:rPr>
      </w:pPr>
    </w:p>
    <w:p w14:paraId="648D6C6C" w14:textId="77777777" w:rsidR="00E20EA6" w:rsidRDefault="00E20EA6" w:rsidP="00E20EA6">
      <w:pPr>
        <w:pStyle w:val="ListParagraph"/>
        <w:spacing w:line="360" w:lineRule="auto"/>
        <w:jc w:val="both"/>
        <w:rPr>
          <w:rFonts w:ascii="Times New Roman" w:hAnsi="Times New Roman" w:cs="Times New Roman"/>
          <w:sz w:val="24"/>
          <w:szCs w:val="24"/>
        </w:rPr>
      </w:pPr>
    </w:p>
    <w:p w14:paraId="492C7CE0" w14:textId="77777777" w:rsidR="00E20EA6" w:rsidRPr="00E20EA6" w:rsidRDefault="00E20EA6" w:rsidP="00E20EA6">
      <w:pPr>
        <w:pStyle w:val="ListParagraph"/>
        <w:spacing w:line="360" w:lineRule="auto"/>
        <w:jc w:val="both"/>
        <w:rPr>
          <w:rFonts w:ascii="Times New Roman" w:hAnsi="Times New Roman" w:cs="Times New Roman"/>
          <w:sz w:val="24"/>
          <w:szCs w:val="24"/>
        </w:rPr>
      </w:pPr>
    </w:p>
    <w:p w14:paraId="5E6F5BBF" w14:textId="77777777" w:rsidR="00FA7272" w:rsidRDefault="00FA7272" w:rsidP="003615F9">
      <w:pPr>
        <w:pStyle w:val="ListParagraph"/>
        <w:spacing w:line="360" w:lineRule="auto"/>
        <w:jc w:val="both"/>
        <w:rPr>
          <w:rFonts w:ascii="Times New Roman" w:hAnsi="Times New Roman" w:cs="Times New Roman"/>
          <w:sz w:val="24"/>
          <w:szCs w:val="24"/>
        </w:rPr>
      </w:pPr>
    </w:p>
    <w:p w14:paraId="62FBDC42" w14:textId="77777777" w:rsidR="00FA7272" w:rsidRDefault="00FA7272" w:rsidP="003615F9">
      <w:pPr>
        <w:pStyle w:val="ListParagraph"/>
        <w:spacing w:line="360" w:lineRule="auto"/>
        <w:jc w:val="both"/>
        <w:rPr>
          <w:rFonts w:ascii="Times New Roman" w:hAnsi="Times New Roman" w:cs="Times New Roman"/>
          <w:sz w:val="24"/>
          <w:szCs w:val="24"/>
        </w:rPr>
      </w:pPr>
    </w:p>
    <w:p w14:paraId="46B6C149" w14:textId="77777777" w:rsidR="00FA7272" w:rsidRDefault="00FA7272" w:rsidP="003615F9">
      <w:pPr>
        <w:pStyle w:val="ListParagraph"/>
        <w:spacing w:line="360" w:lineRule="auto"/>
        <w:jc w:val="both"/>
        <w:rPr>
          <w:rFonts w:ascii="Times New Roman" w:hAnsi="Times New Roman" w:cs="Times New Roman"/>
          <w:sz w:val="24"/>
          <w:szCs w:val="24"/>
        </w:rPr>
      </w:pPr>
    </w:p>
    <w:p w14:paraId="118D80FD" w14:textId="77777777" w:rsidR="000413F0" w:rsidRDefault="000413F0" w:rsidP="003615F9">
      <w:pPr>
        <w:pStyle w:val="ListParagraph"/>
        <w:spacing w:line="360" w:lineRule="auto"/>
        <w:jc w:val="both"/>
        <w:rPr>
          <w:rFonts w:ascii="Times New Roman" w:hAnsi="Times New Roman" w:cs="Times New Roman"/>
          <w:sz w:val="24"/>
          <w:szCs w:val="24"/>
        </w:rPr>
      </w:pPr>
    </w:p>
    <w:p w14:paraId="02416920" w14:textId="77777777" w:rsidR="000413F0" w:rsidRDefault="000413F0" w:rsidP="003615F9">
      <w:pPr>
        <w:pStyle w:val="ListParagraph"/>
        <w:spacing w:line="360" w:lineRule="auto"/>
        <w:jc w:val="both"/>
        <w:rPr>
          <w:rFonts w:ascii="Times New Roman" w:hAnsi="Times New Roman" w:cs="Times New Roman"/>
          <w:sz w:val="24"/>
          <w:szCs w:val="24"/>
        </w:rPr>
      </w:pPr>
    </w:p>
    <w:p w14:paraId="71FDB5E8" w14:textId="77777777" w:rsidR="000413F0" w:rsidRDefault="000413F0" w:rsidP="003615F9">
      <w:pPr>
        <w:pStyle w:val="ListParagraph"/>
        <w:spacing w:line="360" w:lineRule="auto"/>
        <w:jc w:val="both"/>
        <w:rPr>
          <w:rFonts w:ascii="Times New Roman" w:hAnsi="Times New Roman" w:cs="Times New Roman"/>
          <w:sz w:val="24"/>
          <w:szCs w:val="24"/>
        </w:rPr>
      </w:pPr>
    </w:p>
    <w:p w14:paraId="15F1741D" w14:textId="77777777" w:rsidR="000413F0" w:rsidRDefault="000413F0" w:rsidP="003615F9">
      <w:pPr>
        <w:pStyle w:val="ListParagraph"/>
        <w:spacing w:line="360" w:lineRule="auto"/>
        <w:jc w:val="both"/>
        <w:rPr>
          <w:rFonts w:ascii="Times New Roman" w:hAnsi="Times New Roman" w:cs="Times New Roman"/>
          <w:sz w:val="24"/>
          <w:szCs w:val="24"/>
        </w:rPr>
      </w:pPr>
    </w:p>
    <w:p w14:paraId="1F9F7F48" w14:textId="2A94A3B6" w:rsidR="003615F9" w:rsidRPr="003615F9" w:rsidRDefault="003615F9" w:rsidP="003615F9">
      <w:pPr>
        <w:pStyle w:val="ListParagraph"/>
        <w:spacing w:line="360" w:lineRule="auto"/>
        <w:jc w:val="both"/>
        <w:rPr>
          <w:rFonts w:ascii="Times New Roman" w:hAnsi="Times New Roman" w:cs="Times New Roman"/>
          <w:sz w:val="24"/>
          <w:szCs w:val="24"/>
        </w:rPr>
      </w:pPr>
      <w:r w:rsidRPr="003615F9">
        <w:rPr>
          <w:rFonts w:ascii="Times New Roman" w:hAnsi="Times New Roman" w:cs="Times New Roman"/>
          <w:sz w:val="24"/>
          <w:szCs w:val="24"/>
        </w:rPr>
        <w:br/>
      </w:r>
      <w:r w:rsidRPr="003615F9">
        <w:rPr>
          <w:rFonts w:ascii="Times New Roman" w:hAnsi="Times New Roman" w:cs="Times New Roman"/>
          <w:sz w:val="24"/>
          <w:szCs w:val="24"/>
        </w:rPr>
        <w:br/>
        <w:t xml:space="preserve"> </w:t>
      </w:r>
    </w:p>
    <w:p w14:paraId="737889D0" w14:textId="313E68C5" w:rsidR="003615F9" w:rsidRPr="003615F9" w:rsidRDefault="00E20EA6" w:rsidP="003615F9">
      <w:pPr>
        <w:spacing w:line="360" w:lineRule="auto"/>
        <w:rPr>
          <w:rFonts w:ascii="Times New Roman" w:hAnsi="Times New Roman" w:cs="Times New Roman"/>
          <w:sz w:val="24"/>
          <w:szCs w:val="24"/>
        </w:rPr>
      </w:pPr>
      <w:r>
        <w:rPr>
          <w:rStyle w:val="FootnoteReference"/>
          <w:rFonts w:ascii="Times New Roman" w:hAnsi="Times New Roman" w:cs="Times New Roman"/>
          <w:sz w:val="24"/>
          <w:szCs w:val="24"/>
        </w:rPr>
        <w:lastRenderedPageBreak/>
        <w:t xml:space="preserve"> </w:t>
      </w:r>
    </w:p>
    <w:p w14:paraId="7BBE21B6" w14:textId="77777777" w:rsidR="003615F9" w:rsidRDefault="003615F9" w:rsidP="00C833C6">
      <w:pPr>
        <w:pStyle w:val="ListParagraph"/>
        <w:spacing w:line="360" w:lineRule="auto"/>
        <w:jc w:val="both"/>
        <w:rPr>
          <w:rFonts w:ascii="Times New Roman" w:hAnsi="Times New Roman" w:cs="Times New Roman"/>
          <w:sz w:val="24"/>
          <w:szCs w:val="24"/>
        </w:rPr>
      </w:pPr>
    </w:p>
    <w:p w14:paraId="7BC21A34" w14:textId="3F276A98" w:rsidR="003615F9" w:rsidRDefault="003615F9" w:rsidP="00C833C6">
      <w:pPr>
        <w:pStyle w:val="ListParagraph"/>
        <w:spacing w:line="360" w:lineRule="auto"/>
        <w:jc w:val="both"/>
        <w:rPr>
          <w:rFonts w:ascii="Times New Roman" w:hAnsi="Times New Roman" w:cs="Times New Roman"/>
          <w:sz w:val="24"/>
          <w:szCs w:val="24"/>
        </w:rPr>
      </w:pPr>
    </w:p>
    <w:p w14:paraId="13484EB0" w14:textId="77777777" w:rsidR="003615F9" w:rsidRPr="00C833C6" w:rsidRDefault="003615F9" w:rsidP="00C833C6">
      <w:pPr>
        <w:pStyle w:val="ListParagraph"/>
        <w:spacing w:line="360" w:lineRule="auto"/>
        <w:jc w:val="both"/>
        <w:rPr>
          <w:rFonts w:ascii="Times New Roman" w:hAnsi="Times New Roman" w:cs="Times New Roman"/>
          <w:sz w:val="24"/>
          <w:szCs w:val="24"/>
        </w:rPr>
      </w:pPr>
    </w:p>
    <w:p w14:paraId="303A9665" w14:textId="77777777" w:rsidR="00076891" w:rsidRDefault="00076891" w:rsidP="00076891">
      <w:pPr>
        <w:pStyle w:val="ListParagraph"/>
        <w:spacing w:line="360" w:lineRule="auto"/>
        <w:jc w:val="both"/>
        <w:rPr>
          <w:rFonts w:ascii="Times New Roman" w:hAnsi="Times New Roman" w:cs="Times New Roman"/>
          <w:sz w:val="24"/>
          <w:szCs w:val="24"/>
        </w:rPr>
      </w:pPr>
    </w:p>
    <w:p w14:paraId="3710C7A5" w14:textId="77777777" w:rsidR="006F5BD3" w:rsidRDefault="006F5BD3" w:rsidP="006F5BD3">
      <w:pPr>
        <w:pStyle w:val="ListParagraph"/>
        <w:spacing w:line="360" w:lineRule="auto"/>
        <w:ind w:left="1440"/>
        <w:jc w:val="both"/>
        <w:rPr>
          <w:rFonts w:ascii="Times New Roman" w:hAnsi="Times New Roman" w:cs="Times New Roman"/>
          <w:sz w:val="24"/>
          <w:szCs w:val="24"/>
        </w:rPr>
      </w:pPr>
    </w:p>
    <w:p w14:paraId="2F48549A" w14:textId="77777777" w:rsidR="00E13D62" w:rsidRDefault="00E13D62" w:rsidP="00E13D62">
      <w:pPr>
        <w:pStyle w:val="ListParagraph"/>
        <w:spacing w:line="360" w:lineRule="auto"/>
        <w:ind w:left="1440"/>
        <w:jc w:val="both"/>
        <w:rPr>
          <w:rFonts w:ascii="Times New Roman" w:hAnsi="Times New Roman" w:cs="Times New Roman"/>
          <w:sz w:val="24"/>
          <w:szCs w:val="24"/>
        </w:rPr>
      </w:pPr>
    </w:p>
    <w:p w14:paraId="1498F963" w14:textId="77777777" w:rsidR="00106DA1" w:rsidRPr="00700336" w:rsidRDefault="00106DA1" w:rsidP="00700336">
      <w:pPr>
        <w:pStyle w:val="ListParagraph"/>
        <w:spacing w:line="360" w:lineRule="auto"/>
        <w:jc w:val="both"/>
        <w:rPr>
          <w:rFonts w:ascii="Times New Roman" w:hAnsi="Times New Roman" w:cs="Times New Roman"/>
          <w:sz w:val="24"/>
          <w:szCs w:val="24"/>
        </w:rPr>
      </w:pPr>
    </w:p>
    <w:p w14:paraId="6341D331" w14:textId="77777777" w:rsidR="00700336" w:rsidRPr="00700336" w:rsidRDefault="00700336" w:rsidP="00700336">
      <w:pPr>
        <w:pStyle w:val="ListParagraph"/>
        <w:spacing w:line="360" w:lineRule="auto"/>
        <w:jc w:val="both"/>
        <w:rPr>
          <w:rFonts w:ascii="Times New Roman" w:hAnsi="Times New Roman" w:cs="Times New Roman"/>
          <w:sz w:val="24"/>
          <w:szCs w:val="24"/>
        </w:rPr>
      </w:pPr>
    </w:p>
    <w:p w14:paraId="57850A04" w14:textId="324BD9CE" w:rsidR="00700336" w:rsidRPr="00700336" w:rsidRDefault="00700336" w:rsidP="00700336">
      <w:pPr>
        <w:spacing w:line="360" w:lineRule="auto"/>
        <w:jc w:val="both"/>
        <w:rPr>
          <w:rFonts w:ascii="Times New Roman" w:hAnsi="Times New Roman" w:cs="Times New Roman"/>
          <w:sz w:val="24"/>
          <w:szCs w:val="24"/>
        </w:rPr>
      </w:pPr>
    </w:p>
    <w:p w14:paraId="730AB89E" w14:textId="77777777" w:rsidR="00700336" w:rsidRPr="00700336" w:rsidRDefault="00700336" w:rsidP="00700336">
      <w:pPr>
        <w:pStyle w:val="ListParagraph"/>
        <w:spacing w:line="360" w:lineRule="auto"/>
        <w:jc w:val="both"/>
        <w:rPr>
          <w:rFonts w:ascii="Times New Roman" w:hAnsi="Times New Roman" w:cs="Times New Roman"/>
          <w:sz w:val="24"/>
          <w:szCs w:val="24"/>
        </w:rPr>
      </w:pPr>
    </w:p>
    <w:p w14:paraId="2A995466" w14:textId="1A6A3B7C" w:rsidR="00700336" w:rsidRPr="00700336" w:rsidRDefault="00700336" w:rsidP="00700336">
      <w:pPr>
        <w:spacing w:line="360" w:lineRule="auto"/>
        <w:jc w:val="both"/>
        <w:rPr>
          <w:rFonts w:ascii="Times New Roman" w:hAnsi="Times New Roman" w:cs="Times New Roman"/>
          <w:sz w:val="24"/>
          <w:szCs w:val="24"/>
        </w:rPr>
      </w:pPr>
    </w:p>
    <w:p w14:paraId="360C4E57" w14:textId="77777777" w:rsidR="00CD4894" w:rsidRDefault="00CD4894" w:rsidP="001A2B8E">
      <w:pPr>
        <w:pStyle w:val="ListParagraph"/>
        <w:spacing w:line="360" w:lineRule="auto"/>
        <w:jc w:val="both"/>
        <w:rPr>
          <w:rFonts w:ascii="Times New Roman" w:hAnsi="Times New Roman" w:cs="Times New Roman"/>
          <w:sz w:val="24"/>
          <w:szCs w:val="24"/>
        </w:rPr>
      </w:pPr>
    </w:p>
    <w:p w14:paraId="7E352D19" w14:textId="77777777" w:rsidR="00CD4894" w:rsidRDefault="00CD4894" w:rsidP="001A2B8E">
      <w:pPr>
        <w:pStyle w:val="ListParagraph"/>
        <w:spacing w:line="360" w:lineRule="auto"/>
        <w:jc w:val="both"/>
        <w:rPr>
          <w:rFonts w:ascii="Times New Roman" w:hAnsi="Times New Roman" w:cs="Times New Roman"/>
          <w:sz w:val="24"/>
          <w:szCs w:val="24"/>
        </w:rPr>
      </w:pPr>
    </w:p>
    <w:p w14:paraId="2DBFD937" w14:textId="77777777" w:rsidR="00CD4894" w:rsidRDefault="00CD4894" w:rsidP="001A2B8E">
      <w:pPr>
        <w:pStyle w:val="ListParagraph"/>
        <w:spacing w:line="360" w:lineRule="auto"/>
        <w:jc w:val="both"/>
        <w:rPr>
          <w:rFonts w:ascii="Times New Roman" w:hAnsi="Times New Roman" w:cs="Times New Roman"/>
          <w:sz w:val="24"/>
          <w:szCs w:val="24"/>
        </w:rPr>
      </w:pPr>
    </w:p>
    <w:p w14:paraId="41BE9579" w14:textId="77777777" w:rsidR="008F08DF" w:rsidRDefault="008F08DF" w:rsidP="001A2B8E">
      <w:pPr>
        <w:pStyle w:val="ListParagraph"/>
        <w:spacing w:line="360" w:lineRule="auto"/>
        <w:jc w:val="both"/>
        <w:rPr>
          <w:rFonts w:ascii="Times New Roman" w:hAnsi="Times New Roman" w:cs="Times New Roman"/>
          <w:sz w:val="24"/>
          <w:szCs w:val="24"/>
        </w:rPr>
      </w:pPr>
    </w:p>
    <w:p w14:paraId="7BF5E564" w14:textId="35817F99" w:rsidR="000B1F78" w:rsidRPr="000B1F78" w:rsidRDefault="002059A7" w:rsidP="000B1F78">
      <w:pPr>
        <w:spacing w:line="360" w:lineRule="auto"/>
        <w:rPr>
          <w:rFonts w:ascii="Times New Roman" w:hAnsi="Times New Roman" w:cs="Times New Roman"/>
          <w:sz w:val="24"/>
          <w:szCs w:val="24"/>
        </w:rPr>
      </w:pPr>
      <w:r>
        <w:rPr>
          <w:rFonts w:ascii="Times New Roman" w:hAnsi="Times New Roman" w:cs="Times New Roman"/>
          <w:sz w:val="24"/>
          <w:szCs w:val="24"/>
        </w:rPr>
        <w:t xml:space="preserve"> </w:t>
      </w:r>
    </w:p>
    <w:sectPr w:rsidR="000B1F78" w:rsidRPr="000B1F7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E55559" w14:textId="77777777" w:rsidR="00492491" w:rsidRDefault="00492491" w:rsidP="009161FC">
      <w:pPr>
        <w:spacing w:after="0" w:line="240" w:lineRule="auto"/>
      </w:pPr>
      <w:r>
        <w:separator/>
      </w:r>
    </w:p>
  </w:endnote>
  <w:endnote w:type="continuationSeparator" w:id="0">
    <w:p w14:paraId="38DB49ED" w14:textId="77777777" w:rsidR="00492491" w:rsidRDefault="00492491" w:rsidP="009161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B7168C" w14:textId="77777777" w:rsidR="00492491" w:rsidRDefault="00492491" w:rsidP="009161FC">
      <w:pPr>
        <w:spacing w:after="0" w:line="240" w:lineRule="auto"/>
      </w:pPr>
      <w:r>
        <w:separator/>
      </w:r>
    </w:p>
  </w:footnote>
  <w:footnote w:type="continuationSeparator" w:id="0">
    <w:p w14:paraId="365D9DF6" w14:textId="77777777" w:rsidR="00492491" w:rsidRDefault="00492491" w:rsidP="009161FC">
      <w:pPr>
        <w:spacing w:after="0" w:line="240" w:lineRule="auto"/>
      </w:pPr>
      <w:r>
        <w:continuationSeparator/>
      </w:r>
    </w:p>
  </w:footnote>
  <w:footnote w:id="1">
    <w:p w14:paraId="057E19D6" w14:textId="2D37F7DB" w:rsidR="00872076" w:rsidRDefault="00872076">
      <w:pPr>
        <w:pStyle w:val="FootnoteText"/>
      </w:pPr>
      <w:r>
        <w:rPr>
          <w:rStyle w:val="FootnoteReference"/>
        </w:rPr>
        <w:footnoteRef/>
      </w:r>
      <w:r>
        <w:t xml:space="preserve"> </w:t>
      </w:r>
      <w:bookmarkStart w:id="0" w:name="_Hlk149163024"/>
      <w:r>
        <w:t>Ritika Sharma</w:t>
      </w:r>
      <w:proofErr w:type="gramStart"/>
      <w:r>
        <w:t>, ”POCSO</w:t>
      </w:r>
      <w:proofErr w:type="gramEnd"/>
      <w:r>
        <w:t xml:space="preserve"> Act: everything you need to know”, </w:t>
      </w:r>
      <w:r w:rsidRPr="00872076">
        <w:rPr>
          <w:i/>
          <w:iCs/>
        </w:rPr>
        <w:t>I pleaders</w:t>
      </w:r>
      <w:r>
        <w:t>, May 13,2022.</w:t>
      </w:r>
    </w:p>
    <w:bookmarkEnd w:id="0"/>
  </w:footnote>
  <w:footnote w:id="2">
    <w:p w14:paraId="68062599" w14:textId="6193DF82" w:rsidR="005A2A1F" w:rsidRDefault="005A2A1F">
      <w:pPr>
        <w:pStyle w:val="FootnoteText"/>
      </w:pPr>
      <w:r>
        <w:rPr>
          <w:rStyle w:val="FootnoteReference"/>
        </w:rPr>
        <w:footnoteRef/>
      </w:r>
      <w:r>
        <w:t xml:space="preserve"> </w:t>
      </w:r>
      <w:bookmarkStart w:id="1" w:name="_Hlk149125225"/>
      <w:r w:rsidR="00872076">
        <w:t xml:space="preserve">Saman, “POCSO Act: Its Need and Relevance in India,” </w:t>
      </w:r>
      <w:r w:rsidR="00872076" w:rsidRPr="00872076">
        <w:rPr>
          <w:i/>
          <w:iCs/>
        </w:rPr>
        <w:t>Legal services India</w:t>
      </w:r>
      <w:bookmarkEnd w:id="1"/>
      <w:r w:rsidR="00872076">
        <w:rPr>
          <w:i/>
          <w:iCs/>
        </w:rPr>
        <w:t>.</w:t>
      </w:r>
    </w:p>
  </w:footnote>
  <w:footnote w:id="3">
    <w:p w14:paraId="6D5FC7E1" w14:textId="3D98108E" w:rsidR="00872076" w:rsidRDefault="00872076">
      <w:pPr>
        <w:pStyle w:val="FootnoteText"/>
      </w:pPr>
      <w:r>
        <w:rPr>
          <w:rStyle w:val="FootnoteReference"/>
        </w:rPr>
        <w:footnoteRef/>
      </w:r>
      <w:r>
        <w:t xml:space="preserve"> </w:t>
      </w:r>
      <w:r w:rsidRPr="00872076">
        <w:t xml:space="preserve">Saman, “POCSO Act: Its Need and Relevance in India,” </w:t>
      </w:r>
      <w:r w:rsidRPr="006A797B">
        <w:rPr>
          <w:i/>
          <w:iCs/>
        </w:rPr>
        <w:t>Legal services India</w:t>
      </w:r>
      <w:r w:rsidR="006A797B">
        <w:rPr>
          <w:i/>
          <w:iCs/>
        </w:rPr>
        <w:t>.</w:t>
      </w:r>
    </w:p>
  </w:footnote>
  <w:footnote w:id="4">
    <w:p w14:paraId="5620C5BF" w14:textId="370A04D6" w:rsidR="00902BEC" w:rsidRPr="00902BEC" w:rsidRDefault="00902BEC">
      <w:pPr>
        <w:pStyle w:val="FootnoteText"/>
      </w:pPr>
      <w:r>
        <w:rPr>
          <w:rStyle w:val="FootnoteReference"/>
        </w:rPr>
        <w:footnoteRef/>
      </w:r>
      <w:r>
        <w:t xml:space="preserve"> </w:t>
      </w:r>
      <w:bookmarkStart w:id="2" w:name="_Hlk149125733"/>
      <w:r>
        <w:t xml:space="preserve">Editorial, “From 10 to 18 years: A look at history of age of consent.” </w:t>
      </w:r>
      <w:r w:rsidRPr="00902BEC">
        <w:rPr>
          <w:i/>
          <w:iCs/>
        </w:rPr>
        <w:t>Deccan Herald</w:t>
      </w:r>
      <w:r>
        <w:rPr>
          <w:i/>
          <w:iCs/>
        </w:rPr>
        <w:t xml:space="preserve">, </w:t>
      </w:r>
      <w:r>
        <w:t>29 September 2023.</w:t>
      </w:r>
    </w:p>
    <w:bookmarkEnd w:id="2"/>
  </w:footnote>
  <w:footnote w:id="5">
    <w:p w14:paraId="3DE56044" w14:textId="3BE3EC33" w:rsidR="00902BEC" w:rsidRDefault="00902BEC">
      <w:pPr>
        <w:pStyle w:val="FootnoteText"/>
      </w:pPr>
      <w:r>
        <w:rPr>
          <w:rStyle w:val="FootnoteReference"/>
        </w:rPr>
        <w:footnoteRef/>
      </w:r>
      <w:r>
        <w:t xml:space="preserve"> </w:t>
      </w:r>
      <w:bookmarkStart w:id="3" w:name="_Hlk149162925"/>
      <w:r w:rsidRPr="00902BEC">
        <w:t xml:space="preserve">Editorial, “From 10 to 18 years: A look at history of age of consent.” </w:t>
      </w:r>
      <w:r w:rsidRPr="0054426B">
        <w:rPr>
          <w:i/>
          <w:iCs/>
        </w:rPr>
        <w:t>Deccan Herald</w:t>
      </w:r>
      <w:r w:rsidRPr="00902BEC">
        <w:t>, 29 September 2023.</w:t>
      </w:r>
      <w:bookmarkEnd w:id="3"/>
    </w:p>
  </w:footnote>
  <w:footnote w:id="6">
    <w:p w14:paraId="769BCF5C" w14:textId="6C984D03" w:rsidR="00902BEC" w:rsidRPr="0054426B" w:rsidRDefault="00902BEC">
      <w:pPr>
        <w:pStyle w:val="FootnoteText"/>
      </w:pPr>
      <w:r>
        <w:rPr>
          <w:rStyle w:val="FootnoteReference"/>
        </w:rPr>
        <w:footnoteRef/>
      </w:r>
      <w:r>
        <w:t xml:space="preserve"> </w:t>
      </w:r>
      <w:bookmarkStart w:id="4" w:name="_Hlk149126144"/>
      <w:r>
        <w:t>Deeksha Gujral &amp; Nimisha Menon, “India Needs to Lower Age of Consent (And Stop Misuse of Child Protection Laws)</w:t>
      </w:r>
      <w:r w:rsidR="0054426B">
        <w:t xml:space="preserve">,” </w:t>
      </w:r>
      <w:r w:rsidR="0054426B" w:rsidRPr="0054426B">
        <w:rPr>
          <w:i/>
          <w:iCs/>
        </w:rPr>
        <w:t>The Quint</w:t>
      </w:r>
      <w:r w:rsidR="0054426B">
        <w:t xml:space="preserve">, 8 </w:t>
      </w:r>
      <w:r w:rsidR="00386E5A">
        <w:t>May</w:t>
      </w:r>
      <w:r w:rsidR="0054426B">
        <w:t xml:space="preserve"> 2023.</w:t>
      </w:r>
    </w:p>
    <w:bookmarkEnd w:id="4"/>
  </w:footnote>
  <w:footnote w:id="7">
    <w:p w14:paraId="1EEE8F64" w14:textId="120AB292" w:rsidR="0054426B" w:rsidRDefault="0054426B">
      <w:pPr>
        <w:pStyle w:val="FootnoteText"/>
      </w:pPr>
      <w:r>
        <w:rPr>
          <w:rStyle w:val="FootnoteReference"/>
        </w:rPr>
        <w:footnoteRef/>
      </w:r>
      <w:r>
        <w:t xml:space="preserve"> </w:t>
      </w:r>
      <w:bookmarkStart w:id="5" w:name="_Hlk149161118"/>
      <w:r w:rsidRPr="0054426B">
        <w:t xml:space="preserve">Deeksha Gujral &amp; Nimisha Menon, “India Needs to Lower Age of Consent (And Stop Misuse of Child Protection Laws),” </w:t>
      </w:r>
      <w:r w:rsidRPr="006A797B">
        <w:rPr>
          <w:i/>
          <w:iCs/>
        </w:rPr>
        <w:t>The Quint</w:t>
      </w:r>
      <w:r w:rsidRPr="0054426B">
        <w:t xml:space="preserve">, 8 </w:t>
      </w:r>
      <w:r w:rsidR="00386E5A" w:rsidRPr="0054426B">
        <w:t>May</w:t>
      </w:r>
      <w:r w:rsidRPr="0054426B">
        <w:t xml:space="preserve"> 2023.</w:t>
      </w:r>
    </w:p>
    <w:bookmarkEnd w:id="5"/>
  </w:footnote>
  <w:footnote w:id="8">
    <w:p w14:paraId="35F0360A" w14:textId="76B47CE8" w:rsidR="006A797B" w:rsidRDefault="006A797B">
      <w:pPr>
        <w:pStyle w:val="FootnoteText"/>
      </w:pPr>
      <w:r>
        <w:rPr>
          <w:rStyle w:val="FootnoteReference"/>
        </w:rPr>
        <w:footnoteRef/>
      </w:r>
      <w:r>
        <w:t xml:space="preserve"> </w:t>
      </w:r>
      <w:bookmarkStart w:id="6" w:name="_Hlk149161161"/>
      <w:r w:rsidR="002D4DB1" w:rsidRPr="002D4DB1">
        <w:t xml:space="preserve">Deeksha Gujral &amp; Nimisha Menon, “India Needs to Lower Age of Consent (And Stop Misuse of Child Protection Laws),” The Quint, 8 </w:t>
      </w:r>
      <w:r w:rsidR="00386E5A" w:rsidRPr="002D4DB1">
        <w:t>May</w:t>
      </w:r>
      <w:r w:rsidR="002D4DB1" w:rsidRPr="002D4DB1">
        <w:t xml:space="preserve"> 2023.</w:t>
      </w:r>
      <w:bookmarkEnd w:id="6"/>
    </w:p>
  </w:footnote>
  <w:footnote w:id="9">
    <w:p w14:paraId="4DF9E7C5" w14:textId="08492897" w:rsidR="00E20EA6" w:rsidRDefault="00E20EA6">
      <w:pPr>
        <w:pStyle w:val="FootnoteText"/>
      </w:pPr>
      <w:r>
        <w:rPr>
          <w:rStyle w:val="FootnoteReference"/>
        </w:rPr>
        <w:footnoteRef/>
      </w:r>
      <w:r>
        <w:t xml:space="preserve"> </w:t>
      </w:r>
      <w:r w:rsidR="002D4DB1" w:rsidRPr="002D4DB1">
        <w:t xml:space="preserve">Deeksha Gujral &amp; Nimisha Menon, “India Needs to Lower Age of Consent (And Stop Misuse of Child Protection Laws),” The Quint, 8 </w:t>
      </w:r>
      <w:r w:rsidR="00386E5A" w:rsidRPr="002D4DB1">
        <w:t>May</w:t>
      </w:r>
      <w:r w:rsidR="002D4DB1" w:rsidRPr="002D4DB1">
        <w:t xml:space="preserve"> 2023.</w:t>
      </w:r>
    </w:p>
  </w:footnote>
  <w:footnote w:id="10">
    <w:p w14:paraId="3467C234" w14:textId="23EFB538" w:rsidR="002D4DB1" w:rsidRDefault="002D4DB1">
      <w:pPr>
        <w:pStyle w:val="FootnoteText"/>
      </w:pPr>
      <w:r>
        <w:rPr>
          <w:rStyle w:val="FootnoteReference"/>
        </w:rPr>
        <w:footnoteRef/>
      </w:r>
      <w:r>
        <w:t xml:space="preserve"> </w:t>
      </w:r>
      <w:bookmarkStart w:id="7" w:name="_Hlk149161789"/>
      <w:r>
        <w:t xml:space="preserve">Amita Pitre and Lakshmi Lingam, “Age of consent: challenges and contradictions of sexual violence laws in India”, </w:t>
      </w:r>
      <w:r w:rsidRPr="002D4DB1">
        <w:rPr>
          <w:i/>
          <w:iCs/>
        </w:rPr>
        <w:t>PMC PubMed Central</w:t>
      </w:r>
      <w:r>
        <w:t>, Sex Reprod Health Matter, v.29 (2), Feb 2022.</w:t>
      </w:r>
      <w:bookmarkEnd w:id="7"/>
    </w:p>
  </w:footnote>
  <w:footnote w:id="11">
    <w:p w14:paraId="02CCDF56" w14:textId="7DB7CA5B" w:rsidR="00643BC2" w:rsidRDefault="00643BC2">
      <w:pPr>
        <w:pStyle w:val="FootnoteText"/>
      </w:pPr>
      <w:r>
        <w:rPr>
          <w:rStyle w:val="FootnoteReference"/>
        </w:rPr>
        <w:footnoteRef/>
      </w:r>
      <w:r>
        <w:t xml:space="preserve"> </w:t>
      </w:r>
      <w:bookmarkStart w:id="8" w:name="_Hlk149161928"/>
      <w:r w:rsidRPr="00643BC2">
        <w:t>Amita Pitre and Lakshmi Lingam, “Age of consent: challenges and contradictions of sexual violence laws in India”, PMC PubMed Central, Sex Reprod Health Matter, v.29 (2), Feb 2022.</w:t>
      </w:r>
    </w:p>
    <w:bookmarkEnd w:id="8"/>
  </w:footnote>
  <w:footnote w:id="12">
    <w:p w14:paraId="05627620" w14:textId="6116ACC1" w:rsidR="00643BC2" w:rsidRDefault="00643BC2">
      <w:pPr>
        <w:pStyle w:val="FootnoteText"/>
      </w:pPr>
      <w:r>
        <w:rPr>
          <w:rStyle w:val="FootnoteReference"/>
        </w:rPr>
        <w:footnoteRef/>
      </w:r>
      <w:r>
        <w:t xml:space="preserve"> </w:t>
      </w:r>
      <w:bookmarkStart w:id="9" w:name="_Hlk149162501"/>
      <w:r w:rsidRPr="00643BC2">
        <w:t>Amita Pitre and Lakshmi Lingam, “Age of consent: challenges and contradictions of sexual violence laws in India”, PMC PubMed Central, Sex Reprod Health Matter, v.29 (2), Feb 2022</w:t>
      </w:r>
      <w:bookmarkEnd w:id="9"/>
      <w:r w:rsidRPr="00643BC2">
        <w:t>.</w:t>
      </w:r>
    </w:p>
  </w:footnote>
  <w:footnote w:id="13">
    <w:p w14:paraId="7C58D1C9" w14:textId="5AC3BFF3" w:rsidR="00643BC2" w:rsidRDefault="00643BC2">
      <w:pPr>
        <w:pStyle w:val="FootnoteText"/>
      </w:pPr>
      <w:r>
        <w:rPr>
          <w:rStyle w:val="FootnoteReference"/>
        </w:rPr>
        <w:footnoteRef/>
      </w:r>
      <w:r>
        <w:t xml:space="preserve"> </w:t>
      </w:r>
      <w:r w:rsidRPr="00643BC2">
        <w:t>Amita Pitre and Lakshmi Lingam, “Age of consent: challenges and contradictions of sexual violence laws in India”, PMC PubMed Central, Sex Reprod Health Matter, v.29 (2), Feb 2022.</w:t>
      </w:r>
    </w:p>
  </w:footnote>
  <w:footnote w:id="14">
    <w:p w14:paraId="4B2BA1C2" w14:textId="0F72ECC7" w:rsidR="00643BC2" w:rsidRDefault="00643BC2">
      <w:pPr>
        <w:pStyle w:val="FootnoteText"/>
      </w:pPr>
      <w:r>
        <w:rPr>
          <w:rStyle w:val="FootnoteReference"/>
        </w:rPr>
        <w:footnoteRef/>
      </w:r>
      <w:r>
        <w:t xml:space="preserve"> </w:t>
      </w:r>
      <w:bookmarkStart w:id="10" w:name="_Hlk149162336"/>
      <w:r>
        <w:t xml:space="preserve">Sandeep Phukan, “Law Commission against lowering age of consent under POCSO Act,” </w:t>
      </w:r>
      <w:r w:rsidRPr="00643BC2">
        <w:rPr>
          <w:i/>
          <w:iCs/>
        </w:rPr>
        <w:t>The Hindu</w:t>
      </w:r>
      <w:r>
        <w:t>, September 29, 2023.</w:t>
      </w:r>
    </w:p>
    <w:bookmarkEnd w:id="10"/>
  </w:footnote>
  <w:footnote w:id="15">
    <w:p w14:paraId="172A1FE6" w14:textId="072C03E0" w:rsidR="00643BC2" w:rsidRDefault="00643BC2">
      <w:pPr>
        <w:pStyle w:val="FootnoteText"/>
      </w:pPr>
      <w:r>
        <w:rPr>
          <w:rStyle w:val="FootnoteReference"/>
        </w:rPr>
        <w:footnoteRef/>
      </w:r>
      <w:r>
        <w:t xml:space="preserve"> </w:t>
      </w:r>
      <w:r w:rsidR="00D647CB" w:rsidRPr="00D647CB">
        <w:t xml:space="preserve">Sandeep Phukan, “Law Commission against lowering age of consent under POCSO Act,” </w:t>
      </w:r>
      <w:r w:rsidR="00D647CB" w:rsidRPr="00D647CB">
        <w:rPr>
          <w:i/>
          <w:iCs/>
        </w:rPr>
        <w:t>The Hindu</w:t>
      </w:r>
      <w:r w:rsidR="00D647CB" w:rsidRPr="00D647CB">
        <w:t>, September 29, 2023.</w:t>
      </w:r>
    </w:p>
  </w:footnote>
  <w:footnote w:id="16">
    <w:p w14:paraId="3FE00C9D" w14:textId="3F6D7257" w:rsidR="00643BC2" w:rsidRDefault="00643BC2">
      <w:pPr>
        <w:pStyle w:val="FootnoteText"/>
      </w:pPr>
      <w:r>
        <w:rPr>
          <w:rStyle w:val="FootnoteReference"/>
        </w:rPr>
        <w:footnoteRef/>
      </w:r>
      <w:r>
        <w:t xml:space="preserve"> </w:t>
      </w:r>
      <w:r w:rsidR="00D647CB">
        <w:t xml:space="preserve">Shiv Sahay Singh, “Calcutta High Court says every ‘female adolescent should control sexual </w:t>
      </w:r>
      <w:proofErr w:type="spellStart"/>
      <w:r w:rsidR="00D647CB">
        <w:t>urge.</w:t>
      </w:r>
      <w:r w:rsidR="00D647CB" w:rsidRPr="00D647CB">
        <w:rPr>
          <w:i/>
          <w:iCs/>
        </w:rPr>
        <w:t>’The</w:t>
      </w:r>
      <w:proofErr w:type="spellEnd"/>
      <w:r w:rsidR="00D647CB" w:rsidRPr="00D647CB">
        <w:rPr>
          <w:i/>
          <w:iCs/>
        </w:rPr>
        <w:t xml:space="preserve"> Hindu</w:t>
      </w:r>
      <w:r w:rsidR="00D647CB">
        <w:t>, October 20, 2023.</w:t>
      </w:r>
    </w:p>
  </w:footnote>
  <w:footnote w:id="17">
    <w:p w14:paraId="72196E0D" w14:textId="38E27785" w:rsidR="00D647CB" w:rsidRDefault="00D647CB">
      <w:pPr>
        <w:pStyle w:val="FootnoteText"/>
      </w:pPr>
      <w:r>
        <w:rPr>
          <w:rStyle w:val="FootnoteReference"/>
        </w:rPr>
        <w:footnoteRef/>
      </w:r>
      <w:r>
        <w:t xml:space="preserve"> </w:t>
      </w:r>
      <w:r w:rsidRPr="00D647CB">
        <w:t>Amita Pitre and Lakshmi Lingam, “Age of consent: challenges and contradictions of sexual violence laws in India”, PMC PubMed Central, Sex Reprod Health Matter, v.29 (2), Feb 2022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C04CD"/>
    <w:multiLevelType w:val="hybridMultilevel"/>
    <w:tmpl w:val="8940BCD0"/>
    <w:lvl w:ilvl="0" w:tplc="4009000F">
      <w:start w:val="1"/>
      <w:numFmt w:val="decimal"/>
      <w:lvlText w:val="%1."/>
      <w:lvlJc w:val="left"/>
      <w:pPr>
        <w:ind w:left="720" w:hanging="360"/>
      </w:pPr>
      <w:rPr>
        <w:rFonts w:hint="default"/>
        <w:b w:val="0"/>
        <w:u w:val="none"/>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30F0A71"/>
    <w:multiLevelType w:val="hybridMultilevel"/>
    <w:tmpl w:val="82F6B0E0"/>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8584686"/>
    <w:multiLevelType w:val="hybridMultilevel"/>
    <w:tmpl w:val="92CAE5A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E0D17AE"/>
    <w:multiLevelType w:val="hybridMultilevel"/>
    <w:tmpl w:val="5FE8DF0A"/>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4" w15:restartNumberingAfterBreak="0">
    <w:nsid w:val="4D3B1C39"/>
    <w:multiLevelType w:val="hybridMultilevel"/>
    <w:tmpl w:val="32703C48"/>
    <w:lvl w:ilvl="0" w:tplc="03C4DF6E">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15:restartNumberingAfterBreak="0">
    <w:nsid w:val="5C044A34"/>
    <w:multiLevelType w:val="hybridMultilevel"/>
    <w:tmpl w:val="CF58DAC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019312793">
    <w:abstractNumId w:val="2"/>
  </w:num>
  <w:num w:numId="2" w16cid:durableId="827017213">
    <w:abstractNumId w:val="5"/>
  </w:num>
  <w:num w:numId="3" w16cid:durableId="102189482">
    <w:abstractNumId w:val="0"/>
  </w:num>
  <w:num w:numId="4" w16cid:durableId="529950440">
    <w:abstractNumId w:val="3"/>
  </w:num>
  <w:num w:numId="5" w16cid:durableId="1179734651">
    <w:abstractNumId w:val="1"/>
  </w:num>
  <w:num w:numId="6" w16cid:durableId="40326308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6F66"/>
    <w:rsid w:val="00011B22"/>
    <w:rsid w:val="0002258B"/>
    <w:rsid w:val="000413F0"/>
    <w:rsid w:val="00076891"/>
    <w:rsid w:val="00077C40"/>
    <w:rsid w:val="000B1F78"/>
    <w:rsid w:val="000D051B"/>
    <w:rsid w:val="00103A6E"/>
    <w:rsid w:val="00106DA1"/>
    <w:rsid w:val="00167D0B"/>
    <w:rsid w:val="001A2B8E"/>
    <w:rsid w:val="001E1B89"/>
    <w:rsid w:val="002059A7"/>
    <w:rsid w:val="0029349D"/>
    <w:rsid w:val="002D4DB1"/>
    <w:rsid w:val="002F6902"/>
    <w:rsid w:val="003070E5"/>
    <w:rsid w:val="003615F9"/>
    <w:rsid w:val="003731F6"/>
    <w:rsid w:val="00386E5A"/>
    <w:rsid w:val="00411515"/>
    <w:rsid w:val="00492491"/>
    <w:rsid w:val="004E1300"/>
    <w:rsid w:val="004E7107"/>
    <w:rsid w:val="0054426B"/>
    <w:rsid w:val="005A29EF"/>
    <w:rsid w:val="005A2A1F"/>
    <w:rsid w:val="00643BC2"/>
    <w:rsid w:val="006514DF"/>
    <w:rsid w:val="006A797B"/>
    <w:rsid w:val="006F5BD3"/>
    <w:rsid w:val="00700336"/>
    <w:rsid w:val="00720E38"/>
    <w:rsid w:val="00727791"/>
    <w:rsid w:val="00795746"/>
    <w:rsid w:val="008502AB"/>
    <w:rsid w:val="00872076"/>
    <w:rsid w:val="008C0203"/>
    <w:rsid w:val="008D0C22"/>
    <w:rsid w:val="008F08DF"/>
    <w:rsid w:val="00902BEC"/>
    <w:rsid w:val="009161FC"/>
    <w:rsid w:val="009C2F76"/>
    <w:rsid w:val="009D10D1"/>
    <w:rsid w:val="009F04DF"/>
    <w:rsid w:val="00A541AD"/>
    <w:rsid w:val="00AA6F66"/>
    <w:rsid w:val="00B024D3"/>
    <w:rsid w:val="00B82F37"/>
    <w:rsid w:val="00C833C6"/>
    <w:rsid w:val="00CC7FF4"/>
    <w:rsid w:val="00CD4894"/>
    <w:rsid w:val="00D31D06"/>
    <w:rsid w:val="00D4428E"/>
    <w:rsid w:val="00D647CB"/>
    <w:rsid w:val="00D64FF3"/>
    <w:rsid w:val="00E13D62"/>
    <w:rsid w:val="00E20EA6"/>
    <w:rsid w:val="00EB6712"/>
    <w:rsid w:val="00F0113B"/>
    <w:rsid w:val="00F57EED"/>
    <w:rsid w:val="00F950A5"/>
    <w:rsid w:val="00FA7272"/>
    <w:rsid w:val="00FF3321"/>
    <w:rsid w:val="00FF4F1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4478EC"/>
  <w15:chartTrackingRefBased/>
  <w15:docId w15:val="{B024E5E2-99FE-40FC-9FD5-1103BABB19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59A7"/>
    <w:pPr>
      <w:ind w:left="720"/>
      <w:contextualSpacing/>
    </w:pPr>
  </w:style>
  <w:style w:type="paragraph" w:styleId="FootnoteText">
    <w:name w:val="footnote text"/>
    <w:basedOn w:val="Normal"/>
    <w:link w:val="FootnoteTextChar"/>
    <w:uiPriority w:val="99"/>
    <w:semiHidden/>
    <w:unhideWhenUsed/>
    <w:rsid w:val="009161F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161FC"/>
    <w:rPr>
      <w:sz w:val="20"/>
      <w:szCs w:val="20"/>
    </w:rPr>
  </w:style>
  <w:style w:type="character" w:styleId="FootnoteReference">
    <w:name w:val="footnote reference"/>
    <w:basedOn w:val="DefaultParagraphFont"/>
    <w:uiPriority w:val="99"/>
    <w:semiHidden/>
    <w:unhideWhenUsed/>
    <w:rsid w:val="009161FC"/>
    <w:rPr>
      <w:vertAlign w:val="superscript"/>
    </w:rPr>
  </w:style>
  <w:style w:type="paragraph" w:styleId="Revision">
    <w:name w:val="Revision"/>
    <w:hidden/>
    <w:uiPriority w:val="99"/>
    <w:semiHidden/>
    <w:rsid w:val="005A2A1F"/>
    <w:pPr>
      <w:spacing w:after="0" w:line="240" w:lineRule="auto"/>
    </w:pPr>
  </w:style>
  <w:style w:type="character" w:styleId="Hyperlink">
    <w:name w:val="Hyperlink"/>
    <w:basedOn w:val="DefaultParagraphFont"/>
    <w:uiPriority w:val="99"/>
    <w:unhideWhenUsed/>
    <w:rsid w:val="00386E5A"/>
    <w:rPr>
      <w:color w:val="0563C1" w:themeColor="hyperlink"/>
      <w:u w:val="single"/>
    </w:rPr>
  </w:style>
  <w:style w:type="character" w:styleId="UnresolvedMention">
    <w:name w:val="Unresolved Mention"/>
    <w:basedOn w:val="DefaultParagraphFont"/>
    <w:uiPriority w:val="99"/>
    <w:semiHidden/>
    <w:unhideWhenUsed/>
    <w:rsid w:val="00386E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hehindu.com/news/national/calcutta-hc-calls-for-decriminalisation-of-consensual-sex-involving-adolescents-above-16-years/article67443374.ece#:~:text=Calling%20for%20decriminalisation%20of%20consensual,to%20integrity%20of%20her%20body%E2%80%9D" TargetMode="External"/><Relationship Id="rId13" Type="http://schemas.openxmlformats.org/officeDocument/2006/relationships/hyperlink" Target="https://blog.ipleaders.in/pocso-act-everything-you-need-to-know/"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deccanherald.com/india/from-10-to-18-years-a-look-at-history-of-age-of-consent-2706535"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thequint.com/gender/lowering-of-age-of-consent-reason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ncbi.nlm.nih.gov/pmc/articles/PMC8009025/" TargetMode="External"/><Relationship Id="rId4" Type="http://schemas.openxmlformats.org/officeDocument/2006/relationships/settings" Target="settings.xml"/><Relationship Id="rId9" Type="http://schemas.openxmlformats.org/officeDocument/2006/relationships/hyperlink" Target="https://www.thehindu.com/news/national/law-commission-against-lowering-age-of-consent-under-pocso-act-suggests-guided-judicial-discretion/article67361714.ece" TargetMode="External"/><Relationship Id="rId14" Type="http://schemas.openxmlformats.org/officeDocument/2006/relationships/hyperlink" Target="https://www.legalserviceindia.com/legal/article-7267-pocso-act-its-need-and-relevance-in-india.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86465F-E21B-4BC4-8F5C-E19259E20E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3266</Words>
  <Characters>18618</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Atharv Pandey</dc:creator>
  <cp:keywords/>
  <dc:description/>
  <cp:lastModifiedBy>Atharv Pandey</cp:lastModifiedBy>
  <cp:revision>2</cp:revision>
  <dcterms:created xsi:type="dcterms:W3CDTF">2023-10-25T16:23:00Z</dcterms:created>
  <dcterms:modified xsi:type="dcterms:W3CDTF">2023-10-25T16:23:00Z</dcterms:modified>
</cp:coreProperties>
</file>