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AF6FDE" w14:textId="1778FDB3" w:rsidR="005967BB" w:rsidRPr="005F2C83" w:rsidRDefault="0021586C" w:rsidP="001D21C8">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00321A4E">
        <w:rPr>
          <w:rFonts w:ascii="Times New Roman" w:hAnsi="Times New Roman" w:cs="Times New Roman"/>
          <w:b/>
          <w:sz w:val="24"/>
          <w:szCs w:val="24"/>
        </w:rPr>
        <w:t>Empowering Women Through India’s Uniform Civil Code: A Legal Perspective</w:t>
      </w:r>
    </w:p>
    <w:p w14:paraId="664DDDA3" w14:textId="34A5A5C6" w:rsidR="007A6228" w:rsidRDefault="0068653F" w:rsidP="005F2C83">
      <w:pPr>
        <w:jc w:val="center"/>
        <w:rPr>
          <w:rFonts w:ascii="Times New Roman" w:hAnsi="Times New Roman" w:cs="Times New Roman"/>
          <w:b/>
          <w:sz w:val="24"/>
          <w:szCs w:val="24"/>
        </w:rPr>
      </w:pPr>
      <w:r w:rsidRPr="00E01BFE">
        <w:rPr>
          <w:rFonts w:ascii="Times New Roman" w:hAnsi="Times New Roman" w:cs="Times New Roman"/>
          <w:b/>
          <w:sz w:val="24"/>
          <w:szCs w:val="24"/>
        </w:rPr>
        <w:t>Abstract</w:t>
      </w:r>
    </w:p>
    <w:p w14:paraId="4C09831B" w14:textId="047D798E" w:rsidR="005E5FC0" w:rsidRPr="005E5FC0" w:rsidRDefault="005E5FC0" w:rsidP="003D46C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For many years, there has been a recognised need for the implementation of a Uniform Civil Code (UCC) in India. The concept of such a code is elaborated upon in Article 44 of the Indian </w:t>
      </w:r>
      <w:r w:rsidR="003D46C1">
        <w:rPr>
          <w:rFonts w:ascii="Times New Roman" w:hAnsi="Times New Roman" w:cs="Times New Roman"/>
          <w:sz w:val="24"/>
          <w:szCs w:val="24"/>
        </w:rPr>
        <w:t>Constitution</w:t>
      </w:r>
      <w:r>
        <w:rPr>
          <w:rFonts w:ascii="Times New Roman" w:hAnsi="Times New Roman" w:cs="Times New Roman"/>
          <w:sz w:val="24"/>
          <w:szCs w:val="24"/>
        </w:rPr>
        <w:t xml:space="preserve">, located within Part IV. The Preamble of our Constitution explicitly declares India as a ‘Secular’ Democratic Republic, signifying the absence of </w:t>
      </w:r>
      <w:r w:rsidR="003D46C1">
        <w:rPr>
          <w:rFonts w:ascii="Times New Roman" w:hAnsi="Times New Roman" w:cs="Times New Roman"/>
          <w:sz w:val="24"/>
          <w:szCs w:val="24"/>
        </w:rPr>
        <w:t>favouritism</w:t>
      </w:r>
      <w:r>
        <w:rPr>
          <w:rFonts w:ascii="Times New Roman" w:hAnsi="Times New Roman" w:cs="Times New Roman"/>
          <w:sz w:val="24"/>
          <w:szCs w:val="24"/>
        </w:rPr>
        <w:t xml:space="preserve"> toward any particular religion by the state. Meanwhile, Article 25 and 26 of the Constitution safeguard the rights of religious freedom and the administration of religious affairs.</w:t>
      </w:r>
      <w:r w:rsidR="003D46C1">
        <w:rPr>
          <w:rFonts w:ascii="Times New Roman" w:hAnsi="Times New Roman" w:cs="Times New Roman"/>
          <w:sz w:val="24"/>
          <w:szCs w:val="24"/>
        </w:rPr>
        <w:t xml:space="preserve"> In contrast to these provisions, Article 44 underscores the importance of enacting a uniform civil code, thereby sparking continuous debates and discussions. The primary objective of this research paper is to delve into the concept of the UCC and analyse its potential to rectify disparities in legal rights, with a particular focus on differences in divorce-related rights for women. The study will provide illustrative examples to underscore these disparities. Additionally, the paper will examine the stance taken by the Supreme Court regarding the implementation of the UCC.</w:t>
      </w:r>
    </w:p>
    <w:p w14:paraId="76AD2520" w14:textId="5125FCF8" w:rsidR="00E20428" w:rsidRDefault="00E20428" w:rsidP="005F2C8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Keywords</w:t>
      </w:r>
    </w:p>
    <w:p w14:paraId="39669208" w14:textId="56CCD432" w:rsidR="005F2C83" w:rsidRPr="005F2C83" w:rsidRDefault="005F2C83" w:rsidP="00C00BF7">
      <w:pPr>
        <w:spacing w:line="360" w:lineRule="auto"/>
        <w:jc w:val="both"/>
        <w:rPr>
          <w:rFonts w:ascii="Times New Roman" w:hAnsi="Times New Roman" w:cs="Times New Roman"/>
          <w:sz w:val="24"/>
          <w:szCs w:val="24"/>
        </w:rPr>
      </w:pPr>
      <w:r w:rsidRPr="005F2C83">
        <w:rPr>
          <w:rFonts w:ascii="Times New Roman" w:hAnsi="Times New Roman" w:cs="Times New Roman"/>
          <w:sz w:val="24"/>
          <w:szCs w:val="24"/>
        </w:rPr>
        <w:t xml:space="preserve">Article 44, Constitution, Divorce, </w:t>
      </w:r>
      <w:r w:rsidR="001D000F">
        <w:rPr>
          <w:rFonts w:ascii="Times New Roman" w:hAnsi="Times New Roman" w:cs="Times New Roman"/>
          <w:sz w:val="24"/>
          <w:szCs w:val="24"/>
        </w:rPr>
        <w:t>Rights</w:t>
      </w:r>
      <w:r w:rsidR="00E8666D">
        <w:rPr>
          <w:rFonts w:ascii="Times New Roman" w:hAnsi="Times New Roman" w:cs="Times New Roman"/>
          <w:sz w:val="24"/>
          <w:szCs w:val="24"/>
        </w:rPr>
        <w:t>, Uniform Civil Code</w:t>
      </w:r>
    </w:p>
    <w:p w14:paraId="3D764BFC" w14:textId="741A699B" w:rsidR="00E20428" w:rsidRDefault="00E20428" w:rsidP="005F2C8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Introduction</w:t>
      </w:r>
    </w:p>
    <w:p w14:paraId="3452662E" w14:textId="7B7C977E" w:rsidR="003D46C1" w:rsidRDefault="003D46C1" w:rsidP="003D46C1">
      <w:pPr>
        <w:spacing w:line="360" w:lineRule="auto"/>
        <w:jc w:val="both"/>
        <w:rPr>
          <w:rFonts w:ascii="Times New Roman" w:hAnsi="Times New Roman" w:cs="Times New Roman"/>
          <w:sz w:val="24"/>
          <w:szCs w:val="24"/>
        </w:rPr>
      </w:pPr>
      <w:r>
        <w:rPr>
          <w:rFonts w:ascii="Times New Roman" w:hAnsi="Times New Roman" w:cs="Times New Roman"/>
          <w:sz w:val="24"/>
          <w:szCs w:val="24"/>
        </w:rPr>
        <w:t>The issue of implementing a Uniform Civil Code (UCC) has once again become a focal point of political discourse in India. Within the framework of the Indian Constitution, Part IV outlines the Directive Principles of State Policy, with Article 44 specifically addressing the establishment of a UCC. The current debate centres on whether the UCC should be universally applied in India.</w:t>
      </w:r>
    </w:p>
    <w:p w14:paraId="75CCA66B" w14:textId="776F7176" w:rsidR="00950ADD" w:rsidRPr="003D46C1" w:rsidRDefault="00950ADD" w:rsidP="003D46C1">
      <w:pPr>
        <w:spacing w:line="360" w:lineRule="auto"/>
        <w:jc w:val="both"/>
        <w:rPr>
          <w:rFonts w:ascii="Times New Roman" w:hAnsi="Times New Roman" w:cs="Times New Roman"/>
          <w:sz w:val="24"/>
          <w:szCs w:val="24"/>
        </w:rPr>
      </w:pPr>
      <w:r>
        <w:rPr>
          <w:rFonts w:ascii="Times New Roman" w:hAnsi="Times New Roman" w:cs="Times New Roman"/>
          <w:sz w:val="24"/>
          <w:szCs w:val="24"/>
        </w:rPr>
        <w:t>The fundamental goal of the Uniform Civil Code is to formulate a single set of laws applicable to all religious communities in India, encompassing various aspects such as marriage, divorce, inheritance, and adoption. To arrive at an informed decision on this matter, it is imperative to gain a comprehensive understanding of the intricate religious and ethnic diversities within India that could influence the practicality of implementing a UCC. Additionally, a thorough examination is needed to ascertain the rationale behind the nationwide application of the U</w:t>
      </w:r>
      <w:r w:rsidR="002A12CA">
        <w:rPr>
          <w:rFonts w:ascii="Times New Roman" w:hAnsi="Times New Roman" w:cs="Times New Roman"/>
          <w:sz w:val="24"/>
          <w:szCs w:val="24"/>
        </w:rPr>
        <w:t>CC</w:t>
      </w:r>
      <w:r>
        <w:rPr>
          <w:rFonts w:ascii="Times New Roman" w:hAnsi="Times New Roman" w:cs="Times New Roman"/>
          <w:sz w:val="24"/>
          <w:szCs w:val="24"/>
        </w:rPr>
        <w:t>.</w:t>
      </w:r>
    </w:p>
    <w:p w14:paraId="0B89C9E8" w14:textId="5A58705F" w:rsidR="0054736F" w:rsidRPr="0054736F" w:rsidRDefault="0054736F" w:rsidP="005F2C83">
      <w:pPr>
        <w:spacing w:line="360" w:lineRule="auto"/>
        <w:jc w:val="center"/>
        <w:rPr>
          <w:rFonts w:ascii="Times New Roman" w:hAnsi="Times New Roman" w:cs="Times New Roman"/>
          <w:b/>
          <w:sz w:val="24"/>
          <w:szCs w:val="24"/>
        </w:rPr>
      </w:pPr>
      <w:r>
        <w:rPr>
          <w:rFonts w:ascii="Times New Roman" w:eastAsia="Times New Roman" w:hAnsi="Times New Roman" w:cs="Times New Roman"/>
          <w:b/>
          <w:sz w:val="24"/>
          <w:szCs w:val="24"/>
        </w:rPr>
        <w:t>Disparity in rights of women</w:t>
      </w:r>
    </w:p>
    <w:p w14:paraId="020EE584" w14:textId="2D108C11" w:rsidR="00404E9E" w:rsidRDefault="00983467" w:rsidP="00F31F0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We are very well aware of India’s ethnic and religious diversity</w:t>
      </w:r>
      <w:r w:rsidR="00BB4A71">
        <w:rPr>
          <w:rFonts w:ascii="Times New Roman" w:hAnsi="Times New Roman" w:cs="Times New Roman"/>
          <w:sz w:val="24"/>
          <w:szCs w:val="24"/>
        </w:rPr>
        <w:t>. Th</w:t>
      </w:r>
      <w:r w:rsidR="00751911">
        <w:rPr>
          <w:rFonts w:ascii="Times New Roman" w:hAnsi="Times New Roman" w:cs="Times New Roman"/>
          <w:sz w:val="24"/>
          <w:szCs w:val="24"/>
        </w:rPr>
        <w:t xml:space="preserve">is diversity has led to the formation of different personal laws among the Hindu, Muslim, Christian and Parsi </w:t>
      </w:r>
      <w:r w:rsidR="00751911">
        <w:rPr>
          <w:rFonts w:ascii="Times New Roman" w:hAnsi="Times New Roman" w:cs="Times New Roman"/>
          <w:sz w:val="24"/>
          <w:szCs w:val="24"/>
        </w:rPr>
        <w:lastRenderedPageBreak/>
        <w:t>communities, each of them has a different set of personal laws that apply to their matrimonial relations.</w:t>
      </w:r>
      <w:r w:rsidR="00893F7E">
        <w:rPr>
          <w:rFonts w:ascii="Times New Roman" w:hAnsi="Times New Roman" w:cs="Times New Roman"/>
          <w:sz w:val="24"/>
          <w:szCs w:val="24"/>
        </w:rPr>
        <w:t xml:space="preserve"> </w:t>
      </w:r>
      <w:r w:rsidR="007004AD">
        <w:rPr>
          <w:rFonts w:ascii="Times New Roman" w:hAnsi="Times New Roman" w:cs="Times New Roman"/>
          <w:sz w:val="24"/>
          <w:szCs w:val="24"/>
        </w:rPr>
        <w:t>The Muslim Law, which is not codified, governs Muslims, the Hindus, and separate laws govern Christians and Parsees. Aside from this, anyone, regardless of their religious beliefs, may use the Special Marriage Act, 1954.</w:t>
      </w:r>
    </w:p>
    <w:p w14:paraId="651AD62E" w14:textId="2F900785" w:rsidR="00646DF0" w:rsidRDefault="00071ED4"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These different statutes provide different laws which creates a disparity between the rights and especially rights given to women. </w:t>
      </w:r>
      <w:r w:rsidR="007004AD">
        <w:rPr>
          <w:rFonts w:ascii="Times New Roman" w:hAnsi="Times New Roman" w:cs="Times New Roman"/>
          <w:sz w:val="24"/>
          <w:szCs w:val="24"/>
        </w:rPr>
        <w:t xml:space="preserve">The various statutes all make this very clear. </w:t>
      </w:r>
      <w:r w:rsidR="0021586C">
        <w:rPr>
          <w:rFonts w:ascii="Times New Roman" w:hAnsi="Times New Roman" w:cs="Times New Roman"/>
          <w:sz w:val="24"/>
          <w:szCs w:val="24"/>
        </w:rPr>
        <w:t>Since there is not established sacrament or religious ceremony for the solemnization of marriage, the Special Marriage Act, for example, treats marriage as a civil contract with regard to divorce. The Parliament appears to have taken the position that, because marriage is primarily for the happiness of the couple, it should be dissolved if the couple decides, after giving it careful and mature thought, that they can no longer coexist. The individual has been given the freedom to call their marriage off if they so choose after giving it some serious thought.</w:t>
      </w:r>
    </w:p>
    <w:p w14:paraId="14457C67" w14:textId="2D02B59B" w:rsidR="00B66178" w:rsidRDefault="0021586C"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Compared to the Special Marriage Act, the Hindu Marriage Act has fewer grounds for divorce. Contrary to the Hindu Act, the Special Marriage Act does not recognise cru</w:t>
      </w:r>
      <w:r w:rsidR="00B9403E">
        <w:rPr>
          <w:rFonts w:ascii="Times New Roman" w:hAnsi="Times New Roman" w:cs="Times New Roman"/>
          <w:sz w:val="24"/>
          <w:szCs w:val="24"/>
        </w:rPr>
        <w:t>elty, desertion, or seven years in prison as grounds for divorce. Cruelty and abandonment are grounds for judicial separation under the Hindu Marriage Act, which may then result in divorce; as a result, there are two stages based on these grounds: judicial separation and divorce. The Special Marriage Act states that cruelty and desertion are grounds for an immediate divorce.</w:t>
      </w:r>
      <w:r w:rsidR="00A336DD">
        <w:rPr>
          <w:rStyle w:val="FootnoteReference"/>
          <w:rFonts w:ascii="Times New Roman" w:hAnsi="Times New Roman" w:cs="Times New Roman"/>
          <w:sz w:val="24"/>
          <w:szCs w:val="24"/>
        </w:rPr>
        <w:footnoteReference w:id="1"/>
      </w:r>
      <w:r w:rsidR="0018225E">
        <w:rPr>
          <w:rFonts w:ascii="Times New Roman" w:hAnsi="Times New Roman" w:cs="Times New Roman"/>
          <w:sz w:val="24"/>
          <w:szCs w:val="24"/>
        </w:rPr>
        <w:t xml:space="preserve"> </w:t>
      </w:r>
      <w:r w:rsidR="00B9403E">
        <w:rPr>
          <w:rFonts w:ascii="Times New Roman" w:hAnsi="Times New Roman" w:cs="Times New Roman"/>
          <w:sz w:val="24"/>
          <w:szCs w:val="24"/>
        </w:rPr>
        <w:t>This discrepancy exists because Hindu law upheld a very high standard for marriage before the Act. Because of this, the Hindu Marriage Act provided opportunities for mutual adjustments between spouses and made it more difficult for Hindus to divorce.</w:t>
      </w:r>
    </w:p>
    <w:p w14:paraId="2F6BB67D" w14:textId="7C54E1E0" w:rsidR="005633CF" w:rsidRDefault="005B51CE"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The uncodified mohammedan law is very lenient regarding divorce by the husband in comparison to the two given codes. This is due to the law’s historical roots in pre-Islamic times, when the civilised concept of marriage was essentially non-existent and divorce was a very common occurrence.</w:t>
      </w:r>
      <w:r w:rsidR="0015486D">
        <w:rPr>
          <w:rFonts w:ascii="Times New Roman" w:hAnsi="Times New Roman" w:cs="Times New Roman"/>
          <w:sz w:val="24"/>
          <w:szCs w:val="24"/>
        </w:rPr>
        <w:t xml:space="preserve"> </w:t>
      </w:r>
      <w:r>
        <w:rPr>
          <w:rFonts w:ascii="Times New Roman" w:hAnsi="Times New Roman" w:cs="Times New Roman"/>
          <w:sz w:val="24"/>
          <w:szCs w:val="24"/>
        </w:rPr>
        <w:t>Even if her husband failed to provide for her, left her, or repeatedly mistreated her, Muslim women were not allowed to end their marriages prior to 1939. The Dissolution of Muslim Marriages Act, which sought to address this issue, was passed in 1939.</w:t>
      </w:r>
      <w:r w:rsidR="008B2664">
        <w:rPr>
          <w:rStyle w:val="FootnoteReference"/>
          <w:rFonts w:ascii="Times New Roman" w:hAnsi="Times New Roman" w:cs="Times New Roman"/>
          <w:sz w:val="24"/>
          <w:szCs w:val="24"/>
        </w:rPr>
        <w:footnoteReference w:id="2"/>
      </w:r>
      <w:r w:rsidR="0015486D">
        <w:rPr>
          <w:rFonts w:ascii="Times New Roman" w:hAnsi="Times New Roman" w:cs="Times New Roman"/>
          <w:sz w:val="24"/>
          <w:szCs w:val="24"/>
        </w:rPr>
        <w:t xml:space="preserve"> Although this act made some improvements in terms of women’s rights, the Mohammedan Law still needs to address a significant problem with iddat period. Either of them may get remarried right away if the marriage hasn’t been legally consummated.</w:t>
      </w:r>
      <w:r w:rsidR="00821399">
        <w:rPr>
          <w:rFonts w:ascii="Times New Roman" w:hAnsi="Times New Roman" w:cs="Times New Roman"/>
          <w:sz w:val="24"/>
          <w:szCs w:val="24"/>
        </w:rPr>
        <w:t xml:space="preserve"> </w:t>
      </w:r>
      <w:r w:rsidR="00B9403E">
        <w:rPr>
          <w:rFonts w:ascii="Times New Roman" w:hAnsi="Times New Roman" w:cs="Times New Roman"/>
          <w:sz w:val="24"/>
          <w:szCs w:val="24"/>
        </w:rPr>
        <w:t xml:space="preserve">For the purposes of the </w:t>
      </w:r>
      <w:r w:rsidR="00B9403E">
        <w:rPr>
          <w:rFonts w:ascii="Times New Roman" w:hAnsi="Times New Roman" w:cs="Times New Roman"/>
          <w:sz w:val="24"/>
          <w:szCs w:val="24"/>
        </w:rPr>
        <w:lastRenderedPageBreak/>
        <w:t>prohibition on grounds of number, the divorced wife is counted as a wife, so if the husband has three other wives, he cannot get married again until the divorced wife has completed her iddat. After the iddat period has passed, the wife may remarry if the marriage has already been consummated.</w:t>
      </w:r>
      <w:r w:rsidR="00ED740B">
        <w:rPr>
          <w:rStyle w:val="FootnoteReference"/>
          <w:rFonts w:ascii="Times New Roman" w:hAnsi="Times New Roman" w:cs="Times New Roman"/>
          <w:sz w:val="24"/>
          <w:szCs w:val="24"/>
        </w:rPr>
        <w:footnoteReference w:id="3"/>
      </w:r>
    </w:p>
    <w:p w14:paraId="4B629572" w14:textId="065E4AEC" w:rsidR="0015486D" w:rsidRDefault="0015486D"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implementation of a </w:t>
      </w:r>
      <w:r w:rsidR="009F0F70">
        <w:rPr>
          <w:rFonts w:ascii="Times New Roman" w:hAnsi="Times New Roman" w:cs="Times New Roman"/>
          <w:sz w:val="24"/>
          <w:szCs w:val="24"/>
        </w:rPr>
        <w:t>UCC holds the potential to substantially address this disparity, fostering a more equitable and impartial approach to women’s rights across various communities and thereby advancing the cause of equality within personal laws.</w:t>
      </w:r>
    </w:p>
    <w:p w14:paraId="461E1C4B" w14:textId="4BB654CD" w:rsidR="0054736F" w:rsidRPr="0054736F" w:rsidRDefault="0054736F" w:rsidP="005F2C83">
      <w:pPr>
        <w:tabs>
          <w:tab w:val="left" w:pos="1844"/>
        </w:tabs>
        <w:spacing w:line="360" w:lineRule="auto"/>
        <w:jc w:val="center"/>
        <w:rPr>
          <w:rFonts w:ascii="Times New Roman" w:hAnsi="Times New Roman" w:cs="Times New Roman"/>
          <w:b/>
          <w:sz w:val="24"/>
          <w:szCs w:val="24"/>
        </w:rPr>
      </w:pPr>
      <w:r w:rsidRPr="0054736F">
        <w:rPr>
          <w:rFonts w:ascii="Times New Roman" w:hAnsi="Times New Roman" w:cs="Times New Roman"/>
          <w:b/>
          <w:sz w:val="24"/>
          <w:szCs w:val="24"/>
        </w:rPr>
        <w:t>The Judiciary and UCC</w:t>
      </w:r>
    </w:p>
    <w:p w14:paraId="30745D7C" w14:textId="0420560B" w:rsidR="00B026DF" w:rsidRDefault="001639B2"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There is no doubt that India is a secular state where people belonging to different religions enjoy different personal laws. But at times these laws show discrimination and inequality against women. The supreme court of India at many instances </w:t>
      </w:r>
      <w:r w:rsidR="00631D4F">
        <w:rPr>
          <w:rFonts w:ascii="Times New Roman" w:hAnsi="Times New Roman" w:cs="Times New Roman"/>
          <w:sz w:val="24"/>
          <w:szCs w:val="24"/>
        </w:rPr>
        <w:t>as favoured the application of the Uniform Civil Code.</w:t>
      </w:r>
      <w:r w:rsidR="00EF4B18">
        <w:rPr>
          <w:rFonts w:ascii="Times New Roman" w:hAnsi="Times New Roman" w:cs="Times New Roman"/>
          <w:sz w:val="24"/>
          <w:szCs w:val="24"/>
        </w:rPr>
        <w:t xml:space="preserve"> In the landmark judgement of Ahmed Khan v. Shah Bano Begum</w:t>
      </w:r>
      <w:r w:rsidR="00EF4B18">
        <w:rPr>
          <w:rStyle w:val="FootnoteReference"/>
          <w:rFonts w:ascii="Times New Roman" w:hAnsi="Times New Roman" w:cs="Times New Roman"/>
          <w:sz w:val="24"/>
          <w:szCs w:val="24"/>
        </w:rPr>
        <w:footnoteReference w:id="4"/>
      </w:r>
      <w:r w:rsidR="00EF4B18">
        <w:rPr>
          <w:rFonts w:ascii="Times New Roman" w:hAnsi="Times New Roman" w:cs="Times New Roman"/>
          <w:sz w:val="24"/>
          <w:szCs w:val="24"/>
        </w:rPr>
        <w:t xml:space="preserve"> which is popularly known as the Shah Bano’s Case, the hon’ble court held that “It is also a matter of regret that Article 44 of our </w:t>
      </w:r>
      <w:r w:rsidR="009F0404">
        <w:rPr>
          <w:rFonts w:ascii="Times New Roman" w:hAnsi="Times New Roman" w:cs="Times New Roman"/>
          <w:sz w:val="24"/>
          <w:szCs w:val="24"/>
        </w:rPr>
        <w:t>Constitution</w:t>
      </w:r>
      <w:r w:rsidR="00EF4B18">
        <w:rPr>
          <w:rFonts w:ascii="Times New Roman" w:hAnsi="Times New Roman" w:cs="Times New Roman"/>
          <w:sz w:val="24"/>
          <w:szCs w:val="24"/>
        </w:rPr>
        <w:t xml:space="preserve"> has remained a dead letter”.</w:t>
      </w:r>
      <w:r w:rsidR="006041AA">
        <w:rPr>
          <w:rFonts w:ascii="Times New Roman" w:hAnsi="Times New Roman" w:cs="Times New Roman"/>
          <w:sz w:val="24"/>
          <w:szCs w:val="24"/>
        </w:rPr>
        <w:t xml:space="preserve"> </w:t>
      </w:r>
    </w:p>
    <w:p w14:paraId="7767E42F" w14:textId="4CE17E07" w:rsidR="006041AA" w:rsidRDefault="006041AA"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In the case of Sarla Mudgal (Smt.) President, Kalyani and others v. Union of India and others</w:t>
      </w:r>
      <w:r>
        <w:rPr>
          <w:rStyle w:val="FootnoteReference"/>
          <w:rFonts w:ascii="Times New Roman" w:hAnsi="Times New Roman" w:cs="Times New Roman"/>
          <w:sz w:val="24"/>
          <w:szCs w:val="24"/>
        </w:rPr>
        <w:footnoteReference w:id="5"/>
      </w:r>
      <w:r>
        <w:rPr>
          <w:rFonts w:ascii="Times New Roman" w:hAnsi="Times New Roman" w:cs="Times New Roman"/>
          <w:sz w:val="24"/>
          <w:szCs w:val="24"/>
        </w:rPr>
        <w:t>, while delivering the judgement directed the government to implement the directive of article 44, said “Successive governments have been wholly remiss in their duty of implementing the Constitutional</w:t>
      </w:r>
      <w:r w:rsidR="00D114C0">
        <w:rPr>
          <w:rFonts w:ascii="Times New Roman" w:hAnsi="Times New Roman" w:cs="Times New Roman"/>
          <w:sz w:val="24"/>
          <w:szCs w:val="24"/>
        </w:rPr>
        <w:t xml:space="preserve"> mandate under Article 44. Therefore, the Supreme Court requested the Government of India, through the Prime Minister of the country to have a fresh look at Article 44 of the Constitution of India and endeavour to secure for its citizens a uniform civil code</w:t>
      </w:r>
      <w:r w:rsidR="00964F69">
        <w:rPr>
          <w:rFonts w:ascii="Times New Roman" w:hAnsi="Times New Roman" w:cs="Times New Roman"/>
          <w:sz w:val="24"/>
          <w:szCs w:val="24"/>
        </w:rPr>
        <w:t xml:space="preserve"> throughout the territory of India.”</w:t>
      </w:r>
      <w:r w:rsidR="00F31F00">
        <w:rPr>
          <w:rStyle w:val="FootnoteReference"/>
          <w:rFonts w:ascii="Times New Roman" w:hAnsi="Times New Roman" w:cs="Times New Roman"/>
          <w:sz w:val="24"/>
          <w:szCs w:val="24"/>
        </w:rPr>
        <w:footnoteReference w:id="6"/>
      </w:r>
      <w:r w:rsidR="00AF5058">
        <w:rPr>
          <w:rFonts w:ascii="Times New Roman" w:hAnsi="Times New Roman" w:cs="Times New Roman"/>
          <w:sz w:val="24"/>
          <w:szCs w:val="24"/>
        </w:rPr>
        <w:t xml:space="preserve"> The court also </w:t>
      </w:r>
      <w:r w:rsidR="009262F9">
        <w:rPr>
          <w:rFonts w:ascii="Times New Roman" w:hAnsi="Times New Roman" w:cs="Times New Roman"/>
          <w:sz w:val="24"/>
          <w:szCs w:val="24"/>
        </w:rPr>
        <w:t>put forth a strat</w:t>
      </w:r>
      <w:r w:rsidR="009F0F70">
        <w:rPr>
          <w:rFonts w:ascii="Times New Roman" w:hAnsi="Times New Roman" w:cs="Times New Roman"/>
          <w:sz w:val="24"/>
          <w:szCs w:val="24"/>
        </w:rPr>
        <w:t>agem</w:t>
      </w:r>
      <w:r w:rsidR="009262F9">
        <w:rPr>
          <w:rFonts w:ascii="Times New Roman" w:hAnsi="Times New Roman" w:cs="Times New Roman"/>
          <w:sz w:val="24"/>
          <w:szCs w:val="24"/>
        </w:rPr>
        <w:t xml:space="preserve"> to implement the uniform civil code. It was stated by the bench t</w:t>
      </w:r>
      <w:r w:rsidR="00A70D16">
        <w:rPr>
          <w:rFonts w:ascii="Times New Roman" w:hAnsi="Times New Roman" w:cs="Times New Roman"/>
          <w:sz w:val="24"/>
          <w:szCs w:val="24"/>
        </w:rPr>
        <w:t xml:space="preserve">hat we need to construct “social climate” for an actual change “by the elite of the society” and “statesmen among leaders who instead of gaining personal mileage rise above and awaken the masses to accept the change.” This will </w:t>
      </w:r>
      <w:r w:rsidR="009F0F70">
        <w:rPr>
          <w:rFonts w:ascii="Times New Roman" w:hAnsi="Times New Roman" w:cs="Times New Roman"/>
          <w:sz w:val="24"/>
          <w:szCs w:val="24"/>
        </w:rPr>
        <w:t>offer</w:t>
      </w:r>
      <w:r w:rsidR="00A70D16">
        <w:rPr>
          <w:rFonts w:ascii="Times New Roman" w:hAnsi="Times New Roman" w:cs="Times New Roman"/>
          <w:sz w:val="24"/>
          <w:szCs w:val="24"/>
        </w:rPr>
        <w:t xml:space="preserve"> the required incentive “to rationalise the personal law of the minorities to develop religious and cultural unity</w:t>
      </w:r>
      <w:r w:rsidR="00F31F00">
        <w:rPr>
          <w:rFonts w:ascii="Times New Roman" w:hAnsi="Times New Roman" w:cs="Times New Roman"/>
          <w:sz w:val="24"/>
          <w:szCs w:val="24"/>
        </w:rPr>
        <w:t>”</w:t>
      </w:r>
      <w:r w:rsidR="00F31F00">
        <w:rPr>
          <w:rStyle w:val="FootnoteReference"/>
          <w:rFonts w:ascii="Times New Roman" w:hAnsi="Times New Roman" w:cs="Times New Roman"/>
          <w:sz w:val="24"/>
          <w:szCs w:val="24"/>
        </w:rPr>
        <w:footnoteReference w:id="7"/>
      </w:r>
      <w:r w:rsidR="00F31F00">
        <w:rPr>
          <w:rFonts w:ascii="Times New Roman" w:hAnsi="Times New Roman" w:cs="Times New Roman"/>
          <w:sz w:val="24"/>
          <w:szCs w:val="24"/>
        </w:rPr>
        <w:t xml:space="preserve"> And thus, “the Government would be well advised to entrust the responsibility to the Law Commission which may in consultation with Minorities Commission examine the matter and bring about a comprehensive legislation in keeping with modern day concept of </w:t>
      </w:r>
      <w:r w:rsidR="00F31F00">
        <w:rPr>
          <w:rFonts w:ascii="Times New Roman" w:hAnsi="Times New Roman" w:cs="Times New Roman"/>
          <w:sz w:val="24"/>
          <w:szCs w:val="24"/>
        </w:rPr>
        <w:lastRenderedPageBreak/>
        <w:t>human rights for women.”</w:t>
      </w:r>
      <w:r w:rsidR="00F31F00">
        <w:rPr>
          <w:rStyle w:val="FootnoteReference"/>
          <w:rFonts w:ascii="Times New Roman" w:hAnsi="Times New Roman" w:cs="Times New Roman"/>
          <w:sz w:val="24"/>
          <w:szCs w:val="24"/>
        </w:rPr>
        <w:footnoteReference w:id="8"/>
      </w:r>
      <w:r w:rsidR="00F31F00">
        <w:rPr>
          <w:rFonts w:ascii="Times New Roman" w:hAnsi="Times New Roman" w:cs="Times New Roman"/>
          <w:sz w:val="24"/>
          <w:szCs w:val="24"/>
        </w:rPr>
        <w:t xml:space="preserve"> In addition to this, one more</w:t>
      </w:r>
      <w:r w:rsidR="009F0F70">
        <w:rPr>
          <w:rFonts w:ascii="Times New Roman" w:hAnsi="Times New Roman" w:cs="Times New Roman"/>
          <w:sz w:val="24"/>
          <w:szCs w:val="24"/>
        </w:rPr>
        <w:t xml:space="preserve"> step</w:t>
      </w:r>
      <w:r w:rsidR="00F31F00">
        <w:rPr>
          <w:rFonts w:ascii="Times New Roman" w:hAnsi="Times New Roman" w:cs="Times New Roman"/>
          <w:sz w:val="24"/>
          <w:szCs w:val="24"/>
        </w:rPr>
        <w:t xml:space="preserve"> should be “to consider the feasibility of appointing a committee to enact a Conversion of Religious Act immediately to check the abuse of religion by any person.”</w:t>
      </w:r>
      <w:r w:rsidR="00F31F00">
        <w:rPr>
          <w:rStyle w:val="FootnoteReference"/>
          <w:rFonts w:ascii="Times New Roman" w:hAnsi="Times New Roman" w:cs="Times New Roman"/>
          <w:sz w:val="24"/>
          <w:szCs w:val="24"/>
        </w:rPr>
        <w:footnoteReference w:id="9"/>
      </w:r>
    </w:p>
    <w:p w14:paraId="60A2C17D" w14:textId="5B8BBB2F" w:rsidR="00964F69" w:rsidRDefault="00964F69"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Further in case of Lily Thomas etc. v. Union of India</w:t>
      </w:r>
      <w:r>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and others, it was held that, “the desirability of uniform civil code can hardly be doubted. But it can concertize only when social climate is properly built up by elite of the society</w:t>
      </w:r>
      <w:r w:rsidR="00435CE7">
        <w:rPr>
          <w:rFonts w:ascii="Times New Roman" w:hAnsi="Times New Roman" w:cs="Times New Roman"/>
          <w:sz w:val="24"/>
          <w:szCs w:val="24"/>
        </w:rPr>
        <w:t>, statemen</w:t>
      </w:r>
      <w:r w:rsidR="00B00459">
        <w:rPr>
          <w:rFonts w:ascii="Times New Roman" w:hAnsi="Times New Roman" w:cs="Times New Roman"/>
          <w:sz w:val="24"/>
          <w:szCs w:val="24"/>
        </w:rPr>
        <w:t>t</w:t>
      </w:r>
      <w:r w:rsidR="00435CE7">
        <w:rPr>
          <w:rFonts w:ascii="Times New Roman" w:hAnsi="Times New Roman" w:cs="Times New Roman"/>
          <w:sz w:val="24"/>
          <w:szCs w:val="24"/>
        </w:rPr>
        <w:t xml:space="preserve"> amongst leaders who instead of gaining personal mileage rise above and awaken the masses to accept the change.”</w:t>
      </w:r>
    </w:p>
    <w:p w14:paraId="6AB64820" w14:textId="1DC6BBEF" w:rsidR="00A31ACE" w:rsidRDefault="00A31ACE"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However, in the case of Ahmedabad Women’s Action Group (AWAG) v. Union of Indi</w:t>
      </w:r>
      <w:r w:rsidR="005C5112">
        <w:rPr>
          <w:rFonts w:ascii="Times New Roman" w:hAnsi="Times New Roman" w:cs="Times New Roman"/>
          <w:sz w:val="24"/>
          <w:szCs w:val="24"/>
        </w:rPr>
        <w:t>a</w:t>
      </w:r>
      <w:r w:rsidR="001D21C8">
        <w:rPr>
          <w:rStyle w:val="FootnoteReference"/>
          <w:rFonts w:ascii="Times New Roman" w:hAnsi="Times New Roman" w:cs="Times New Roman"/>
          <w:sz w:val="24"/>
          <w:szCs w:val="24"/>
        </w:rPr>
        <w:footnoteReference w:id="11"/>
      </w:r>
      <w:r>
        <w:rPr>
          <w:rFonts w:ascii="Times New Roman" w:hAnsi="Times New Roman" w:cs="Times New Roman"/>
          <w:sz w:val="24"/>
          <w:szCs w:val="24"/>
        </w:rPr>
        <w:t>, a Public Interest Litigation (PIL) was initiated to challenge the gender-biased clauses present in both statutory and non-statutory laws among Hindus, Muslims, and Christians.</w:t>
      </w:r>
      <w:r w:rsidR="009F0F70">
        <w:rPr>
          <w:rFonts w:ascii="Times New Roman" w:hAnsi="Times New Roman" w:cs="Times New Roman"/>
          <w:sz w:val="24"/>
          <w:szCs w:val="24"/>
        </w:rPr>
        <w:t xml:space="preserve"> The Supreme Court exercised some restraint in this case, saying that discussing how to end gender discrimination in personal laws “Pertains  to matters of state policies, which the Court typically does not get involved in.”</w:t>
      </w:r>
      <w:r w:rsidR="00A93A83">
        <w:rPr>
          <w:rStyle w:val="FootnoteReference"/>
          <w:rFonts w:ascii="Times New Roman" w:hAnsi="Times New Roman" w:cs="Times New Roman"/>
          <w:sz w:val="24"/>
          <w:szCs w:val="24"/>
        </w:rPr>
        <w:footnoteReference w:id="12"/>
      </w:r>
      <w:r>
        <w:rPr>
          <w:rFonts w:ascii="Times New Roman" w:hAnsi="Times New Roman" w:cs="Times New Roman"/>
          <w:sz w:val="24"/>
          <w:szCs w:val="24"/>
        </w:rPr>
        <w:t xml:space="preserve"> This ruling faced criticism, as it appeared that the highest court had essentially relinquished its role as a guardian of equality principles concerning gender-related issues within the personal laws of diverse communities in India.</w:t>
      </w:r>
      <w:r w:rsidR="009F0404">
        <w:rPr>
          <w:rStyle w:val="FootnoteReference"/>
          <w:rFonts w:ascii="Times New Roman" w:hAnsi="Times New Roman" w:cs="Times New Roman"/>
          <w:sz w:val="24"/>
          <w:szCs w:val="24"/>
        </w:rPr>
        <w:footnoteReference w:id="13"/>
      </w:r>
    </w:p>
    <w:p w14:paraId="6C248DAC" w14:textId="5D1BB0D5" w:rsidR="001D000F" w:rsidRDefault="001D000F"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Another matter of concern often discussed is whether the judiciary should play a role in reforming personal laws. This aspect of the debate is distinct from the focus of this research paper and falls outside its scope.</w:t>
      </w:r>
    </w:p>
    <w:p w14:paraId="14A7947C" w14:textId="198AF121" w:rsidR="00B42721" w:rsidRPr="0054736F" w:rsidRDefault="00B42721" w:rsidP="005F2C83">
      <w:pPr>
        <w:tabs>
          <w:tab w:val="left" w:pos="1844"/>
        </w:tabs>
        <w:spacing w:line="360" w:lineRule="auto"/>
        <w:jc w:val="center"/>
        <w:rPr>
          <w:rFonts w:ascii="Times New Roman" w:hAnsi="Times New Roman" w:cs="Times New Roman"/>
          <w:b/>
          <w:sz w:val="24"/>
          <w:szCs w:val="24"/>
        </w:rPr>
      </w:pPr>
      <w:r w:rsidRPr="0054736F">
        <w:rPr>
          <w:rFonts w:ascii="Times New Roman" w:hAnsi="Times New Roman" w:cs="Times New Roman"/>
          <w:b/>
          <w:sz w:val="24"/>
          <w:szCs w:val="24"/>
        </w:rPr>
        <w:t>UCC in India after Independence</w:t>
      </w:r>
    </w:p>
    <w:p w14:paraId="7961C0FC" w14:textId="6DB54F4D" w:rsidR="00C46BFA" w:rsidRDefault="00B42721"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Following India’s independence, the initiative to systematize Hindu Law commenced under the leadership</w:t>
      </w:r>
      <w:r w:rsidR="008A6802">
        <w:rPr>
          <w:rFonts w:ascii="Times New Roman" w:hAnsi="Times New Roman" w:cs="Times New Roman"/>
          <w:sz w:val="24"/>
          <w:szCs w:val="24"/>
        </w:rPr>
        <w:t xml:space="preserve"> of India’s inaugural </w:t>
      </w:r>
      <w:r w:rsidR="002A12CA">
        <w:rPr>
          <w:rFonts w:ascii="Times New Roman" w:hAnsi="Times New Roman" w:cs="Times New Roman"/>
          <w:sz w:val="24"/>
          <w:szCs w:val="24"/>
        </w:rPr>
        <w:t>l</w:t>
      </w:r>
      <w:r w:rsidR="008A6802">
        <w:rPr>
          <w:rFonts w:ascii="Times New Roman" w:hAnsi="Times New Roman" w:cs="Times New Roman"/>
          <w:sz w:val="24"/>
          <w:szCs w:val="24"/>
        </w:rPr>
        <w:t xml:space="preserve">aw </w:t>
      </w:r>
      <w:r w:rsidR="002A12CA">
        <w:rPr>
          <w:rFonts w:ascii="Times New Roman" w:hAnsi="Times New Roman" w:cs="Times New Roman"/>
          <w:sz w:val="24"/>
          <w:szCs w:val="24"/>
        </w:rPr>
        <w:t>m</w:t>
      </w:r>
      <w:r w:rsidR="008A6802">
        <w:rPr>
          <w:rFonts w:ascii="Times New Roman" w:hAnsi="Times New Roman" w:cs="Times New Roman"/>
          <w:sz w:val="24"/>
          <w:szCs w:val="24"/>
        </w:rPr>
        <w:t xml:space="preserve">inister, Dr. Ambedkar. Dr. Ambedkar was proponent of enacting a comprehensive Hindu Code. However, Dr. Rajinder Prasad, India’s first President, expressed his opposition to the </w:t>
      </w:r>
      <w:r w:rsidR="00B9403E">
        <w:rPr>
          <w:rFonts w:ascii="Times New Roman" w:hAnsi="Times New Roman" w:cs="Times New Roman"/>
          <w:sz w:val="24"/>
          <w:szCs w:val="24"/>
        </w:rPr>
        <w:t>all-inclusive</w:t>
      </w:r>
      <w:r w:rsidR="008A6802">
        <w:rPr>
          <w:rFonts w:ascii="Times New Roman" w:hAnsi="Times New Roman" w:cs="Times New Roman"/>
          <w:sz w:val="24"/>
          <w:szCs w:val="24"/>
        </w:rPr>
        <w:t xml:space="preserve"> Hindu Code. Consequently, Hindu law had to be established incrementally through separate legislations, namely the Hindu Marriage Act of 1955, the Hindu Adoption and Maintenance Act of 1956, the Hindu Minority and Guardianship Act of 1956, and the Hindu Succession Act of 1956. Dr. Ambedkar eventually </w:t>
      </w:r>
      <w:r w:rsidR="008A6802">
        <w:rPr>
          <w:rFonts w:ascii="Times New Roman" w:hAnsi="Times New Roman" w:cs="Times New Roman"/>
          <w:sz w:val="24"/>
          <w:szCs w:val="24"/>
        </w:rPr>
        <w:lastRenderedPageBreak/>
        <w:t xml:space="preserve">resigned from his post as a law minister due to the strong resistance posed by Dr. Rajinder Prasad against the </w:t>
      </w:r>
      <w:r w:rsidR="002A12CA">
        <w:rPr>
          <w:rFonts w:ascii="Times New Roman" w:hAnsi="Times New Roman" w:cs="Times New Roman"/>
          <w:sz w:val="24"/>
          <w:szCs w:val="24"/>
        </w:rPr>
        <w:t>execution</w:t>
      </w:r>
      <w:r w:rsidR="008A6802">
        <w:rPr>
          <w:rFonts w:ascii="Times New Roman" w:hAnsi="Times New Roman" w:cs="Times New Roman"/>
          <w:sz w:val="24"/>
          <w:szCs w:val="24"/>
        </w:rPr>
        <w:t xml:space="preserve"> of a uniform code.</w:t>
      </w:r>
    </w:p>
    <w:p w14:paraId="05280CE1" w14:textId="3C6056FE" w:rsidR="008A6802" w:rsidRDefault="008A6802"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Pandit Jawaharlal Nehru, when introducing the Hindu Code Bill in the Parliament in 1954, instead of advocating for a uniform civil code, remarked,</w:t>
      </w:r>
      <w:r w:rsidR="00B03920">
        <w:rPr>
          <w:rStyle w:val="FootnoteReference"/>
          <w:rFonts w:ascii="Times New Roman" w:hAnsi="Times New Roman" w:cs="Times New Roman"/>
          <w:sz w:val="24"/>
          <w:szCs w:val="24"/>
        </w:rPr>
        <w:footnoteReference w:id="14"/>
      </w:r>
      <w:r>
        <w:rPr>
          <w:rFonts w:ascii="Times New Roman" w:hAnsi="Times New Roman" w:cs="Times New Roman"/>
          <w:sz w:val="24"/>
          <w:szCs w:val="24"/>
        </w:rPr>
        <w:t>“I do not</w:t>
      </w:r>
      <w:r w:rsidR="00B03920">
        <w:rPr>
          <w:rFonts w:ascii="Times New Roman" w:hAnsi="Times New Roman" w:cs="Times New Roman"/>
          <w:sz w:val="24"/>
          <w:szCs w:val="24"/>
        </w:rPr>
        <w:t xml:space="preserve"> think that at the present moment time is ripe in India for me to try to push it through.”</w:t>
      </w:r>
    </w:p>
    <w:p w14:paraId="6B6091CB" w14:textId="59E23ECB" w:rsidR="00D4193C" w:rsidRDefault="00D4193C"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UCC is recently in news as for BJP the ruling party, UCC stands as an enduring ideological pledge that it has repeatedly presented to the nation’s voters in a bid to secure their support. During the campaign leading up to the 2019 General Elections, the BJP included in its manifesto a commitment to the implementation of the UCC. </w:t>
      </w:r>
      <w:r w:rsidR="00D81085">
        <w:rPr>
          <w:rFonts w:ascii="Times New Roman" w:hAnsi="Times New Roman" w:cs="Times New Roman"/>
          <w:sz w:val="24"/>
          <w:szCs w:val="24"/>
        </w:rPr>
        <w:t>The BJP’s steadfast and central voting bloc, comprising middle-class Hindus, has consistently called for the enactment of the UCC. Nonetheless, despite holding power for more than nine years, the Modi government has shown reluctance in taking decisive action, possibly to avoid alienating a significant portion of the minority population.</w:t>
      </w:r>
      <w:r w:rsidR="002726C6">
        <w:rPr>
          <w:rStyle w:val="FootnoteReference"/>
          <w:rFonts w:ascii="Times New Roman" w:hAnsi="Times New Roman" w:cs="Times New Roman"/>
          <w:sz w:val="24"/>
          <w:szCs w:val="24"/>
        </w:rPr>
        <w:footnoteReference w:id="15"/>
      </w:r>
    </w:p>
    <w:p w14:paraId="411BCDD5" w14:textId="1BB28D63" w:rsidR="00D81085" w:rsidRPr="0054736F" w:rsidRDefault="00D81085" w:rsidP="005F2C83">
      <w:pPr>
        <w:tabs>
          <w:tab w:val="left" w:pos="1844"/>
        </w:tabs>
        <w:spacing w:line="360" w:lineRule="auto"/>
        <w:jc w:val="center"/>
        <w:rPr>
          <w:rFonts w:ascii="Times New Roman" w:hAnsi="Times New Roman" w:cs="Times New Roman"/>
          <w:b/>
          <w:sz w:val="24"/>
          <w:szCs w:val="24"/>
        </w:rPr>
      </w:pPr>
      <w:r w:rsidRPr="0054736F">
        <w:rPr>
          <w:rFonts w:ascii="Times New Roman" w:hAnsi="Times New Roman" w:cs="Times New Roman"/>
          <w:b/>
          <w:sz w:val="24"/>
          <w:szCs w:val="24"/>
        </w:rPr>
        <w:t>Conclusion</w:t>
      </w:r>
    </w:p>
    <w:p w14:paraId="2BE6C870" w14:textId="2A6727BE" w:rsidR="00A9181C" w:rsidRDefault="002A12CA"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India, personal laws have an impact on the majority of women from various communities. These laws have an impact on how they are viewed in crucial life circumstances like marriage, divorce, adoption, raising children, and property ownership. </w:t>
      </w:r>
      <w:r w:rsidR="00EA7931">
        <w:rPr>
          <w:rFonts w:ascii="Times New Roman" w:hAnsi="Times New Roman" w:cs="Times New Roman"/>
          <w:sz w:val="24"/>
          <w:szCs w:val="24"/>
        </w:rPr>
        <w:t xml:space="preserve">Even though there have been efforts globally and in India to make sure women are treated equally, they still face unfair treatment in these areas. That’s why we need a fair set of rules that apply to everyone, no matter their religion or background. This will protect women who are treated unfairly, bring the country together, and make sure India’s laws follow the international rules about human rights that India has already agreed to. </w:t>
      </w:r>
      <w:r w:rsidR="00A336DD">
        <w:rPr>
          <w:rFonts w:ascii="Times New Roman" w:hAnsi="Times New Roman" w:cs="Times New Roman"/>
          <w:sz w:val="24"/>
          <w:szCs w:val="24"/>
        </w:rPr>
        <w:t xml:space="preserve"> </w:t>
      </w:r>
    </w:p>
    <w:p w14:paraId="2DE91025" w14:textId="4E2BD0D5" w:rsidR="008672E1" w:rsidRDefault="008672E1"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Right now, having one set of rules for everyone is important for our country to stay united and to be fair to all religions. Righ</w:t>
      </w:r>
      <w:r w:rsidR="00725A17">
        <w:rPr>
          <w:rFonts w:ascii="Times New Roman" w:hAnsi="Times New Roman" w:cs="Times New Roman"/>
          <w:sz w:val="24"/>
          <w:szCs w:val="24"/>
        </w:rPr>
        <w:t>t</w:t>
      </w:r>
      <w:r>
        <w:rPr>
          <w:rFonts w:ascii="Times New Roman" w:hAnsi="Times New Roman" w:cs="Times New Roman"/>
          <w:sz w:val="24"/>
          <w:szCs w:val="24"/>
        </w:rPr>
        <w:t xml:space="preserve"> now, having different rules for different personal matters is a problem, and it can even hurt our country</w:t>
      </w:r>
      <w:r w:rsidR="00725A17">
        <w:rPr>
          <w:rFonts w:ascii="Times New Roman" w:hAnsi="Times New Roman" w:cs="Times New Roman"/>
          <w:sz w:val="24"/>
          <w:szCs w:val="24"/>
        </w:rPr>
        <w:t>’s unity. Some other counties like Germany, France, Spain, Canada, Japan, Turkey, and Portugal already have a single set of rules that work well for everyone.</w:t>
      </w:r>
    </w:p>
    <w:p w14:paraId="01F75299" w14:textId="43CD70D4" w:rsidR="00725A17" w:rsidRDefault="00725A17"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long time ago, the British made some common laws in India, such as the Guardians and Wards Act, 1890, the Indian Succession Act, 1925, and the Child Marriage Restraint Act, 1929. </w:t>
      </w:r>
      <w:r w:rsidR="002726C6">
        <w:rPr>
          <w:rFonts w:ascii="Times New Roman" w:hAnsi="Times New Roman" w:cs="Times New Roman"/>
          <w:sz w:val="24"/>
          <w:szCs w:val="24"/>
        </w:rPr>
        <w:lastRenderedPageBreak/>
        <w:t>So,</w:t>
      </w:r>
      <w:r>
        <w:rPr>
          <w:rFonts w:ascii="Times New Roman" w:hAnsi="Times New Roman" w:cs="Times New Roman"/>
          <w:sz w:val="24"/>
          <w:szCs w:val="24"/>
        </w:rPr>
        <w:t xml:space="preserve"> if the current government of India, which represents all the different religious groups, can</w:t>
      </w:r>
      <w:r w:rsidR="001D000F">
        <w:rPr>
          <w:rFonts w:ascii="Times New Roman" w:hAnsi="Times New Roman" w:cs="Times New Roman"/>
          <w:sz w:val="24"/>
          <w:szCs w:val="24"/>
        </w:rPr>
        <w:t>’</w:t>
      </w:r>
      <w:r>
        <w:rPr>
          <w:rFonts w:ascii="Times New Roman" w:hAnsi="Times New Roman" w:cs="Times New Roman"/>
          <w:sz w:val="24"/>
          <w:szCs w:val="24"/>
        </w:rPr>
        <w:t>t make one set of laws that applies to everyone</w:t>
      </w:r>
      <w:r w:rsidR="001D000F">
        <w:rPr>
          <w:rFonts w:ascii="Times New Roman" w:hAnsi="Times New Roman" w:cs="Times New Roman"/>
          <w:sz w:val="24"/>
          <w:szCs w:val="24"/>
        </w:rPr>
        <w:t>?</w:t>
      </w:r>
      <w:r>
        <w:rPr>
          <w:rFonts w:ascii="Times New Roman" w:hAnsi="Times New Roman" w:cs="Times New Roman"/>
          <w:sz w:val="24"/>
          <w:szCs w:val="24"/>
        </w:rPr>
        <w:t xml:space="preserve"> This set of laws should take the best parts from the different civil laws of all the religious groups in India. This is important because our Constitution, in Article 44, says that the government should do this as part of its duty.</w:t>
      </w:r>
    </w:p>
    <w:p w14:paraId="4246C0DB" w14:textId="2F615D63" w:rsidR="005F2C83" w:rsidRDefault="005F2C83" w:rsidP="00F31F00">
      <w:pPr>
        <w:tabs>
          <w:tab w:val="left" w:pos="1844"/>
        </w:tabs>
        <w:spacing w:line="360" w:lineRule="auto"/>
        <w:jc w:val="both"/>
        <w:rPr>
          <w:rFonts w:ascii="Times New Roman" w:hAnsi="Times New Roman" w:cs="Times New Roman"/>
          <w:sz w:val="24"/>
          <w:szCs w:val="24"/>
        </w:rPr>
      </w:pPr>
    </w:p>
    <w:p w14:paraId="6BE386CB" w14:textId="0AF55710" w:rsidR="005F2C83" w:rsidRDefault="005F2C83"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Aditi Khond</w:t>
      </w:r>
    </w:p>
    <w:p w14:paraId="0119AC93" w14:textId="08E9709F" w:rsidR="001D000F" w:rsidRDefault="001D000F"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Pr="001D000F">
        <w:rPr>
          <w:rFonts w:ascii="Times New Roman" w:hAnsi="Times New Roman" w:cs="Times New Roman"/>
          <w:sz w:val="24"/>
          <w:szCs w:val="24"/>
          <w:vertAlign w:val="superscript"/>
        </w:rPr>
        <w:t>rd</w:t>
      </w:r>
      <w:r>
        <w:rPr>
          <w:rFonts w:ascii="Times New Roman" w:hAnsi="Times New Roman" w:cs="Times New Roman"/>
          <w:sz w:val="24"/>
          <w:szCs w:val="24"/>
        </w:rPr>
        <w:t xml:space="preserve"> year student</w:t>
      </w:r>
    </w:p>
    <w:p w14:paraId="1111E310" w14:textId="3F979D5A" w:rsidR="005F2C83" w:rsidRDefault="005F2C83"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B.A. L.L.B. (Hons.)</w:t>
      </w:r>
    </w:p>
    <w:p w14:paraId="367C5233" w14:textId="2750D8BE" w:rsidR="005F2C83" w:rsidRDefault="005F2C83" w:rsidP="00F31F00">
      <w:pPr>
        <w:tabs>
          <w:tab w:val="left" w:pos="1844"/>
        </w:tabs>
        <w:spacing w:line="360" w:lineRule="auto"/>
        <w:jc w:val="both"/>
        <w:rPr>
          <w:rFonts w:ascii="Times New Roman" w:hAnsi="Times New Roman" w:cs="Times New Roman"/>
          <w:sz w:val="24"/>
          <w:szCs w:val="24"/>
        </w:rPr>
      </w:pPr>
      <w:r>
        <w:rPr>
          <w:rFonts w:ascii="Times New Roman" w:hAnsi="Times New Roman" w:cs="Times New Roman"/>
          <w:sz w:val="24"/>
          <w:szCs w:val="24"/>
        </w:rPr>
        <w:t>MNLU, Nagpur</w:t>
      </w:r>
    </w:p>
    <w:p w14:paraId="0E9D3267" w14:textId="77777777" w:rsidR="00C46BFA" w:rsidRDefault="00C46BFA" w:rsidP="00F31F00">
      <w:pPr>
        <w:tabs>
          <w:tab w:val="left" w:pos="1844"/>
        </w:tabs>
        <w:spacing w:line="360" w:lineRule="auto"/>
        <w:jc w:val="both"/>
        <w:rPr>
          <w:rFonts w:ascii="Times New Roman" w:hAnsi="Times New Roman" w:cs="Times New Roman"/>
          <w:sz w:val="24"/>
          <w:szCs w:val="24"/>
        </w:rPr>
      </w:pPr>
    </w:p>
    <w:p w14:paraId="0B4A9F72" w14:textId="77777777" w:rsidR="000426FA" w:rsidRPr="00646DF0" w:rsidRDefault="000426FA" w:rsidP="00F31F00">
      <w:pPr>
        <w:tabs>
          <w:tab w:val="left" w:pos="1844"/>
        </w:tabs>
        <w:spacing w:line="360" w:lineRule="auto"/>
        <w:jc w:val="both"/>
        <w:rPr>
          <w:rFonts w:ascii="Times New Roman" w:hAnsi="Times New Roman" w:cs="Times New Roman"/>
          <w:sz w:val="24"/>
          <w:szCs w:val="24"/>
        </w:rPr>
      </w:pPr>
      <w:bookmarkStart w:id="0" w:name="_GoBack"/>
      <w:bookmarkEnd w:id="0"/>
    </w:p>
    <w:sectPr w:rsidR="000426FA" w:rsidRPr="00646DF0" w:rsidSect="00C144AF">
      <w:footerReference w:type="default" r:id="rId7"/>
      <w:type w:val="continuous"/>
      <w:pgSz w:w="11910" w:h="16840"/>
      <w:pgMar w:top="1440" w:right="1440" w:bottom="1440" w:left="1440" w:header="720" w:footer="720"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E1D8D9" w14:textId="77777777" w:rsidR="00675DBD" w:rsidRDefault="00675DBD" w:rsidP="00EF4B18">
      <w:pPr>
        <w:spacing w:after="0" w:line="240" w:lineRule="auto"/>
      </w:pPr>
      <w:r>
        <w:separator/>
      </w:r>
    </w:p>
  </w:endnote>
  <w:endnote w:type="continuationSeparator" w:id="0">
    <w:p w14:paraId="58F066B5" w14:textId="77777777" w:rsidR="00675DBD" w:rsidRDefault="00675DBD" w:rsidP="00EF4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5584093"/>
      <w:docPartObj>
        <w:docPartGallery w:val="Page Numbers (Bottom of Page)"/>
        <w:docPartUnique/>
      </w:docPartObj>
    </w:sdtPr>
    <w:sdtEndPr>
      <w:rPr>
        <w:noProof/>
      </w:rPr>
    </w:sdtEndPr>
    <w:sdtContent>
      <w:p w14:paraId="25733B79" w14:textId="0BC2BC4A" w:rsidR="00C144AF" w:rsidRDefault="00C144A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97DE54" w14:textId="77777777" w:rsidR="00C144AF" w:rsidRDefault="00C144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78C859" w14:textId="77777777" w:rsidR="00675DBD" w:rsidRDefault="00675DBD" w:rsidP="00EF4B18">
      <w:pPr>
        <w:spacing w:after="0" w:line="240" w:lineRule="auto"/>
      </w:pPr>
      <w:r>
        <w:separator/>
      </w:r>
    </w:p>
  </w:footnote>
  <w:footnote w:type="continuationSeparator" w:id="0">
    <w:p w14:paraId="221C602A" w14:textId="77777777" w:rsidR="00675DBD" w:rsidRDefault="00675DBD" w:rsidP="00EF4B18">
      <w:pPr>
        <w:spacing w:after="0" w:line="240" w:lineRule="auto"/>
      </w:pPr>
      <w:r>
        <w:continuationSeparator/>
      </w:r>
    </w:p>
  </w:footnote>
  <w:footnote w:id="1">
    <w:p w14:paraId="123668A4" w14:textId="256ADF69" w:rsidR="00A336DD" w:rsidRPr="00A336DD" w:rsidRDefault="00A336DD">
      <w:pPr>
        <w:pStyle w:val="FootnoteText"/>
        <w:rPr>
          <w:rFonts w:ascii="Times New Roman" w:hAnsi="Times New Roman" w:cs="Times New Roman"/>
          <w:lang w:val="en-US"/>
        </w:rPr>
      </w:pPr>
      <w:r w:rsidRPr="00A336DD">
        <w:rPr>
          <w:rStyle w:val="FootnoteReference"/>
          <w:rFonts w:ascii="Times New Roman" w:hAnsi="Times New Roman" w:cs="Times New Roman"/>
        </w:rPr>
        <w:footnoteRef/>
      </w:r>
      <w:r w:rsidRPr="00A336DD">
        <w:rPr>
          <w:rFonts w:ascii="Times New Roman" w:hAnsi="Times New Roman" w:cs="Times New Roman"/>
        </w:rPr>
        <w:t xml:space="preserve"> </w:t>
      </w:r>
      <w:r>
        <w:rPr>
          <w:rFonts w:ascii="Times New Roman" w:hAnsi="Times New Roman" w:cs="Times New Roman"/>
        </w:rPr>
        <w:t xml:space="preserve">M.P. Jain, </w:t>
      </w:r>
      <w:r>
        <w:rPr>
          <w:rFonts w:ascii="Times New Roman" w:hAnsi="Times New Roman" w:cs="Times New Roman"/>
          <w:i/>
        </w:rPr>
        <w:t xml:space="preserve">Matrimonial Law in India, </w:t>
      </w:r>
      <w:r>
        <w:rPr>
          <w:rFonts w:ascii="Times New Roman" w:hAnsi="Times New Roman" w:cs="Times New Roman"/>
        </w:rPr>
        <w:t>Journal of the Indian Law Institute, 4</w:t>
      </w:r>
      <w:r w:rsidR="00ED740B">
        <w:rPr>
          <w:rFonts w:ascii="Times New Roman" w:hAnsi="Times New Roman" w:cs="Times New Roman"/>
        </w:rPr>
        <w:t xml:space="preserve"> Indian Law Institute 71, 71-98 (1962)</w:t>
      </w:r>
      <w:r w:rsidR="002726C6">
        <w:rPr>
          <w:rFonts w:ascii="Times New Roman" w:hAnsi="Times New Roman" w:cs="Times New Roman"/>
        </w:rPr>
        <w:t>.</w:t>
      </w:r>
    </w:p>
  </w:footnote>
  <w:footnote w:id="2">
    <w:p w14:paraId="65A352B6" w14:textId="6349E88A" w:rsidR="008B2664" w:rsidRPr="00BA138B" w:rsidRDefault="008B2664">
      <w:pPr>
        <w:pStyle w:val="FootnoteText"/>
        <w:rPr>
          <w:rFonts w:ascii="Times New Roman" w:hAnsi="Times New Roman" w:cs="Times New Roman"/>
          <w:lang w:val="en-US"/>
        </w:rPr>
      </w:pPr>
      <w:r w:rsidRPr="00BA138B">
        <w:rPr>
          <w:rStyle w:val="FootnoteReference"/>
          <w:rFonts w:ascii="Times New Roman" w:hAnsi="Times New Roman" w:cs="Times New Roman"/>
        </w:rPr>
        <w:footnoteRef/>
      </w:r>
      <w:r w:rsidRPr="00BA138B">
        <w:rPr>
          <w:rFonts w:ascii="Times New Roman" w:hAnsi="Times New Roman" w:cs="Times New Roman"/>
        </w:rPr>
        <w:t xml:space="preserve"> </w:t>
      </w:r>
      <w:r w:rsidR="00BA138B" w:rsidRPr="00BA138B">
        <w:rPr>
          <w:rFonts w:ascii="Times New Roman" w:hAnsi="Times New Roman" w:cs="Times New Roman"/>
          <w:lang w:val="en-US"/>
        </w:rPr>
        <w:t>Dissolution of Muslim Marriages Act 1939</w:t>
      </w:r>
      <w:r w:rsidR="002726C6">
        <w:rPr>
          <w:rFonts w:ascii="Times New Roman" w:hAnsi="Times New Roman" w:cs="Times New Roman"/>
          <w:lang w:val="en-US"/>
        </w:rPr>
        <w:t>.</w:t>
      </w:r>
    </w:p>
  </w:footnote>
  <w:footnote w:id="3">
    <w:p w14:paraId="5C3E6512" w14:textId="10D8CC6E" w:rsidR="00ED740B" w:rsidRPr="00ED740B" w:rsidRDefault="00ED740B">
      <w:pPr>
        <w:pStyle w:val="FootnoteText"/>
        <w:rPr>
          <w:rFonts w:ascii="Times New Roman" w:hAnsi="Times New Roman" w:cs="Times New Roman"/>
          <w:lang w:val="en-US"/>
        </w:rPr>
      </w:pPr>
      <w:r w:rsidRPr="00ED740B">
        <w:rPr>
          <w:rStyle w:val="FootnoteReference"/>
          <w:rFonts w:ascii="Times New Roman" w:hAnsi="Times New Roman" w:cs="Times New Roman"/>
        </w:rPr>
        <w:footnoteRef/>
      </w:r>
      <w:r w:rsidRPr="00ED740B">
        <w:rPr>
          <w:rFonts w:ascii="Times New Roman" w:hAnsi="Times New Roman" w:cs="Times New Roman"/>
        </w:rPr>
        <w:t xml:space="preserve"> </w:t>
      </w:r>
      <w:r w:rsidR="00BA138B">
        <w:rPr>
          <w:rFonts w:ascii="Times New Roman" w:hAnsi="Times New Roman" w:cs="Times New Roman"/>
        </w:rPr>
        <w:t xml:space="preserve">Supra note 1 </w:t>
      </w:r>
    </w:p>
  </w:footnote>
  <w:footnote w:id="4">
    <w:p w14:paraId="57AC83A2" w14:textId="329FE90C" w:rsidR="00EF4B18" w:rsidRPr="00ED740B" w:rsidRDefault="00EF4B18">
      <w:pPr>
        <w:pStyle w:val="FootnoteText"/>
        <w:rPr>
          <w:rFonts w:ascii="Times New Roman" w:hAnsi="Times New Roman" w:cs="Times New Roman"/>
        </w:rPr>
      </w:pPr>
      <w:r w:rsidRPr="00ED740B">
        <w:rPr>
          <w:rStyle w:val="FootnoteReference"/>
          <w:rFonts w:ascii="Times New Roman" w:hAnsi="Times New Roman" w:cs="Times New Roman"/>
        </w:rPr>
        <w:footnoteRef/>
      </w:r>
      <w:r w:rsidRPr="00ED740B">
        <w:rPr>
          <w:rFonts w:ascii="Times New Roman" w:hAnsi="Times New Roman" w:cs="Times New Roman"/>
        </w:rPr>
        <w:t xml:space="preserve"> </w:t>
      </w:r>
      <w:r w:rsidR="001C1AA6">
        <w:rPr>
          <w:rFonts w:ascii="Times New Roman" w:hAnsi="Times New Roman" w:cs="Times New Roman"/>
        </w:rPr>
        <w:t xml:space="preserve">Ahmed Khan v. Shah </w:t>
      </w:r>
      <w:proofErr w:type="spellStart"/>
      <w:r w:rsidR="001C1AA6">
        <w:rPr>
          <w:rFonts w:ascii="Times New Roman" w:hAnsi="Times New Roman" w:cs="Times New Roman"/>
        </w:rPr>
        <w:t>Bano</w:t>
      </w:r>
      <w:proofErr w:type="spellEnd"/>
      <w:r w:rsidR="001C1AA6">
        <w:rPr>
          <w:rFonts w:ascii="Times New Roman" w:hAnsi="Times New Roman" w:cs="Times New Roman"/>
        </w:rPr>
        <w:t xml:space="preserve"> Begum </w:t>
      </w:r>
      <w:r w:rsidRPr="00ED740B">
        <w:rPr>
          <w:rFonts w:ascii="Times New Roman" w:hAnsi="Times New Roman" w:cs="Times New Roman"/>
        </w:rPr>
        <w:t>(1985) 2 SCC 556</w:t>
      </w:r>
      <w:r w:rsidR="001C1AA6">
        <w:rPr>
          <w:rFonts w:ascii="Times New Roman" w:hAnsi="Times New Roman" w:cs="Times New Roman"/>
        </w:rPr>
        <w:t xml:space="preserve"> (India)</w:t>
      </w:r>
    </w:p>
  </w:footnote>
  <w:footnote w:id="5">
    <w:p w14:paraId="6346D996" w14:textId="132AF09D" w:rsidR="006041AA" w:rsidRPr="00ED740B" w:rsidRDefault="006041AA">
      <w:pPr>
        <w:pStyle w:val="FootnoteText"/>
        <w:rPr>
          <w:rFonts w:ascii="Times New Roman" w:hAnsi="Times New Roman" w:cs="Times New Roman"/>
        </w:rPr>
      </w:pPr>
      <w:r w:rsidRPr="00ED740B">
        <w:rPr>
          <w:rStyle w:val="FootnoteReference"/>
          <w:rFonts w:ascii="Times New Roman" w:hAnsi="Times New Roman" w:cs="Times New Roman"/>
        </w:rPr>
        <w:footnoteRef/>
      </w:r>
      <w:r w:rsidRPr="00ED740B">
        <w:rPr>
          <w:rFonts w:ascii="Times New Roman" w:hAnsi="Times New Roman" w:cs="Times New Roman"/>
        </w:rPr>
        <w:t xml:space="preserve"> </w:t>
      </w:r>
      <w:proofErr w:type="spellStart"/>
      <w:r w:rsidR="001C1AA6">
        <w:rPr>
          <w:rFonts w:ascii="Times New Roman" w:hAnsi="Times New Roman" w:cs="Times New Roman"/>
        </w:rPr>
        <w:t>Sarla</w:t>
      </w:r>
      <w:proofErr w:type="spellEnd"/>
      <w:r w:rsidR="001C1AA6">
        <w:rPr>
          <w:rFonts w:ascii="Times New Roman" w:hAnsi="Times New Roman" w:cs="Times New Roman"/>
        </w:rPr>
        <w:t xml:space="preserve"> </w:t>
      </w:r>
      <w:proofErr w:type="spellStart"/>
      <w:r w:rsidR="001C1AA6">
        <w:rPr>
          <w:rFonts w:ascii="Times New Roman" w:hAnsi="Times New Roman" w:cs="Times New Roman"/>
        </w:rPr>
        <w:t>Mudgal</w:t>
      </w:r>
      <w:proofErr w:type="spellEnd"/>
      <w:r w:rsidR="001C1AA6">
        <w:rPr>
          <w:rFonts w:ascii="Times New Roman" w:hAnsi="Times New Roman" w:cs="Times New Roman"/>
        </w:rPr>
        <w:t xml:space="preserve"> (Smt.) President, Kalyani and others v. Union of India and others </w:t>
      </w:r>
      <w:r w:rsidRPr="00ED740B">
        <w:rPr>
          <w:rFonts w:ascii="Times New Roman" w:hAnsi="Times New Roman" w:cs="Times New Roman"/>
        </w:rPr>
        <w:t>AIR 1995 SC 1531</w:t>
      </w:r>
      <w:r w:rsidR="001C1AA6">
        <w:rPr>
          <w:rFonts w:ascii="Times New Roman" w:hAnsi="Times New Roman" w:cs="Times New Roman"/>
        </w:rPr>
        <w:t>(India)</w:t>
      </w:r>
    </w:p>
  </w:footnote>
  <w:footnote w:id="6">
    <w:p w14:paraId="04283C1B" w14:textId="53FF08C9" w:rsidR="00F31F00" w:rsidRPr="00ED740B" w:rsidRDefault="00F31F00">
      <w:pPr>
        <w:pStyle w:val="FootnoteText"/>
        <w:rPr>
          <w:rFonts w:ascii="Times New Roman" w:hAnsi="Times New Roman" w:cs="Times New Roman"/>
        </w:rPr>
      </w:pPr>
      <w:r w:rsidRPr="00ED740B">
        <w:rPr>
          <w:rStyle w:val="FootnoteReference"/>
          <w:rFonts w:ascii="Times New Roman" w:hAnsi="Times New Roman" w:cs="Times New Roman"/>
        </w:rPr>
        <w:footnoteRef/>
      </w:r>
      <w:r w:rsidRPr="00ED740B">
        <w:rPr>
          <w:rFonts w:ascii="Times New Roman" w:hAnsi="Times New Roman" w:cs="Times New Roman"/>
        </w:rPr>
        <w:t xml:space="preserve"> Ibid</w:t>
      </w:r>
    </w:p>
  </w:footnote>
  <w:footnote w:id="7">
    <w:p w14:paraId="0DAB3603" w14:textId="3CEAD10E" w:rsidR="00F31F00" w:rsidRPr="00ED740B" w:rsidRDefault="00F31F00">
      <w:pPr>
        <w:pStyle w:val="FootnoteText"/>
        <w:rPr>
          <w:rFonts w:ascii="Times New Roman" w:hAnsi="Times New Roman" w:cs="Times New Roman"/>
        </w:rPr>
      </w:pPr>
      <w:r w:rsidRPr="00ED740B">
        <w:rPr>
          <w:rStyle w:val="FootnoteReference"/>
          <w:rFonts w:ascii="Times New Roman" w:hAnsi="Times New Roman" w:cs="Times New Roman"/>
        </w:rPr>
        <w:footnoteRef/>
      </w:r>
      <w:r w:rsidRPr="00ED740B">
        <w:rPr>
          <w:rFonts w:ascii="Times New Roman" w:hAnsi="Times New Roman" w:cs="Times New Roman"/>
        </w:rPr>
        <w:t xml:space="preserve"> Ibid</w:t>
      </w:r>
    </w:p>
  </w:footnote>
  <w:footnote w:id="8">
    <w:p w14:paraId="192095DE" w14:textId="2B26F4FE" w:rsidR="00F31F00" w:rsidRPr="00ED740B" w:rsidRDefault="00F31F00">
      <w:pPr>
        <w:pStyle w:val="FootnoteText"/>
        <w:rPr>
          <w:rFonts w:ascii="Times New Roman" w:hAnsi="Times New Roman" w:cs="Times New Roman"/>
        </w:rPr>
      </w:pPr>
      <w:r w:rsidRPr="00ED740B">
        <w:rPr>
          <w:rStyle w:val="FootnoteReference"/>
          <w:rFonts w:ascii="Times New Roman" w:hAnsi="Times New Roman" w:cs="Times New Roman"/>
        </w:rPr>
        <w:footnoteRef/>
      </w:r>
      <w:r w:rsidRPr="00ED740B">
        <w:rPr>
          <w:rFonts w:ascii="Times New Roman" w:hAnsi="Times New Roman" w:cs="Times New Roman"/>
        </w:rPr>
        <w:t xml:space="preserve"> Ibid</w:t>
      </w:r>
    </w:p>
  </w:footnote>
  <w:footnote w:id="9">
    <w:p w14:paraId="4AE045CA" w14:textId="2A109B24" w:rsidR="00F31F00" w:rsidRPr="00BA138B" w:rsidRDefault="00F31F00">
      <w:pPr>
        <w:pStyle w:val="FootnoteText"/>
      </w:pPr>
      <w:r w:rsidRPr="00ED740B">
        <w:rPr>
          <w:rStyle w:val="FootnoteReference"/>
          <w:rFonts w:ascii="Times New Roman" w:hAnsi="Times New Roman" w:cs="Times New Roman"/>
        </w:rPr>
        <w:footnoteRef/>
      </w:r>
      <w:r w:rsidRPr="00ED740B">
        <w:rPr>
          <w:rFonts w:ascii="Times New Roman" w:hAnsi="Times New Roman" w:cs="Times New Roman"/>
        </w:rPr>
        <w:t xml:space="preserve"> </w:t>
      </w:r>
      <w:r w:rsidR="00BA138B">
        <w:rPr>
          <w:rFonts w:ascii="Times New Roman" w:hAnsi="Times New Roman" w:cs="Times New Roman"/>
        </w:rPr>
        <w:t>Virendra Kuma</w:t>
      </w:r>
      <w:r w:rsidR="00E8666D">
        <w:rPr>
          <w:rFonts w:ascii="Times New Roman" w:hAnsi="Times New Roman" w:cs="Times New Roman"/>
        </w:rPr>
        <w:t>r</w:t>
      </w:r>
      <w:r w:rsidR="00BA138B">
        <w:rPr>
          <w:rFonts w:ascii="Times New Roman" w:hAnsi="Times New Roman" w:cs="Times New Roman"/>
        </w:rPr>
        <w:t xml:space="preserve">, </w:t>
      </w:r>
      <w:r w:rsidR="00BA138B">
        <w:rPr>
          <w:rFonts w:ascii="Times New Roman" w:hAnsi="Times New Roman" w:cs="Times New Roman"/>
          <w:i/>
        </w:rPr>
        <w:t xml:space="preserve">A Uniform Civil Code: Judicial Vicissitudes, </w:t>
      </w:r>
      <w:r w:rsidR="00BA138B">
        <w:rPr>
          <w:rFonts w:ascii="Times New Roman" w:hAnsi="Times New Roman" w:cs="Times New Roman"/>
        </w:rPr>
        <w:t xml:space="preserve">Journal of Indian Law Institute, </w:t>
      </w:r>
      <w:r w:rsidR="002726C6">
        <w:rPr>
          <w:rFonts w:ascii="Times New Roman" w:hAnsi="Times New Roman" w:cs="Times New Roman"/>
        </w:rPr>
        <w:t xml:space="preserve">42 </w:t>
      </w:r>
      <w:r w:rsidR="00BA138B">
        <w:rPr>
          <w:rFonts w:ascii="Times New Roman" w:hAnsi="Times New Roman" w:cs="Times New Roman"/>
        </w:rPr>
        <w:t>Constitutional Law Special Issue</w:t>
      </w:r>
      <w:r w:rsidR="002726C6">
        <w:rPr>
          <w:rFonts w:ascii="Times New Roman" w:hAnsi="Times New Roman" w:cs="Times New Roman"/>
        </w:rPr>
        <w:t xml:space="preserve"> 314, 314-334.</w:t>
      </w:r>
    </w:p>
  </w:footnote>
  <w:footnote w:id="10">
    <w:p w14:paraId="4FDF1FF5" w14:textId="04EAB7FE" w:rsidR="00964F69" w:rsidRPr="00BA138B" w:rsidRDefault="00964F69">
      <w:pPr>
        <w:pStyle w:val="FootnoteText"/>
        <w:rPr>
          <w:rFonts w:ascii="Times New Roman" w:hAnsi="Times New Roman" w:cs="Times New Roman"/>
        </w:rPr>
      </w:pPr>
      <w:r w:rsidRPr="00BA138B">
        <w:rPr>
          <w:rStyle w:val="FootnoteReference"/>
          <w:rFonts w:ascii="Times New Roman" w:hAnsi="Times New Roman" w:cs="Times New Roman"/>
        </w:rPr>
        <w:footnoteRef/>
      </w:r>
      <w:r w:rsidRPr="00BA138B">
        <w:rPr>
          <w:rFonts w:ascii="Times New Roman" w:hAnsi="Times New Roman" w:cs="Times New Roman"/>
        </w:rPr>
        <w:t xml:space="preserve"> </w:t>
      </w:r>
      <w:r w:rsidR="001C1AA6">
        <w:rPr>
          <w:rFonts w:ascii="Times New Roman" w:hAnsi="Times New Roman" w:cs="Times New Roman"/>
        </w:rPr>
        <w:t xml:space="preserve">Lily Thomas etc. v. Union of India </w:t>
      </w:r>
      <w:r w:rsidRPr="00BA138B">
        <w:rPr>
          <w:rFonts w:ascii="Times New Roman" w:hAnsi="Times New Roman" w:cs="Times New Roman"/>
        </w:rPr>
        <w:t>AIR 2000 SC 1650</w:t>
      </w:r>
    </w:p>
  </w:footnote>
  <w:footnote w:id="11">
    <w:p w14:paraId="001EC1D4" w14:textId="6BDE9E5D" w:rsidR="001D21C8" w:rsidRPr="00BA138B" w:rsidRDefault="001D21C8">
      <w:pPr>
        <w:pStyle w:val="FootnoteText"/>
        <w:rPr>
          <w:rFonts w:ascii="Times New Roman" w:hAnsi="Times New Roman" w:cs="Times New Roman"/>
        </w:rPr>
      </w:pPr>
      <w:r w:rsidRPr="00BA138B">
        <w:rPr>
          <w:rStyle w:val="FootnoteReference"/>
          <w:rFonts w:ascii="Times New Roman" w:hAnsi="Times New Roman" w:cs="Times New Roman"/>
        </w:rPr>
        <w:footnoteRef/>
      </w:r>
      <w:r w:rsidRPr="00BA138B">
        <w:rPr>
          <w:rFonts w:ascii="Times New Roman" w:hAnsi="Times New Roman" w:cs="Times New Roman"/>
        </w:rPr>
        <w:t xml:space="preserve"> </w:t>
      </w:r>
      <w:r w:rsidR="005F2C83">
        <w:rPr>
          <w:rFonts w:ascii="Times New Roman" w:hAnsi="Times New Roman" w:cs="Times New Roman"/>
        </w:rPr>
        <w:t xml:space="preserve">Ahmedabad Women’s Action Group (AWAG) v. Union of India </w:t>
      </w:r>
      <w:r w:rsidRPr="00BA138B">
        <w:rPr>
          <w:rFonts w:ascii="Times New Roman" w:hAnsi="Times New Roman" w:cs="Times New Roman"/>
        </w:rPr>
        <w:t>AIR 1997 SC 3614</w:t>
      </w:r>
    </w:p>
  </w:footnote>
  <w:footnote w:id="12">
    <w:p w14:paraId="636AA517" w14:textId="352DC105" w:rsidR="00A93A83" w:rsidRPr="00BA138B" w:rsidRDefault="00A93A83">
      <w:pPr>
        <w:pStyle w:val="FootnoteText"/>
        <w:rPr>
          <w:rFonts w:ascii="Times New Roman" w:hAnsi="Times New Roman" w:cs="Times New Roman"/>
        </w:rPr>
      </w:pPr>
      <w:r w:rsidRPr="00BA138B">
        <w:rPr>
          <w:rStyle w:val="FootnoteReference"/>
          <w:rFonts w:ascii="Times New Roman" w:hAnsi="Times New Roman" w:cs="Times New Roman"/>
        </w:rPr>
        <w:footnoteRef/>
      </w:r>
      <w:r w:rsidRPr="00BA138B">
        <w:rPr>
          <w:rFonts w:ascii="Times New Roman" w:hAnsi="Times New Roman" w:cs="Times New Roman"/>
        </w:rPr>
        <w:t xml:space="preserve"> Ibid </w:t>
      </w:r>
    </w:p>
  </w:footnote>
  <w:footnote w:id="13">
    <w:p w14:paraId="2A10DCE6" w14:textId="5C4FA4D8" w:rsidR="009F0404" w:rsidRPr="00BA138B" w:rsidRDefault="009F0404">
      <w:pPr>
        <w:pStyle w:val="FootnoteText"/>
        <w:rPr>
          <w:rFonts w:ascii="Times New Roman" w:hAnsi="Times New Roman" w:cs="Times New Roman"/>
        </w:rPr>
      </w:pPr>
      <w:r w:rsidRPr="00BA138B">
        <w:rPr>
          <w:rStyle w:val="FootnoteReference"/>
          <w:rFonts w:ascii="Times New Roman" w:hAnsi="Times New Roman" w:cs="Times New Roman"/>
        </w:rPr>
        <w:footnoteRef/>
      </w:r>
      <w:r w:rsidRPr="00BA138B">
        <w:rPr>
          <w:rFonts w:ascii="Times New Roman" w:hAnsi="Times New Roman" w:cs="Times New Roman"/>
        </w:rPr>
        <w:t xml:space="preserve"> Rajeev Dhawan, </w:t>
      </w:r>
      <w:r w:rsidRPr="002726C6">
        <w:rPr>
          <w:rFonts w:ascii="Times New Roman" w:hAnsi="Times New Roman" w:cs="Times New Roman"/>
          <w:i/>
        </w:rPr>
        <w:t>The Apex Court and Personal Law</w:t>
      </w:r>
      <w:r w:rsidR="002726C6">
        <w:rPr>
          <w:rFonts w:ascii="Times New Roman" w:hAnsi="Times New Roman" w:cs="Times New Roman"/>
        </w:rPr>
        <w:t>,</w:t>
      </w:r>
      <w:r w:rsidRPr="00BA138B">
        <w:rPr>
          <w:rFonts w:ascii="Times New Roman" w:hAnsi="Times New Roman" w:cs="Times New Roman"/>
        </w:rPr>
        <w:t xml:space="preserve"> T</w:t>
      </w:r>
      <w:r w:rsidR="002726C6">
        <w:rPr>
          <w:rFonts w:ascii="Times New Roman" w:hAnsi="Times New Roman" w:cs="Times New Roman"/>
        </w:rPr>
        <w:t>HE HINDU,</w:t>
      </w:r>
      <w:r w:rsidRPr="00BA138B">
        <w:rPr>
          <w:rFonts w:ascii="Times New Roman" w:hAnsi="Times New Roman" w:cs="Times New Roman"/>
        </w:rPr>
        <w:t xml:space="preserve"> </w:t>
      </w:r>
      <w:r w:rsidR="002726C6">
        <w:rPr>
          <w:rFonts w:ascii="Times New Roman" w:hAnsi="Times New Roman" w:cs="Times New Roman"/>
        </w:rPr>
        <w:t xml:space="preserve">March 14, </w:t>
      </w:r>
      <w:r w:rsidRPr="00BA138B">
        <w:rPr>
          <w:rFonts w:ascii="Times New Roman" w:hAnsi="Times New Roman" w:cs="Times New Roman"/>
        </w:rPr>
        <w:t>1997</w:t>
      </w:r>
      <w:r w:rsidR="002726C6">
        <w:rPr>
          <w:rFonts w:ascii="Times New Roman" w:hAnsi="Times New Roman" w:cs="Times New Roman"/>
        </w:rPr>
        <w:t>.</w:t>
      </w:r>
    </w:p>
  </w:footnote>
  <w:footnote w:id="14">
    <w:p w14:paraId="2C303136" w14:textId="7673CD47" w:rsidR="00B03920" w:rsidRDefault="00B03920">
      <w:pPr>
        <w:pStyle w:val="FootnoteText"/>
      </w:pPr>
      <w:r w:rsidRPr="00BA138B">
        <w:rPr>
          <w:rStyle w:val="FootnoteReference"/>
          <w:rFonts w:ascii="Times New Roman" w:hAnsi="Times New Roman" w:cs="Times New Roman"/>
        </w:rPr>
        <w:footnoteRef/>
      </w:r>
      <w:r w:rsidRPr="00BA138B">
        <w:rPr>
          <w:rFonts w:ascii="Times New Roman" w:hAnsi="Times New Roman" w:cs="Times New Roman"/>
        </w:rPr>
        <w:t xml:space="preserve"> N.R. Madhava Menon (ed.)</w:t>
      </w:r>
      <w:r w:rsidR="00BA138B">
        <w:rPr>
          <w:rFonts w:ascii="Times New Roman" w:hAnsi="Times New Roman" w:cs="Times New Roman"/>
        </w:rPr>
        <w:t>,</w:t>
      </w:r>
      <w:r w:rsidRPr="00BA138B">
        <w:rPr>
          <w:rFonts w:ascii="Times New Roman" w:hAnsi="Times New Roman" w:cs="Times New Roman"/>
        </w:rPr>
        <w:t xml:space="preserve"> National Convention on Uniform Civil Code for all Indians 7 (1986)</w:t>
      </w:r>
      <w:r w:rsidR="002726C6">
        <w:rPr>
          <w:rFonts w:ascii="Times New Roman" w:hAnsi="Times New Roman" w:cs="Times New Roman"/>
        </w:rPr>
        <w:t>.</w:t>
      </w:r>
    </w:p>
  </w:footnote>
  <w:footnote w:id="15">
    <w:p w14:paraId="681AAA8D" w14:textId="101E2D4C" w:rsidR="002726C6" w:rsidRPr="001C1AA6" w:rsidRDefault="002726C6">
      <w:pPr>
        <w:pStyle w:val="FootnoteText"/>
        <w:rPr>
          <w:rFonts w:ascii="Times New Roman" w:hAnsi="Times New Roman" w:cs="Times New Roman"/>
          <w:lang w:val="en-US"/>
        </w:rPr>
      </w:pPr>
      <w:r w:rsidRPr="002726C6">
        <w:rPr>
          <w:rStyle w:val="FootnoteReference"/>
          <w:rFonts w:ascii="Times New Roman" w:hAnsi="Times New Roman" w:cs="Times New Roman"/>
        </w:rPr>
        <w:footnoteRef/>
      </w:r>
      <w:r w:rsidRPr="002726C6">
        <w:rPr>
          <w:rFonts w:ascii="Times New Roman" w:hAnsi="Times New Roman" w:cs="Times New Roman"/>
        </w:rPr>
        <w:t xml:space="preserve"> </w:t>
      </w:r>
      <w:r w:rsidR="001C1AA6">
        <w:rPr>
          <w:rFonts w:ascii="Times New Roman" w:hAnsi="Times New Roman" w:cs="Times New Roman"/>
        </w:rPr>
        <w:t xml:space="preserve">Abhinav Singh, </w:t>
      </w:r>
      <w:r w:rsidR="001C1AA6">
        <w:rPr>
          <w:rFonts w:ascii="Times New Roman" w:hAnsi="Times New Roman" w:cs="Times New Roman"/>
          <w:i/>
        </w:rPr>
        <w:t>What is so contentious about India’s Uniform Civil Code that aims to annul personal laws?</w:t>
      </w:r>
      <w:r w:rsidR="001C1AA6">
        <w:rPr>
          <w:rFonts w:ascii="Times New Roman" w:hAnsi="Times New Roman" w:cs="Times New Roman"/>
        </w:rPr>
        <w:t xml:space="preserve"> WION (Sept. 23, 2023, 11:03 AM), </w:t>
      </w:r>
      <w:r w:rsidR="001C1AA6" w:rsidRPr="001C1AA6">
        <w:rPr>
          <w:rFonts w:ascii="Times New Roman" w:hAnsi="Times New Roman" w:cs="Times New Roman"/>
        </w:rPr>
        <w:t>https://www.wionews.com</w:t>
      </w:r>
      <w:r w:rsidR="001C1AA6">
        <w:rPr>
          <w:rFonts w:ascii="Times New Roman" w:hAnsi="Times New Roman" w:cs="Times New Roman"/>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38B"/>
    <w:rsid w:val="0003060F"/>
    <w:rsid w:val="000426FA"/>
    <w:rsid w:val="00071ED4"/>
    <w:rsid w:val="000950BE"/>
    <w:rsid w:val="000B5C2F"/>
    <w:rsid w:val="000C55A6"/>
    <w:rsid w:val="00100193"/>
    <w:rsid w:val="0015486D"/>
    <w:rsid w:val="001639B2"/>
    <w:rsid w:val="00170A2D"/>
    <w:rsid w:val="0018225E"/>
    <w:rsid w:val="001B53BB"/>
    <w:rsid w:val="001C1AA6"/>
    <w:rsid w:val="001D000F"/>
    <w:rsid w:val="001D21C8"/>
    <w:rsid w:val="0021586C"/>
    <w:rsid w:val="002726C6"/>
    <w:rsid w:val="002A12CA"/>
    <w:rsid w:val="002D3404"/>
    <w:rsid w:val="00321102"/>
    <w:rsid w:val="00321A4E"/>
    <w:rsid w:val="003434C6"/>
    <w:rsid w:val="00356FDE"/>
    <w:rsid w:val="0039399D"/>
    <w:rsid w:val="003A42D8"/>
    <w:rsid w:val="003D46C1"/>
    <w:rsid w:val="003E0340"/>
    <w:rsid w:val="00404E9E"/>
    <w:rsid w:val="00423956"/>
    <w:rsid w:val="00435CE7"/>
    <w:rsid w:val="00473968"/>
    <w:rsid w:val="0048791A"/>
    <w:rsid w:val="00516F5B"/>
    <w:rsid w:val="00524737"/>
    <w:rsid w:val="0052799E"/>
    <w:rsid w:val="0054736F"/>
    <w:rsid w:val="005633CF"/>
    <w:rsid w:val="00567D3E"/>
    <w:rsid w:val="0058592B"/>
    <w:rsid w:val="00586454"/>
    <w:rsid w:val="005967BB"/>
    <w:rsid w:val="005B12A9"/>
    <w:rsid w:val="005B51CE"/>
    <w:rsid w:val="005C5112"/>
    <w:rsid w:val="005E5FC0"/>
    <w:rsid w:val="005F2C83"/>
    <w:rsid w:val="006041AA"/>
    <w:rsid w:val="00631D4F"/>
    <w:rsid w:val="00646DF0"/>
    <w:rsid w:val="00650AC0"/>
    <w:rsid w:val="00675DBD"/>
    <w:rsid w:val="0068653F"/>
    <w:rsid w:val="00691E68"/>
    <w:rsid w:val="007004AD"/>
    <w:rsid w:val="00725A17"/>
    <w:rsid w:val="00740B3E"/>
    <w:rsid w:val="00751911"/>
    <w:rsid w:val="0077637A"/>
    <w:rsid w:val="007906F5"/>
    <w:rsid w:val="007A25BA"/>
    <w:rsid w:val="007A6228"/>
    <w:rsid w:val="007C3986"/>
    <w:rsid w:val="007D6DB7"/>
    <w:rsid w:val="00821399"/>
    <w:rsid w:val="008401BF"/>
    <w:rsid w:val="00856611"/>
    <w:rsid w:val="008672E1"/>
    <w:rsid w:val="00870A2F"/>
    <w:rsid w:val="00893F7E"/>
    <w:rsid w:val="008A4611"/>
    <w:rsid w:val="008A62AB"/>
    <w:rsid w:val="008A6802"/>
    <w:rsid w:val="008B2664"/>
    <w:rsid w:val="008E295A"/>
    <w:rsid w:val="008F289D"/>
    <w:rsid w:val="0091338B"/>
    <w:rsid w:val="009262F9"/>
    <w:rsid w:val="00945B37"/>
    <w:rsid w:val="00950ADD"/>
    <w:rsid w:val="009603AC"/>
    <w:rsid w:val="00964795"/>
    <w:rsid w:val="00964F69"/>
    <w:rsid w:val="009767D1"/>
    <w:rsid w:val="00983467"/>
    <w:rsid w:val="009D04D3"/>
    <w:rsid w:val="009F0404"/>
    <w:rsid w:val="009F0F70"/>
    <w:rsid w:val="00A00AB6"/>
    <w:rsid w:val="00A22A0F"/>
    <w:rsid w:val="00A3193E"/>
    <w:rsid w:val="00A31ACE"/>
    <w:rsid w:val="00A336DD"/>
    <w:rsid w:val="00A46A74"/>
    <w:rsid w:val="00A52BCD"/>
    <w:rsid w:val="00A70D16"/>
    <w:rsid w:val="00A901F7"/>
    <w:rsid w:val="00A9181C"/>
    <w:rsid w:val="00A93A83"/>
    <w:rsid w:val="00AF5058"/>
    <w:rsid w:val="00B00459"/>
    <w:rsid w:val="00B026DF"/>
    <w:rsid w:val="00B03920"/>
    <w:rsid w:val="00B42721"/>
    <w:rsid w:val="00B57FBC"/>
    <w:rsid w:val="00B60F11"/>
    <w:rsid w:val="00B66178"/>
    <w:rsid w:val="00B9403E"/>
    <w:rsid w:val="00BA138B"/>
    <w:rsid w:val="00BB4A71"/>
    <w:rsid w:val="00BC5587"/>
    <w:rsid w:val="00BD6A15"/>
    <w:rsid w:val="00BF5F87"/>
    <w:rsid w:val="00C00BF7"/>
    <w:rsid w:val="00C144AF"/>
    <w:rsid w:val="00C46BFA"/>
    <w:rsid w:val="00C55B62"/>
    <w:rsid w:val="00C6419D"/>
    <w:rsid w:val="00C6653C"/>
    <w:rsid w:val="00C745C6"/>
    <w:rsid w:val="00D114C0"/>
    <w:rsid w:val="00D4193C"/>
    <w:rsid w:val="00D81085"/>
    <w:rsid w:val="00D860D1"/>
    <w:rsid w:val="00DA39A2"/>
    <w:rsid w:val="00E01BFE"/>
    <w:rsid w:val="00E20428"/>
    <w:rsid w:val="00E61D2B"/>
    <w:rsid w:val="00E8666D"/>
    <w:rsid w:val="00EA7155"/>
    <w:rsid w:val="00EA7931"/>
    <w:rsid w:val="00EC3075"/>
    <w:rsid w:val="00ED740B"/>
    <w:rsid w:val="00EF4B18"/>
    <w:rsid w:val="00F14632"/>
    <w:rsid w:val="00F14E9A"/>
    <w:rsid w:val="00F31F00"/>
    <w:rsid w:val="00F37059"/>
    <w:rsid w:val="00F6294A"/>
    <w:rsid w:val="00F875E8"/>
    <w:rsid w:val="00F9109A"/>
    <w:rsid w:val="00FA139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8195B"/>
  <w15:chartTrackingRefBased/>
  <w15:docId w15:val="{A3C2C17D-A134-49A4-8CEA-A9365BEBF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F4B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4B18"/>
    <w:rPr>
      <w:sz w:val="20"/>
      <w:szCs w:val="20"/>
    </w:rPr>
  </w:style>
  <w:style w:type="character" w:styleId="FootnoteReference">
    <w:name w:val="footnote reference"/>
    <w:basedOn w:val="DefaultParagraphFont"/>
    <w:uiPriority w:val="99"/>
    <w:semiHidden/>
    <w:unhideWhenUsed/>
    <w:rsid w:val="00EF4B18"/>
    <w:rPr>
      <w:vertAlign w:val="superscript"/>
    </w:rPr>
  </w:style>
  <w:style w:type="character" w:styleId="Hyperlink">
    <w:name w:val="Hyperlink"/>
    <w:basedOn w:val="DefaultParagraphFont"/>
    <w:uiPriority w:val="99"/>
    <w:unhideWhenUsed/>
    <w:rsid w:val="001C1AA6"/>
    <w:rPr>
      <w:color w:val="0563C1" w:themeColor="hyperlink"/>
      <w:u w:val="single"/>
    </w:rPr>
  </w:style>
  <w:style w:type="character" w:styleId="UnresolvedMention">
    <w:name w:val="Unresolved Mention"/>
    <w:basedOn w:val="DefaultParagraphFont"/>
    <w:uiPriority w:val="99"/>
    <w:semiHidden/>
    <w:unhideWhenUsed/>
    <w:rsid w:val="001C1AA6"/>
    <w:rPr>
      <w:color w:val="605E5C"/>
      <w:shd w:val="clear" w:color="auto" w:fill="E1DFDD"/>
    </w:rPr>
  </w:style>
  <w:style w:type="paragraph" w:styleId="Header">
    <w:name w:val="header"/>
    <w:basedOn w:val="Normal"/>
    <w:link w:val="HeaderChar"/>
    <w:uiPriority w:val="99"/>
    <w:unhideWhenUsed/>
    <w:rsid w:val="00C144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44AF"/>
  </w:style>
  <w:style w:type="paragraph" w:styleId="Footer">
    <w:name w:val="footer"/>
    <w:basedOn w:val="Normal"/>
    <w:link w:val="FooterChar"/>
    <w:uiPriority w:val="99"/>
    <w:unhideWhenUsed/>
    <w:rsid w:val="00C144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44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9E3EC-7461-40F1-87F0-54013D0F1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5474</TotalTime>
  <Pages>6</Pages>
  <Words>1860</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Aditi Khond</dc:creator>
  <cp:keywords/>
  <dc:description/>
  <cp:lastModifiedBy>Aditi Khond</cp:lastModifiedBy>
  <cp:revision>53</cp:revision>
  <dcterms:created xsi:type="dcterms:W3CDTF">2023-09-12T09:11:00Z</dcterms:created>
  <dcterms:modified xsi:type="dcterms:W3CDTF">2023-09-25T15:49:00Z</dcterms:modified>
</cp:coreProperties>
</file>