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BE3CD" w14:textId="77777777" w:rsidR="0017306D" w:rsidRPr="0025779B" w:rsidRDefault="004B0C02" w:rsidP="0025779B">
      <w:pPr>
        <w:spacing w:line="360" w:lineRule="auto"/>
        <w:jc w:val="center"/>
        <w:rPr>
          <w:rFonts w:ascii="Times New Roman" w:hAnsi="Times New Roman" w:cs="Times New Roman"/>
          <w:b/>
          <w:bCs/>
          <w:sz w:val="24"/>
          <w:szCs w:val="24"/>
        </w:rPr>
      </w:pPr>
      <w:r w:rsidRPr="00581B72">
        <w:rPr>
          <w:rFonts w:ascii="Times New Roman" w:hAnsi="Times New Roman" w:cs="Times New Roman"/>
          <w:b/>
          <w:bCs/>
          <w:sz w:val="24"/>
          <w:szCs w:val="24"/>
        </w:rPr>
        <w:t>ONLINE PRIVACY AND DATA PROTECTION REGULATION IN INDIA</w:t>
      </w:r>
    </w:p>
    <w:p w14:paraId="280F07AA"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In today's digital age, safeguarding online privacy and personal data is crucial, especially in India, where digital usage is rapidly expanding. This article explores India's current rules and laws pertaining to online privacy and data protection, highlighting recent regulatory changes, real-world data breaches, and privacy issues, while also providing practical improvement suggestions.</w:t>
      </w:r>
    </w:p>
    <w:p w14:paraId="63A5D694"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Online privacy involves protecting an individual's personal information and online activities. This includes securing data like name, address, financial details, and online </w:t>
      </w:r>
      <w:r w:rsidR="006D151A" w:rsidRPr="00BF6FA2">
        <w:rPr>
          <w:rFonts w:ascii="Times New Roman" w:hAnsi="Times New Roman" w:cs="Times New Roman"/>
          <w:sz w:val="24"/>
          <w:szCs w:val="24"/>
        </w:rPr>
        <w:t>behaviour</w:t>
      </w:r>
      <w:r w:rsidRPr="00BF6FA2">
        <w:rPr>
          <w:rFonts w:ascii="Times New Roman" w:hAnsi="Times New Roman" w:cs="Times New Roman"/>
          <w:sz w:val="24"/>
          <w:szCs w:val="24"/>
        </w:rPr>
        <w:t xml:space="preserve"> from unauthorized access, as well as maintaining control over what information is shared online and safeguarding online communications from surveillance.</w:t>
      </w:r>
    </w:p>
    <w:p w14:paraId="6C25D317"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Data Protection Regulation encompasses the rules and policies governing the collection, processing, storage, and sharing of personal data. These regulations aim to ensure privacy and security in our increasingly digital world. The European Union's General Data Protection Regulation (GDPR) is a well-known benchmark for data protection, with many countries worldwide implementing similar measures to protect citizens' rights in the digital age.</w:t>
      </w:r>
    </w:p>
    <w:p w14:paraId="022005B5"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"Online Privacy and Data Protection Regulation in India" is a critical and evolving topic addressing the protection of personal information in India's growing digital landscape. It explores legal frameworks, recent developments, challenges, and solutions related to online privacy and data protection, emphasizing the intersection of technology and individual rights. With our digital footprint continually expanding, it's imperative to protect online privacy and data in today's world.</w:t>
      </w:r>
    </w:p>
    <w:p w14:paraId="2187970B"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Data protection laws are essential as they establish rules for the fair and proper handling of private information. They govern the collection, usage, sharing, and security of personal data while providing individuals with rights to access and rectify their data and remedies for misuse. These laws are crucial because data breaches can harm individuals financially, endanger their safety, and damage their personal reputation.</w:t>
      </w:r>
    </w:p>
    <w:p w14:paraId="69BA53DE" w14:textId="77777777" w:rsidR="0017306D" w:rsidRPr="00BF6FA2" w:rsidRDefault="0017306D" w:rsidP="00BF6FA2">
      <w:pPr>
        <w:spacing w:line="360" w:lineRule="auto"/>
        <w:jc w:val="both"/>
        <w:rPr>
          <w:rFonts w:ascii="Times New Roman" w:hAnsi="Times New Roman" w:cs="Times New Roman"/>
          <w:b/>
          <w:bCs/>
          <w:sz w:val="24"/>
          <w:szCs w:val="24"/>
        </w:rPr>
      </w:pPr>
      <w:r w:rsidRPr="00BF6FA2">
        <w:rPr>
          <w:rFonts w:ascii="Times New Roman" w:hAnsi="Times New Roman" w:cs="Times New Roman"/>
          <w:b/>
          <w:bCs/>
          <w:sz w:val="24"/>
          <w:szCs w:val="24"/>
        </w:rPr>
        <w:t>Overview of Existing Laws</w:t>
      </w:r>
    </w:p>
    <w:p w14:paraId="2C305872"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Data protection is like a shield that keeps your private information safe from being lost, changed, or misused. In India, the Supreme Court declared that the right to privacy is a </w:t>
      </w:r>
      <w:r w:rsidRPr="00BF6FA2">
        <w:rPr>
          <w:rFonts w:ascii="Times New Roman" w:hAnsi="Times New Roman" w:cs="Times New Roman"/>
          <w:sz w:val="24"/>
          <w:szCs w:val="24"/>
        </w:rPr>
        <w:lastRenderedPageBreak/>
        <w:t xml:space="preserve">fundamental right under the Constitution in a case called Justice </w:t>
      </w:r>
      <w:r w:rsidR="006D151A" w:rsidRPr="00BF6FA2">
        <w:rPr>
          <w:rStyle w:val="FootnoteReference"/>
          <w:rFonts w:ascii="Times New Roman" w:hAnsi="Times New Roman" w:cs="Times New Roman"/>
          <w:sz w:val="24"/>
          <w:szCs w:val="24"/>
        </w:rPr>
        <w:footnoteReference w:id="1"/>
      </w:r>
      <w:r w:rsidRPr="00BF6FA2">
        <w:rPr>
          <w:rFonts w:ascii="Times New Roman" w:hAnsi="Times New Roman" w:cs="Times New Roman"/>
          <w:sz w:val="24"/>
          <w:szCs w:val="24"/>
        </w:rPr>
        <w:t xml:space="preserve">K.S. </w:t>
      </w:r>
      <w:proofErr w:type="spellStart"/>
      <w:r w:rsidRPr="00BF6FA2">
        <w:rPr>
          <w:rFonts w:ascii="Times New Roman" w:hAnsi="Times New Roman" w:cs="Times New Roman"/>
          <w:sz w:val="24"/>
          <w:szCs w:val="24"/>
        </w:rPr>
        <w:t>Puttaswamy</w:t>
      </w:r>
      <w:proofErr w:type="spellEnd"/>
      <w:r w:rsidRPr="00BF6FA2">
        <w:rPr>
          <w:rFonts w:ascii="Times New Roman" w:hAnsi="Times New Roman" w:cs="Times New Roman"/>
          <w:sz w:val="24"/>
          <w:szCs w:val="24"/>
        </w:rPr>
        <w:t xml:space="preserve"> v. Union of India in 2017. This means that your personal information is protected as part of your right to life and personal freedom. One part of this right is called "informational privacy," which means your data should be kept private. </w:t>
      </w:r>
    </w:p>
    <w:p w14:paraId="55BDDD5D"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The court also said that information about a person and the right to see that information should also be protected. There are some suggested laws for data protection, and the Bureau of Indian Standards is working on rules to protect data privacy. </w:t>
      </w:r>
    </w:p>
    <w:p w14:paraId="6FE20B5B"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The government can interfere with data under specific circumstances outlined in the </w:t>
      </w:r>
      <w:r w:rsidR="006D151A" w:rsidRPr="00BF6FA2">
        <w:rPr>
          <w:rStyle w:val="FootnoteReference"/>
          <w:rFonts w:ascii="Times New Roman" w:hAnsi="Times New Roman" w:cs="Times New Roman"/>
          <w:sz w:val="24"/>
          <w:szCs w:val="24"/>
        </w:rPr>
        <w:footnoteReference w:id="2"/>
      </w:r>
      <w:r w:rsidRPr="00BF6FA2">
        <w:rPr>
          <w:rFonts w:ascii="Times New Roman" w:hAnsi="Times New Roman" w:cs="Times New Roman"/>
          <w:sz w:val="24"/>
          <w:szCs w:val="24"/>
        </w:rPr>
        <w:t xml:space="preserve">Information Technology Act of 2000 in India. Section 69 of this law allows the government to request the disclosure of information if it is in the public interest and involves illegal activities that threaten India's national security, sovereignty, </w:t>
      </w:r>
      <w:proofErr w:type="spellStart"/>
      <w:r w:rsidRPr="00BF6FA2">
        <w:rPr>
          <w:rFonts w:ascii="Times New Roman" w:hAnsi="Times New Roman" w:cs="Times New Roman"/>
          <w:sz w:val="24"/>
          <w:szCs w:val="24"/>
        </w:rPr>
        <w:t>defense</w:t>
      </w:r>
      <w:proofErr w:type="spellEnd"/>
      <w:r w:rsidRPr="00BF6FA2">
        <w:rPr>
          <w:rFonts w:ascii="Times New Roman" w:hAnsi="Times New Roman" w:cs="Times New Roman"/>
          <w:sz w:val="24"/>
          <w:szCs w:val="24"/>
        </w:rPr>
        <w:t>, relationships with other countries, or public order, often in cases of law violations or fraud.</w:t>
      </w:r>
    </w:p>
    <w:p w14:paraId="4DDA8257"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Section 69A</w:t>
      </w:r>
      <w:r w:rsidRPr="00BF6FA2">
        <w:rPr>
          <w:rFonts w:ascii="Times New Roman" w:hAnsi="Times New Roman" w:cs="Times New Roman"/>
          <w:sz w:val="24"/>
          <w:szCs w:val="24"/>
        </w:rPr>
        <w:t xml:space="preserve"> empowers the central government to request certain online platforms, such as search engines, online marketplaces, and internet service providers, to restrict access to specific information for the same reasons mentioned in Section 69.</w:t>
      </w:r>
    </w:p>
    <w:p w14:paraId="52C72D2E"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Section 69B</w:t>
      </w:r>
      <w:r w:rsidRPr="00BF6FA2">
        <w:rPr>
          <w:rFonts w:ascii="Times New Roman" w:hAnsi="Times New Roman" w:cs="Times New Roman"/>
          <w:sz w:val="24"/>
          <w:szCs w:val="24"/>
        </w:rPr>
        <w:t xml:space="preserve"> grants the central government the authority to authorize specific government agencies to monitor and collect data for the purpose of enhancing cybersecurity and preventing cyberattacks. This enables them to oversee data generated, transmitted, or received on computer networks.</w:t>
      </w:r>
    </w:p>
    <w:p w14:paraId="3E1D14EE" w14:textId="77777777" w:rsidR="0017306D" w:rsidRPr="00BF6FA2" w:rsidRDefault="0017306D" w:rsidP="00BF6FA2">
      <w:pPr>
        <w:spacing w:line="360" w:lineRule="auto"/>
        <w:jc w:val="both"/>
        <w:rPr>
          <w:rFonts w:ascii="Times New Roman" w:hAnsi="Times New Roman" w:cs="Times New Roman"/>
          <w:b/>
          <w:bCs/>
          <w:sz w:val="24"/>
          <w:szCs w:val="24"/>
        </w:rPr>
      </w:pPr>
      <w:r w:rsidRPr="00BF6FA2">
        <w:rPr>
          <w:rFonts w:ascii="Times New Roman" w:hAnsi="Times New Roman" w:cs="Times New Roman"/>
          <w:b/>
          <w:bCs/>
          <w:sz w:val="24"/>
          <w:szCs w:val="24"/>
        </w:rPr>
        <w:t>Recent Amendments and Developments</w:t>
      </w:r>
    </w:p>
    <w:p w14:paraId="7CB8B26B" w14:textId="77777777" w:rsidR="0017306D" w:rsidRPr="00BF6FA2" w:rsidRDefault="006D151A" w:rsidP="00BF6FA2">
      <w:pPr>
        <w:spacing w:line="360" w:lineRule="auto"/>
        <w:jc w:val="both"/>
        <w:rPr>
          <w:rFonts w:ascii="Times New Roman" w:hAnsi="Times New Roman" w:cs="Times New Roman"/>
          <w:b/>
          <w:bCs/>
          <w:sz w:val="24"/>
          <w:szCs w:val="24"/>
        </w:rPr>
      </w:pPr>
      <w:r w:rsidRPr="00BF6FA2">
        <w:rPr>
          <w:rStyle w:val="FootnoteReference"/>
          <w:rFonts w:ascii="Times New Roman" w:hAnsi="Times New Roman" w:cs="Times New Roman"/>
          <w:b/>
          <w:bCs/>
          <w:sz w:val="24"/>
          <w:szCs w:val="24"/>
        </w:rPr>
        <w:footnoteReference w:id="3"/>
      </w:r>
      <w:r w:rsidR="0017306D" w:rsidRPr="00BF6FA2">
        <w:rPr>
          <w:rFonts w:ascii="Times New Roman" w:hAnsi="Times New Roman" w:cs="Times New Roman"/>
          <w:b/>
          <w:bCs/>
          <w:sz w:val="24"/>
          <w:szCs w:val="24"/>
        </w:rPr>
        <w:t>Amendments to the IT Act in 2008:</w:t>
      </w:r>
      <w:r w:rsidR="0017306D" w:rsidRPr="00BF6FA2">
        <w:rPr>
          <w:rFonts w:ascii="Times New Roman" w:hAnsi="Times New Roman" w:cs="Times New Roman"/>
          <w:sz w:val="24"/>
          <w:szCs w:val="24"/>
        </w:rPr>
        <w:t xml:space="preserve"> In 2008, amendments were made to the Information Technology Act to address the evolving digital landscape. These changes expanded the scope of the law to cover electronic media, defined key terms more precisely, and introduced a broad definition of "cybersecurity" to protect data and devices from unauthorized access or use. Notable updates included:</w:t>
      </w:r>
    </w:p>
    <w:p w14:paraId="54A1A968" w14:textId="77777777" w:rsidR="0017306D" w:rsidRPr="00BF6FA2" w:rsidRDefault="0017306D" w:rsidP="00BF6FA2">
      <w:pPr>
        <w:numPr>
          <w:ilvl w:val="0"/>
          <w:numId w:val="1"/>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Section 66A:</w:t>
      </w:r>
      <w:r w:rsidRPr="00BF6FA2">
        <w:rPr>
          <w:rFonts w:ascii="Times New Roman" w:hAnsi="Times New Roman" w:cs="Times New Roman"/>
          <w:sz w:val="24"/>
          <w:szCs w:val="24"/>
        </w:rPr>
        <w:t xml:space="preserve"> Prohibiting sending offensive or misleading messages online with intent to harm or harass others.</w:t>
      </w:r>
    </w:p>
    <w:p w14:paraId="58ECE268" w14:textId="77777777" w:rsidR="0017306D" w:rsidRPr="00BF6FA2" w:rsidRDefault="0017306D" w:rsidP="00BF6FA2">
      <w:pPr>
        <w:numPr>
          <w:ilvl w:val="0"/>
          <w:numId w:val="1"/>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lastRenderedPageBreak/>
        <w:t>Sections 67 and 67A:</w:t>
      </w:r>
      <w:r w:rsidRPr="00BF6FA2">
        <w:rPr>
          <w:rFonts w:ascii="Times New Roman" w:hAnsi="Times New Roman" w:cs="Times New Roman"/>
          <w:sz w:val="24"/>
          <w:szCs w:val="24"/>
        </w:rPr>
        <w:t xml:space="preserve"> Preventing the sharing of obscene and sexually explicit content both online and offline.</w:t>
      </w:r>
    </w:p>
    <w:p w14:paraId="12B691A4" w14:textId="77777777" w:rsidR="0017306D" w:rsidRPr="00BF6FA2" w:rsidRDefault="0017306D" w:rsidP="00BF6FA2">
      <w:pPr>
        <w:numPr>
          <w:ilvl w:val="0"/>
          <w:numId w:val="1"/>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Section 69A:</w:t>
      </w:r>
      <w:r w:rsidRPr="00BF6FA2">
        <w:rPr>
          <w:rFonts w:ascii="Times New Roman" w:hAnsi="Times New Roman" w:cs="Times New Roman"/>
          <w:sz w:val="24"/>
          <w:szCs w:val="24"/>
        </w:rPr>
        <w:t xml:space="preserve"> Allowing the government to restrict online content threatening national security, public order, or international relations.</w:t>
      </w:r>
    </w:p>
    <w:p w14:paraId="00FDFC9A" w14:textId="77777777" w:rsidR="0017306D" w:rsidRPr="00BF6FA2" w:rsidRDefault="0017306D" w:rsidP="00BF6FA2">
      <w:pPr>
        <w:numPr>
          <w:ilvl w:val="0"/>
          <w:numId w:val="1"/>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Sections 77A and 77B:</w:t>
      </w:r>
      <w:r w:rsidRPr="00BF6FA2">
        <w:rPr>
          <w:rFonts w:ascii="Times New Roman" w:hAnsi="Times New Roman" w:cs="Times New Roman"/>
          <w:sz w:val="24"/>
          <w:szCs w:val="24"/>
        </w:rPr>
        <w:t xml:space="preserve"> Combining multiple offenses into a single charge and rendering certain offenses non-bailable.</w:t>
      </w:r>
    </w:p>
    <w:p w14:paraId="2AD04004" w14:textId="77777777" w:rsidR="0017306D" w:rsidRPr="00BF6FA2" w:rsidRDefault="0017306D" w:rsidP="00BF6FA2">
      <w:pPr>
        <w:numPr>
          <w:ilvl w:val="0"/>
          <w:numId w:val="1"/>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Section 79:</w:t>
      </w:r>
      <w:r w:rsidRPr="00BF6FA2">
        <w:rPr>
          <w:rFonts w:ascii="Times New Roman" w:hAnsi="Times New Roman" w:cs="Times New Roman"/>
          <w:sz w:val="24"/>
          <w:szCs w:val="24"/>
        </w:rPr>
        <w:t xml:space="preserve"> Regulating intermediaries like social media platforms, making them responsible for certain content posted by users.</w:t>
      </w:r>
    </w:p>
    <w:p w14:paraId="1234A968"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These amendments were necessary to address the increasing use of the internet and the emergence of new types of online crimes in India.</w:t>
      </w:r>
    </w:p>
    <w:p w14:paraId="0953B27E" w14:textId="32540105"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 Recognizing the right to privacy and data protection as fundamental, a committee led by Justice Srikrishna drafted the Personal Data Protection Bill in 2018. However, this initial bill faced issues regarding data storage, government access, and oversight authority. Subsequently, a revised Data Protection Bill was proposed in 2021, covering both personal and non-personal data, addressing data flow across borders, data processing responsibilities, and protection of individual rights. The latest development in this area is the Digital Personal Data Protection Bill of 2022, which impacts Indian startups and is expected to be presented to parliament for approval in 2023.</w:t>
      </w:r>
      <w:r w:rsidR="00585312">
        <w:rPr>
          <w:rFonts w:ascii="Times New Roman" w:hAnsi="Times New Roman" w:cs="Times New Roman"/>
          <w:sz w:val="24"/>
          <w:szCs w:val="24"/>
        </w:rPr>
        <w:t xml:space="preserve"> </w:t>
      </w:r>
      <w:r w:rsidR="00BC5A29" w:rsidRPr="00BF6FA2">
        <w:rPr>
          <w:rFonts w:ascii="Times New Roman" w:hAnsi="Times New Roman" w:cs="Times New Roman"/>
          <w:sz w:val="24"/>
          <w:szCs w:val="24"/>
        </w:rPr>
        <w:t xml:space="preserve">And </w:t>
      </w:r>
      <w:r w:rsidR="00585312">
        <w:rPr>
          <w:rFonts w:ascii="Times New Roman" w:hAnsi="Times New Roman" w:cs="Times New Roman"/>
          <w:sz w:val="24"/>
          <w:szCs w:val="24"/>
        </w:rPr>
        <w:t>it was</w:t>
      </w:r>
      <w:r w:rsidR="00BC5A29" w:rsidRPr="00BF6FA2">
        <w:rPr>
          <w:rFonts w:ascii="Times New Roman" w:hAnsi="Times New Roman" w:cs="Times New Roman"/>
          <w:sz w:val="24"/>
          <w:szCs w:val="24"/>
        </w:rPr>
        <w:t xml:space="preserve"> successfully passed on 7 August 2023. </w:t>
      </w:r>
    </w:p>
    <w:p w14:paraId="6AF35457" w14:textId="77777777" w:rsidR="00380F05" w:rsidRPr="00BF6FA2" w:rsidRDefault="00380F05" w:rsidP="00BF6FA2">
      <w:pPr>
        <w:spacing w:line="360" w:lineRule="auto"/>
        <w:jc w:val="both"/>
        <w:rPr>
          <w:rFonts w:ascii="Times New Roman" w:hAnsi="Times New Roman" w:cs="Times New Roman"/>
          <w:b/>
          <w:bCs/>
          <w:sz w:val="24"/>
          <w:szCs w:val="24"/>
        </w:rPr>
      </w:pPr>
      <w:r w:rsidRPr="00BF6FA2">
        <w:rPr>
          <w:rFonts w:ascii="Times New Roman" w:hAnsi="Times New Roman" w:cs="Times New Roman"/>
          <w:b/>
          <w:bCs/>
          <w:sz w:val="24"/>
          <w:szCs w:val="24"/>
        </w:rPr>
        <w:t>Comparative Analysis between the DPDP Bill and GDPR</w:t>
      </w:r>
    </w:p>
    <w:p w14:paraId="13F77785"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 </w:t>
      </w:r>
      <w:r w:rsidR="006D151A" w:rsidRPr="00BF6FA2">
        <w:rPr>
          <w:rStyle w:val="FootnoteReference"/>
          <w:rFonts w:ascii="Times New Roman" w:hAnsi="Times New Roman" w:cs="Times New Roman"/>
          <w:sz w:val="24"/>
          <w:szCs w:val="24"/>
        </w:rPr>
        <w:footnoteReference w:id="4"/>
      </w:r>
      <w:r w:rsidRPr="00BF6FA2">
        <w:rPr>
          <w:rFonts w:ascii="Times New Roman" w:hAnsi="Times New Roman" w:cs="Times New Roman"/>
          <w:sz w:val="24"/>
          <w:szCs w:val="24"/>
        </w:rPr>
        <w:t xml:space="preserve">The Digital Personal Data Protection Bill, 2023 (DPDP Bill) and the </w:t>
      </w:r>
      <w:r w:rsidR="006D151A" w:rsidRPr="00BF6FA2">
        <w:rPr>
          <w:rStyle w:val="FootnoteReference"/>
          <w:rFonts w:ascii="Times New Roman" w:hAnsi="Times New Roman" w:cs="Times New Roman"/>
          <w:sz w:val="24"/>
          <w:szCs w:val="24"/>
        </w:rPr>
        <w:footnoteReference w:id="5"/>
      </w:r>
      <w:r w:rsidRPr="00BF6FA2">
        <w:rPr>
          <w:rFonts w:ascii="Times New Roman" w:hAnsi="Times New Roman" w:cs="Times New Roman"/>
          <w:sz w:val="24"/>
          <w:szCs w:val="24"/>
        </w:rPr>
        <w:t xml:space="preserve">General Data Protection Regulation (GDPR) are both significant pieces of legislation aimed at protecting personal data and privacy. However, there are notable differences between the two in terms of scope, key provisions, and their applicability. Here is a </w:t>
      </w:r>
      <w:bookmarkStart w:id="0" w:name="_Hlk146448839"/>
      <w:r w:rsidRPr="00BF6FA2">
        <w:rPr>
          <w:rFonts w:ascii="Times New Roman" w:hAnsi="Times New Roman" w:cs="Times New Roman"/>
          <w:sz w:val="24"/>
          <w:szCs w:val="24"/>
        </w:rPr>
        <w:t>comparison between the DPDP Bill and GDPR</w:t>
      </w:r>
      <w:bookmarkEnd w:id="0"/>
      <w:r w:rsidRPr="00BF6FA2">
        <w:rPr>
          <w:rFonts w:ascii="Times New Roman" w:hAnsi="Times New Roman" w:cs="Times New Roman"/>
          <w:sz w:val="24"/>
          <w:szCs w:val="24"/>
        </w:rPr>
        <w:t>:</w:t>
      </w:r>
    </w:p>
    <w:p w14:paraId="17B0E663" w14:textId="77777777" w:rsidR="0017306D" w:rsidRPr="00BF6FA2" w:rsidRDefault="0017306D" w:rsidP="00BF6FA2">
      <w:pPr>
        <w:numPr>
          <w:ilvl w:val="0"/>
          <w:numId w:val="2"/>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Scope and Applicability</w:t>
      </w:r>
      <w:r w:rsidRPr="00BF6FA2">
        <w:rPr>
          <w:rFonts w:ascii="Times New Roman" w:hAnsi="Times New Roman" w:cs="Times New Roman"/>
          <w:sz w:val="24"/>
          <w:szCs w:val="24"/>
        </w:rPr>
        <w:t>:</w:t>
      </w:r>
    </w:p>
    <w:p w14:paraId="788318DC"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GDPR</w:t>
      </w:r>
      <w:r w:rsidRPr="00BF6FA2">
        <w:rPr>
          <w:rFonts w:ascii="Times New Roman" w:hAnsi="Times New Roman" w:cs="Times New Roman"/>
          <w:sz w:val="24"/>
          <w:szCs w:val="24"/>
        </w:rPr>
        <w:t xml:space="preserve">: GDPR applies globally to organizations collecting or processing data related to individuals in the European Union (EU) and organizations outside the EU that offer goods or services to EU residents or monitor their </w:t>
      </w:r>
      <w:proofErr w:type="spellStart"/>
      <w:r w:rsidRPr="00BF6FA2">
        <w:rPr>
          <w:rFonts w:ascii="Times New Roman" w:hAnsi="Times New Roman" w:cs="Times New Roman"/>
          <w:sz w:val="24"/>
          <w:szCs w:val="24"/>
        </w:rPr>
        <w:t>behavior</w:t>
      </w:r>
      <w:proofErr w:type="spellEnd"/>
      <w:r w:rsidRPr="00BF6FA2">
        <w:rPr>
          <w:rFonts w:ascii="Times New Roman" w:hAnsi="Times New Roman" w:cs="Times New Roman"/>
          <w:sz w:val="24"/>
          <w:szCs w:val="24"/>
        </w:rPr>
        <w:t>.</w:t>
      </w:r>
    </w:p>
    <w:p w14:paraId="585DB944"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lastRenderedPageBreak/>
        <w:t>DPDP Bill</w:t>
      </w:r>
      <w:r w:rsidRPr="00BF6FA2">
        <w:rPr>
          <w:rFonts w:ascii="Times New Roman" w:hAnsi="Times New Roman" w:cs="Times New Roman"/>
          <w:sz w:val="24"/>
          <w:szCs w:val="24"/>
        </w:rPr>
        <w:t>: The DPDP Bill primarily applies to the processing of digital personal data within India, whether collected online or digitized offline. It also applies to data processing outside India if it is related to offering goods or services in India.</w:t>
      </w:r>
    </w:p>
    <w:p w14:paraId="1E993D99" w14:textId="77777777" w:rsidR="0017306D" w:rsidRPr="00BF6FA2" w:rsidRDefault="0017306D" w:rsidP="00BF6FA2">
      <w:pPr>
        <w:numPr>
          <w:ilvl w:val="0"/>
          <w:numId w:val="2"/>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Consent</w:t>
      </w:r>
      <w:r w:rsidRPr="00BF6FA2">
        <w:rPr>
          <w:rFonts w:ascii="Times New Roman" w:hAnsi="Times New Roman" w:cs="Times New Roman"/>
          <w:sz w:val="24"/>
          <w:szCs w:val="24"/>
        </w:rPr>
        <w:t>:</w:t>
      </w:r>
    </w:p>
    <w:p w14:paraId="77DCCC87"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GDPR</w:t>
      </w:r>
      <w:r w:rsidRPr="00BF6FA2">
        <w:rPr>
          <w:rFonts w:ascii="Times New Roman" w:hAnsi="Times New Roman" w:cs="Times New Roman"/>
          <w:sz w:val="24"/>
          <w:szCs w:val="24"/>
        </w:rPr>
        <w:t>: GDPR emphasizes the need for explicit and informed consent for processing personal data. Consent must be freely given, specific, informed, and unambiguous. Individuals have the right to withdraw consent at any time.</w:t>
      </w:r>
    </w:p>
    <w:p w14:paraId="6C9F4EDA"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DPDP Bill</w:t>
      </w:r>
      <w:r w:rsidRPr="00BF6FA2">
        <w:rPr>
          <w:rFonts w:ascii="Times New Roman" w:hAnsi="Times New Roman" w:cs="Times New Roman"/>
          <w:sz w:val="24"/>
          <w:szCs w:val="24"/>
        </w:rPr>
        <w:t>: The DPDP Bill also requires informed consent for data processing, but it allows for some legitimate uses that do not require consent, including voluntary data sharing and government services.</w:t>
      </w:r>
    </w:p>
    <w:p w14:paraId="36A0EC1E" w14:textId="77777777" w:rsidR="0017306D" w:rsidRPr="00BF6FA2" w:rsidRDefault="0017306D" w:rsidP="00BF6FA2">
      <w:pPr>
        <w:numPr>
          <w:ilvl w:val="0"/>
          <w:numId w:val="2"/>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Rights of Data Subjects</w:t>
      </w:r>
      <w:r w:rsidRPr="00BF6FA2">
        <w:rPr>
          <w:rFonts w:ascii="Times New Roman" w:hAnsi="Times New Roman" w:cs="Times New Roman"/>
          <w:sz w:val="24"/>
          <w:szCs w:val="24"/>
        </w:rPr>
        <w:t>:</w:t>
      </w:r>
    </w:p>
    <w:p w14:paraId="568F1C87"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GDPR</w:t>
      </w:r>
      <w:r w:rsidRPr="00BF6FA2">
        <w:rPr>
          <w:rFonts w:ascii="Times New Roman" w:hAnsi="Times New Roman" w:cs="Times New Roman"/>
          <w:sz w:val="24"/>
          <w:szCs w:val="24"/>
        </w:rPr>
        <w:t>: GDPR grants data subjects various rights, including the right to access, rectify, erase, restrict processing, data portability, object to processing, and protection from automated decision-making and profiling.</w:t>
      </w:r>
    </w:p>
    <w:p w14:paraId="4B465AE2"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DPDP Bill</w:t>
      </w:r>
      <w:r w:rsidRPr="00BF6FA2">
        <w:rPr>
          <w:rFonts w:ascii="Times New Roman" w:hAnsi="Times New Roman" w:cs="Times New Roman"/>
          <w:sz w:val="24"/>
          <w:szCs w:val="24"/>
        </w:rPr>
        <w:t>: The DPDP Bill grants individuals rights such as obtaining information about data processing, seeking data correction and erasure, nominating a representative, and having a mechanism for grievance redressal.</w:t>
      </w:r>
    </w:p>
    <w:p w14:paraId="651962E5" w14:textId="77777777" w:rsidR="0017306D" w:rsidRPr="00BF6FA2" w:rsidRDefault="0017306D" w:rsidP="00BF6FA2">
      <w:pPr>
        <w:numPr>
          <w:ilvl w:val="0"/>
          <w:numId w:val="2"/>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Data Protection Authority</w:t>
      </w:r>
      <w:r w:rsidRPr="00BF6FA2">
        <w:rPr>
          <w:rFonts w:ascii="Times New Roman" w:hAnsi="Times New Roman" w:cs="Times New Roman"/>
          <w:sz w:val="24"/>
          <w:szCs w:val="24"/>
        </w:rPr>
        <w:t>:</w:t>
      </w:r>
    </w:p>
    <w:p w14:paraId="19F3E062"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GDPR</w:t>
      </w:r>
      <w:r w:rsidRPr="00BF6FA2">
        <w:rPr>
          <w:rFonts w:ascii="Times New Roman" w:hAnsi="Times New Roman" w:cs="Times New Roman"/>
          <w:sz w:val="24"/>
          <w:szCs w:val="24"/>
        </w:rPr>
        <w:t>: GDPR establishes data protection authorities in each EU member state, with the European Data Protection Board (EDPB) coordinating across the EU.</w:t>
      </w:r>
    </w:p>
    <w:p w14:paraId="3BF3C660"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DPDP Bill</w:t>
      </w:r>
      <w:r w:rsidRPr="00BF6FA2">
        <w:rPr>
          <w:rFonts w:ascii="Times New Roman" w:hAnsi="Times New Roman" w:cs="Times New Roman"/>
          <w:sz w:val="24"/>
          <w:szCs w:val="24"/>
        </w:rPr>
        <w:t>: The DPDP Bill establishes the Data Protection Board of India (DPB), responsible for monitoring compliance, imposing penalties, addressing data breaches, and handling grievances.</w:t>
      </w:r>
    </w:p>
    <w:p w14:paraId="120E2240" w14:textId="77777777" w:rsidR="0017306D" w:rsidRPr="00BF6FA2" w:rsidRDefault="0017306D" w:rsidP="00BF6FA2">
      <w:pPr>
        <w:numPr>
          <w:ilvl w:val="0"/>
          <w:numId w:val="2"/>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Transfer of Data Outside Jurisdiction</w:t>
      </w:r>
      <w:r w:rsidRPr="00BF6FA2">
        <w:rPr>
          <w:rFonts w:ascii="Times New Roman" w:hAnsi="Times New Roman" w:cs="Times New Roman"/>
          <w:sz w:val="24"/>
          <w:szCs w:val="24"/>
        </w:rPr>
        <w:t>:</w:t>
      </w:r>
    </w:p>
    <w:p w14:paraId="4344AEC4"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GDPR</w:t>
      </w:r>
      <w:r w:rsidRPr="00BF6FA2">
        <w:rPr>
          <w:rFonts w:ascii="Times New Roman" w:hAnsi="Times New Roman" w:cs="Times New Roman"/>
          <w:sz w:val="24"/>
          <w:szCs w:val="24"/>
        </w:rPr>
        <w:t>: GDPR imposes restrictions on transferring personal data outside the EU, requiring adequate safeguards or specific legal mechanisms to ensure data protection.</w:t>
      </w:r>
    </w:p>
    <w:p w14:paraId="3CF173EA"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DPDP Bill</w:t>
      </w:r>
      <w:r w:rsidRPr="00BF6FA2">
        <w:rPr>
          <w:rFonts w:ascii="Times New Roman" w:hAnsi="Times New Roman" w:cs="Times New Roman"/>
          <w:sz w:val="24"/>
          <w:szCs w:val="24"/>
        </w:rPr>
        <w:t>: The DPDP Bill allows the transfer of personal data outside India unless restricted by the central government through notification.</w:t>
      </w:r>
    </w:p>
    <w:p w14:paraId="15F8A244" w14:textId="77777777" w:rsidR="0017306D" w:rsidRPr="00BF6FA2" w:rsidRDefault="0017306D" w:rsidP="00BF6FA2">
      <w:pPr>
        <w:numPr>
          <w:ilvl w:val="0"/>
          <w:numId w:val="2"/>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lastRenderedPageBreak/>
        <w:t>Exemptions</w:t>
      </w:r>
      <w:r w:rsidRPr="00BF6FA2">
        <w:rPr>
          <w:rFonts w:ascii="Times New Roman" w:hAnsi="Times New Roman" w:cs="Times New Roman"/>
          <w:sz w:val="24"/>
          <w:szCs w:val="24"/>
        </w:rPr>
        <w:t>:</w:t>
      </w:r>
    </w:p>
    <w:p w14:paraId="7E75BE66"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GDPR</w:t>
      </w:r>
      <w:r w:rsidRPr="00BF6FA2">
        <w:rPr>
          <w:rFonts w:ascii="Times New Roman" w:hAnsi="Times New Roman" w:cs="Times New Roman"/>
          <w:sz w:val="24"/>
          <w:szCs w:val="24"/>
        </w:rPr>
        <w:t>: GDPR has limited exemptions and primarily focuses on protecting the fundamental rights and freedoms of individuals. It does provide some flexibility for certain legal obligations and public interests.</w:t>
      </w:r>
    </w:p>
    <w:p w14:paraId="06165C00"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DPDP Bill</w:t>
      </w:r>
      <w:r w:rsidRPr="00BF6FA2">
        <w:rPr>
          <w:rFonts w:ascii="Times New Roman" w:hAnsi="Times New Roman" w:cs="Times New Roman"/>
          <w:sz w:val="24"/>
          <w:szCs w:val="24"/>
        </w:rPr>
        <w:t>: The DPDP Bill includes exemptions for specific cases, such as the prevention of offences and research purposes. It also allows the government to exempt certain activities, including processing for national security and public order.</w:t>
      </w:r>
    </w:p>
    <w:p w14:paraId="22D412BD" w14:textId="77777777" w:rsidR="0017306D" w:rsidRPr="00BF6FA2" w:rsidRDefault="0017306D" w:rsidP="00BF6FA2">
      <w:pPr>
        <w:numPr>
          <w:ilvl w:val="0"/>
          <w:numId w:val="2"/>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Penalties</w:t>
      </w:r>
      <w:r w:rsidRPr="00BF6FA2">
        <w:rPr>
          <w:rFonts w:ascii="Times New Roman" w:hAnsi="Times New Roman" w:cs="Times New Roman"/>
          <w:sz w:val="24"/>
          <w:szCs w:val="24"/>
        </w:rPr>
        <w:t>:</w:t>
      </w:r>
    </w:p>
    <w:p w14:paraId="3CDFB2FA"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GDPR</w:t>
      </w:r>
      <w:r w:rsidRPr="00BF6FA2">
        <w:rPr>
          <w:rFonts w:ascii="Times New Roman" w:hAnsi="Times New Roman" w:cs="Times New Roman"/>
          <w:sz w:val="24"/>
          <w:szCs w:val="24"/>
        </w:rPr>
        <w:t>: GDPR includes significant fines for non-compliance, with maximum fines of up to €20 million or 4% of the global annual revenue of the offending organization, whichever is higher.</w:t>
      </w:r>
    </w:p>
    <w:p w14:paraId="6CE2043F" w14:textId="77777777" w:rsidR="0017306D" w:rsidRPr="00BF6FA2" w:rsidRDefault="0017306D" w:rsidP="00BF6FA2">
      <w:pPr>
        <w:numPr>
          <w:ilvl w:val="1"/>
          <w:numId w:val="2"/>
        </w:numPr>
        <w:tabs>
          <w:tab w:val="num" w:pos="1440"/>
        </w:tabs>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DPDP Bill</w:t>
      </w:r>
      <w:r w:rsidRPr="00BF6FA2">
        <w:rPr>
          <w:rFonts w:ascii="Times New Roman" w:hAnsi="Times New Roman" w:cs="Times New Roman"/>
          <w:sz w:val="24"/>
          <w:szCs w:val="24"/>
        </w:rPr>
        <w:t>: The DPDP Bill outlines significant fines for various offenses, with substantial penalties, such as up to Rs 200 crore for failing to protect children's data and up to Rs 250 crore for not implementing security measures to prevent data breaches.</w:t>
      </w:r>
    </w:p>
    <w:p w14:paraId="35C9E683"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   While both the DPDP Bill and GDPR share the goal of protecting personal data and privacy, they have some key differences in terms of scope, consent requirements, exemptions, and penalties. The DPDP Bill is tailored to the Indian context and includes provisions specific to the country's needs and challenges. GDPR, on the other hand, is a more comprehensive regulation with a broader global impact.</w:t>
      </w:r>
    </w:p>
    <w:p w14:paraId="1D9D12B9" w14:textId="77777777" w:rsidR="0017306D" w:rsidRPr="00BF6FA2" w:rsidRDefault="0017306D" w:rsidP="00BF6FA2">
      <w:pPr>
        <w:spacing w:line="360" w:lineRule="auto"/>
        <w:jc w:val="both"/>
        <w:rPr>
          <w:rFonts w:ascii="Times New Roman" w:hAnsi="Times New Roman" w:cs="Times New Roman"/>
          <w:b/>
          <w:bCs/>
          <w:sz w:val="24"/>
          <w:szCs w:val="24"/>
        </w:rPr>
      </w:pPr>
      <w:r w:rsidRPr="00BF6FA2">
        <w:rPr>
          <w:rFonts w:ascii="Times New Roman" w:hAnsi="Times New Roman" w:cs="Times New Roman"/>
          <w:b/>
          <w:bCs/>
          <w:sz w:val="24"/>
          <w:szCs w:val="24"/>
        </w:rPr>
        <w:t>Case Studies</w:t>
      </w:r>
    </w:p>
    <w:p w14:paraId="2DE40299" w14:textId="77777777" w:rsidR="0017306D" w:rsidRPr="00BF6FA2" w:rsidRDefault="006D151A"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1) </w:t>
      </w:r>
      <w:r w:rsidR="00391C2D" w:rsidRPr="00BF6FA2">
        <w:rPr>
          <w:rStyle w:val="FootnoteReference"/>
          <w:rFonts w:ascii="Times New Roman" w:hAnsi="Times New Roman" w:cs="Times New Roman"/>
          <w:sz w:val="24"/>
          <w:szCs w:val="24"/>
        </w:rPr>
        <w:footnoteReference w:id="6"/>
      </w:r>
      <w:r w:rsidRPr="00BF6FA2">
        <w:rPr>
          <w:rFonts w:ascii="Times New Roman" w:hAnsi="Times New Roman" w:cs="Times New Roman"/>
          <w:sz w:val="24"/>
          <w:szCs w:val="24"/>
        </w:rPr>
        <w:t>Zoom</w:t>
      </w:r>
      <w:r w:rsidR="00391C2D" w:rsidRPr="00BF6FA2">
        <w:rPr>
          <w:rFonts w:ascii="Times New Roman" w:hAnsi="Times New Roman" w:cs="Times New Roman"/>
          <w:sz w:val="24"/>
          <w:szCs w:val="24"/>
        </w:rPr>
        <w:t>’s Zoom-bombing case:</w:t>
      </w:r>
    </w:p>
    <w:p w14:paraId="1F4474B0" w14:textId="77777777" w:rsidR="0017306D" w:rsidRPr="00BF6FA2" w:rsidRDefault="0017306D" w:rsidP="00BF6FA2">
      <w:pPr>
        <w:spacing w:line="360" w:lineRule="auto"/>
        <w:rPr>
          <w:rFonts w:ascii="Times New Roman" w:hAnsi="Times New Roman" w:cs="Times New Roman"/>
          <w:sz w:val="24"/>
          <w:szCs w:val="24"/>
        </w:rPr>
      </w:pPr>
      <w:r w:rsidRPr="00BF6FA2">
        <w:rPr>
          <w:rFonts w:ascii="Times New Roman" w:hAnsi="Times New Roman" w:cs="Times New Roman"/>
          <w:sz w:val="24"/>
          <w:szCs w:val="24"/>
        </w:rPr>
        <w:t xml:space="preserve">Zoom, the popular video conferencing platform, faced a lawsuit over several significant issues. Firstly, Zoom had claimed to provide end-to-end encryption in various documents and communications, which led to questions about potential misrepresentation of its security features. Secondly, users alleged that Zoom shared their personal data with third-party companies like Facebook and Google without clear consent. Lastly, concerns were raised </w:t>
      </w:r>
      <w:r w:rsidRPr="00BF6FA2">
        <w:rPr>
          <w:rFonts w:ascii="Times New Roman" w:hAnsi="Times New Roman" w:cs="Times New Roman"/>
          <w:sz w:val="24"/>
          <w:szCs w:val="24"/>
        </w:rPr>
        <w:lastRenderedPageBreak/>
        <w:t>about the platform's security, particularly regarding unauthorized disruptions in meetings, known as "Zoombombing."</w:t>
      </w:r>
    </w:p>
    <w:p w14:paraId="203D33E5" w14:textId="77777777" w:rsidR="0017306D" w:rsidRPr="00BF6FA2" w:rsidRDefault="0017306D" w:rsidP="00BF6FA2">
      <w:pPr>
        <w:spacing w:line="360" w:lineRule="auto"/>
        <w:rPr>
          <w:rFonts w:ascii="Times New Roman" w:hAnsi="Times New Roman" w:cs="Times New Roman"/>
          <w:sz w:val="24"/>
          <w:szCs w:val="24"/>
        </w:rPr>
      </w:pPr>
      <w:r w:rsidRPr="00BF6FA2">
        <w:rPr>
          <w:rFonts w:ascii="Times New Roman" w:hAnsi="Times New Roman" w:cs="Times New Roman"/>
          <w:sz w:val="24"/>
          <w:szCs w:val="24"/>
        </w:rPr>
        <w:t xml:space="preserve">The lawsuit did not result in a traditional court judgment but was settled between Zoom and the plaintiffs. As part of the settlement, Zoom agreed to pay $85 million in compensation to affected users, with amounts ranging from $15 to $25 per user.   </w:t>
      </w:r>
    </w:p>
    <w:p w14:paraId="66FC9542"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2) </w:t>
      </w:r>
      <w:r w:rsidR="00391C2D" w:rsidRPr="00BF6FA2">
        <w:rPr>
          <w:rStyle w:val="FootnoteReference"/>
          <w:rFonts w:ascii="Times New Roman" w:hAnsi="Times New Roman" w:cs="Times New Roman"/>
          <w:sz w:val="24"/>
          <w:szCs w:val="24"/>
        </w:rPr>
        <w:footnoteReference w:id="7"/>
      </w:r>
      <w:r w:rsidRPr="00BF6FA2">
        <w:rPr>
          <w:rFonts w:ascii="Times New Roman" w:hAnsi="Times New Roman" w:cs="Times New Roman"/>
          <w:sz w:val="24"/>
          <w:szCs w:val="24"/>
        </w:rPr>
        <w:t>Pegasus Spyware</w:t>
      </w:r>
      <w:r w:rsidR="00391C2D" w:rsidRPr="00BF6FA2">
        <w:rPr>
          <w:rFonts w:ascii="Times New Roman" w:hAnsi="Times New Roman" w:cs="Times New Roman"/>
          <w:sz w:val="24"/>
          <w:szCs w:val="24"/>
        </w:rPr>
        <w:t xml:space="preserve"> case:</w:t>
      </w:r>
    </w:p>
    <w:p w14:paraId="02F6E03E"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 In September 2018, Citizen Lab, a Canadian research group, revealed the capabilities of the Pegasus spyware, produced by an Israeli firm. Pegasus was known for infiltrating digital devices without the user's </w:t>
      </w:r>
      <w:proofErr w:type="spellStart"/>
      <w:proofErr w:type="gramStart"/>
      <w:r w:rsidRPr="00BF6FA2">
        <w:rPr>
          <w:rFonts w:ascii="Times New Roman" w:hAnsi="Times New Roman" w:cs="Times New Roman"/>
          <w:sz w:val="24"/>
          <w:szCs w:val="24"/>
        </w:rPr>
        <w:t>knowledge.The</w:t>
      </w:r>
      <w:proofErr w:type="spellEnd"/>
      <w:proofErr w:type="gramEnd"/>
      <w:r w:rsidRPr="00BF6FA2">
        <w:rPr>
          <w:rFonts w:ascii="Times New Roman" w:hAnsi="Times New Roman" w:cs="Times New Roman"/>
          <w:sz w:val="24"/>
          <w:szCs w:val="24"/>
        </w:rPr>
        <w:t xml:space="preserve"> spyware could access and control various functionalities of the infected device, including emails, texts, calls, cameras, and sound recordings. The NSO Group, the creator of Pegasus, claimed to sell it only to undisclosed governments. WhatsApp identified a vulnerability that allowed Pegasus to infect users' devices, and it was confirmed that some Indians were affected.  An international investigation identified a list of 50,000 leaked numbers allegedly under surveillance by Pegasus. Around 300 of these numbers belonged to Indians.</w:t>
      </w:r>
    </w:p>
    <w:p w14:paraId="54056724"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The central issues were whether foreign entities were using Pegasus on Indian citizens without following legal procedures, whether Pegasus' use violated the fundamental rights guaranteed under Article 21 of the Indian Constitution, and whether the government had the authority to restrict these rights in the name of national security.</w:t>
      </w:r>
    </w:p>
    <w:p w14:paraId="6E52A7E5" w14:textId="77777777" w:rsidR="0017306D" w:rsidRPr="00BF6FA2" w:rsidRDefault="0017306D"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The Court's holding acknowledged the potential for national security concerns to limit judicial review but cautioned against using it as a blanket justification. The Union of India's limited affidavit was deemed insufficient, leading the court to accept the petitioner's case. Consequently, the Court appointed an expert committee, supervised by a retired Supreme Court judge, to investigate the allegations regarding Pegasus spyware.</w:t>
      </w:r>
    </w:p>
    <w:p w14:paraId="73FFE889" w14:textId="77777777" w:rsidR="0017306D" w:rsidRPr="00BF6FA2" w:rsidRDefault="0017306D" w:rsidP="00BF6FA2">
      <w:pPr>
        <w:spacing w:line="360" w:lineRule="auto"/>
        <w:jc w:val="both"/>
        <w:rPr>
          <w:rFonts w:ascii="Times New Roman" w:hAnsi="Times New Roman" w:cs="Times New Roman"/>
          <w:b/>
          <w:bCs/>
          <w:sz w:val="24"/>
          <w:szCs w:val="24"/>
        </w:rPr>
      </w:pPr>
      <w:r w:rsidRPr="00BF6FA2">
        <w:rPr>
          <w:rFonts w:ascii="Times New Roman" w:hAnsi="Times New Roman" w:cs="Times New Roman"/>
          <w:b/>
          <w:bCs/>
          <w:sz w:val="24"/>
          <w:szCs w:val="24"/>
        </w:rPr>
        <w:t>Suggested Recommendations</w:t>
      </w:r>
    </w:p>
    <w:p w14:paraId="3B88C2C9" w14:textId="77777777" w:rsidR="0017306D" w:rsidRPr="00BF6FA2" w:rsidRDefault="0017306D" w:rsidP="00BF6FA2">
      <w:pPr>
        <w:pStyle w:val="ListParagraph"/>
        <w:numPr>
          <w:ilvl w:val="0"/>
          <w:numId w:val="3"/>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Strengthen Data Protection Laws</w:t>
      </w:r>
      <w:r w:rsidRPr="00BF6FA2">
        <w:rPr>
          <w:rFonts w:ascii="Times New Roman" w:hAnsi="Times New Roman" w:cs="Times New Roman"/>
          <w:sz w:val="24"/>
          <w:szCs w:val="24"/>
        </w:rPr>
        <w:t xml:space="preserve">: </w:t>
      </w:r>
      <w:r w:rsidR="00911464" w:rsidRPr="00BF6FA2">
        <w:rPr>
          <w:rFonts w:ascii="Times New Roman" w:hAnsi="Times New Roman" w:cs="Times New Roman"/>
          <w:sz w:val="24"/>
          <w:szCs w:val="24"/>
        </w:rPr>
        <w:t>India should expedite the implementation of comprehensive data protection legislation, such as the Digital Personal Data Protection Bill, 2023, which was recently passed. The law should align with international standards while considering India's unique challenges and needs.</w:t>
      </w:r>
    </w:p>
    <w:p w14:paraId="08A56BF8" w14:textId="77777777" w:rsidR="0017306D" w:rsidRPr="00BF6FA2" w:rsidRDefault="0017306D" w:rsidP="00BF6FA2">
      <w:pPr>
        <w:pStyle w:val="ListParagraph"/>
        <w:numPr>
          <w:ilvl w:val="0"/>
          <w:numId w:val="3"/>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lastRenderedPageBreak/>
        <w:t>Clarify Government Surveillance Rules</w:t>
      </w:r>
      <w:r w:rsidRPr="00BF6FA2">
        <w:rPr>
          <w:rFonts w:ascii="Times New Roman" w:hAnsi="Times New Roman" w:cs="Times New Roman"/>
          <w:sz w:val="24"/>
          <w:szCs w:val="24"/>
        </w:rPr>
        <w:t>: Clear and transparent guidelines should be established for when and how the government can access personal data for national security reasons. These guidelines should strike a balance between protecting citizens' rights and ensuring national security.</w:t>
      </w:r>
    </w:p>
    <w:p w14:paraId="4D2BBF7E" w14:textId="77777777" w:rsidR="0017306D" w:rsidRPr="00BF6FA2" w:rsidRDefault="0017306D" w:rsidP="00BF6FA2">
      <w:pPr>
        <w:pStyle w:val="ListParagraph"/>
        <w:numPr>
          <w:ilvl w:val="0"/>
          <w:numId w:val="3"/>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Independent Data Protection Authority</w:t>
      </w:r>
      <w:r w:rsidRPr="00BF6FA2">
        <w:rPr>
          <w:rFonts w:ascii="Times New Roman" w:hAnsi="Times New Roman" w:cs="Times New Roman"/>
          <w:sz w:val="24"/>
          <w:szCs w:val="24"/>
        </w:rPr>
        <w:t>: Create a strong and independent Data Protection Authority (DPA) with the power to enforce data protection regulations, investigate breaches, and impose penalties on non-compliant entities. The DPA should operate autonomously to maintain public trust.</w:t>
      </w:r>
    </w:p>
    <w:p w14:paraId="225E19AB" w14:textId="77777777" w:rsidR="0017306D" w:rsidRPr="00BF6FA2" w:rsidRDefault="0017306D" w:rsidP="00BF6FA2">
      <w:pPr>
        <w:pStyle w:val="ListParagraph"/>
        <w:numPr>
          <w:ilvl w:val="0"/>
          <w:numId w:val="3"/>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Consent Mechanisms</w:t>
      </w:r>
      <w:r w:rsidRPr="00BF6FA2">
        <w:rPr>
          <w:rFonts w:ascii="Times New Roman" w:hAnsi="Times New Roman" w:cs="Times New Roman"/>
          <w:sz w:val="24"/>
          <w:szCs w:val="24"/>
        </w:rPr>
        <w:t>: Enhance regulations around consent, requiring organizations to obtain explicit and informed consent before processing personal data. Users should have the ability to easily withdraw consent.</w:t>
      </w:r>
    </w:p>
    <w:p w14:paraId="0F0B873F" w14:textId="77777777" w:rsidR="0017306D" w:rsidRPr="00BF6FA2" w:rsidRDefault="0017306D" w:rsidP="00BF6FA2">
      <w:pPr>
        <w:pStyle w:val="ListParagraph"/>
        <w:numPr>
          <w:ilvl w:val="0"/>
          <w:numId w:val="3"/>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Public Awareness and Education</w:t>
      </w:r>
      <w:r w:rsidRPr="00BF6FA2">
        <w:rPr>
          <w:rFonts w:ascii="Times New Roman" w:hAnsi="Times New Roman" w:cs="Times New Roman"/>
          <w:sz w:val="24"/>
          <w:szCs w:val="24"/>
        </w:rPr>
        <w:t>: Launch public awareness campaigns and educational programs to inform citizens about their rights regarding online privacy and data protection. This will empower individuals to take control of their personal data.</w:t>
      </w:r>
    </w:p>
    <w:p w14:paraId="4850325C" w14:textId="77777777" w:rsidR="0017306D" w:rsidRPr="00BF6FA2" w:rsidRDefault="0017306D" w:rsidP="00BF6FA2">
      <w:pPr>
        <w:pStyle w:val="ListParagraph"/>
        <w:numPr>
          <w:ilvl w:val="0"/>
          <w:numId w:val="3"/>
        </w:numPr>
        <w:spacing w:line="360" w:lineRule="auto"/>
        <w:jc w:val="both"/>
        <w:rPr>
          <w:rFonts w:ascii="Times New Roman" w:hAnsi="Times New Roman" w:cs="Times New Roman"/>
          <w:sz w:val="24"/>
          <w:szCs w:val="24"/>
        </w:rPr>
      </w:pPr>
      <w:r w:rsidRPr="00BF6FA2">
        <w:rPr>
          <w:rFonts w:ascii="Times New Roman" w:hAnsi="Times New Roman" w:cs="Times New Roman"/>
          <w:b/>
          <w:bCs/>
          <w:sz w:val="24"/>
          <w:szCs w:val="24"/>
        </w:rPr>
        <w:t>Strengthen Cybersecurity</w:t>
      </w:r>
      <w:r w:rsidRPr="00BF6FA2">
        <w:rPr>
          <w:rFonts w:ascii="Times New Roman" w:hAnsi="Times New Roman" w:cs="Times New Roman"/>
          <w:sz w:val="24"/>
          <w:szCs w:val="24"/>
        </w:rPr>
        <w:t>: Emphasize the importance of robust cybersecurity measures to prevent data breaches and cyberattacks. Encourage organizations to follow internationally recognized cybersecurity standards.</w:t>
      </w:r>
    </w:p>
    <w:p w14:paraId="47A8CF49" w14:textId="77777777" w:rsidR="006D151A" w:rsidRPr="00BF6FA2" w:rsidRDefault="006D151A" w:rsidP="00BF6FA2">
      <w:pPr>
        <w:spacing w:line="360" w:lineRule="auto"/>
        <w:jc w:val="both"/>
        <w:rPr>
          <w:rFonts w:ascii="Times New Roman" w:hAnsi="Times New Roman" w:cs="Times New Roman"/>
          <w:sz w:val="24"/>
          <w:szCs w:val="24"/>
        </w:rPr>
      </w:pPr>
    </w:p>
    <w:p w14:paraId="3224F185" w14:textId="77777777" w:rsidR="0017306D" w:rsidRPr="00BF6FA2" w:rsidRDefault="0017306D" w:rsidP="00BF6FA2">
      <w:pPr>
        <w:spacing w:line="360" w:lineRule="auto"/>
        <w:jc w:val="both"/>
        <w:rPr>
          <w:rFonts w:ascii="Times New Roman" w:hAnsi="Times New Roman" w:cs="Times New Roman"/>
          <w:b/>
          <w:bCs/>
          <w:sz w:val="24"/>
          <w:szCs w:val="24"/>
        </w:rPr>
      </w:pPr>
      <w:r w:rsidRPr="00BF6FA2">
        <w:rPr>
          <w:rFonts w:ascii="Times New Roman" w:hAnsi="Times New Roman" w:cs="Times New Roman"/>
          <w:b/>
          <w:bCs/>
          <w:sz w:val="24"/>
          <w:szCs w:val="24"/>
        </w:rPr>
        <w:t>Conclusion</w:t>
      </w:r>
    </w:p>
    <w:p w14:paraId="4E525887" w14:textId="77777777" w:rsidR="00FD6D9C" w:rsidRPr="00BF6FA2" w:rsidRDefault="00FD6D9C"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The digital age has brought about significant changes in the way individuals and organizations handle personal data, making online privacy and data protection paramount concerns. In India, the journey towards robust data protection and privacy laws has been marked by legal developments, amendments, and a growing awareness of the need to safeguard personal information.</w:t>
      </w:r>
    </w:p>
    <w:p w14:paraId="481B0B62" w14:textId="77777777" w:rsidR="00FD6D9C" w:rsidRPr="00BF6FA2" w:rsidRDefault="00FD6D9C"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The Supreme Court's recognition of the right to privacy as a fundamental right in the landmark </w:t>
      </w:r>
      <w:proofErr w:type="spellStart"/>
      <w:r w:rsidRPr="00BF6FA2">
        <w:rPr>
          <w:rFonts w:ascii="Times New Roman" w:hAnsi="Times New Roman" w:cs="Times New Roman"/>
          <w:sz w:val="24"/>
          <w:szCs w:val="24"/>
        </w:rPr>
        <w:t>Puttaswamy</w:t>
      </w:r>
      <w:proofErr w:type="spellEnd"/>
      <w:r w:rsidRPr="00BF6FA2">
        <w:rPr>
          <w:rFonts w:ascii="Times New Roman" w:hAnsi="Times New Roman" w:cs="Times New Roman"/>
          <w:sz w:val="24"/>
          <w:szCs w:val="24"/>
        </w:rPr>
        <w:t xml:space="preserve"> case laid the foundation for data protection in India. Subsequent legal developments, including amendments to the Information Technology Act in 2008 and the drafting of the Personal Data Protection Bill, reflect the evolving digital landscape and the government's efforts to address emerging challenges.</w:t>
      </w:r>
    </w:p>
    <w:p w14:paraId="50908E5C" w14:textId="77777777" w:rsidR="00FD6D9C" w:rsidRPr="00BF6FA2" w:rsidRDefault="00FD6D9C"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 xml:space="preserve">The recent passage of the Digital Personal Data Protection Bill, 2023, is a significant step towards comprehensive data protection legislation in India. This bill, with its provisions </w:t>
      </w:r>
      <w:r w:rsidRPr="00BF6FA2">
        <w:rPr>
          <w:rFonts w:ascii="Times New Roman" w:hAnsi="Times New Roman" w:cs="Times New Roman"/>
          <w:sz w:val="24"/>
          <w:szCs w:val="24"/>
        </w:rPr>
        <w:lastRenderedPageBreak/>
        <w:t>tailored to the Indian context, aims to strike a balance between protecting individual rights and fostering innovation and economic growth.</w:t>
      </w:r>
    </w:p>
    <w:p w14:paraId="54B23E81" w14:textId="77777777" w:rsidR="00FD6D9C" w:rsidRPr="00BF6FA2" w:rsidRDefault="00FD6D9C"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A comparative analysis with the General Data Protection Regulation (GDPR) reveals that while both frameworks share the goal of safeguarding personal data and privacy, they differ in scope, consent requirements, exemptions, and penalties. The DPDP Bill is designed to meet India's specific needs and challenges, while GDPR has a broader global impact.</w:t>
      </w:r>
    </w:p>
    <w:p w14:paraId="5514C7F5" w14:textId="77777777" w:rsidR="00FD6D9C" w:rsidRPr="00BF6FA2" w:rsidRDefault="00FD6D9C"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The case studies of Zoom and the Pegasus spyware highlight the real-world implications of inadequate data protection measures. The Zoom lawsuit underscores the importance of transparent data handling practices and user consent, while the Pegasus spyware case raises questions about government surveillance and individual rights.</w:t>
      </w:r>
    </w:p>
    <w:p w14:paraId="1947EDD4" w14:textId="77777777" w:rsidR="00FD6D9C" w:rsidRPr="00FD6D9C" w:rsidRDefault="00FD6D9C" w:rsidP="00BF6FA2">
      <w:pPr>
        <w:spacing w:line="360" w:lineRule="auto"/>
        <w:jc w:val="both"/>
        <w:rPr>
          <w:rFonts w:ascii="Times New Roman" w:hAnsi="Times New Roman" w:cs="Times New Roman"/>
          <w:sz w:val="24"/>
          <w:szCs w:val="24"/>
        </w:rPr>
      </w:pPr>
      <w:r w:rsidRPr="00BF6FA2">
        <w:rPr>
          <w:rFonts w:ascii="Times New Roman" w:hAnsi="Times New Roman" w:cs="Times New Roman"/>
          <w:sz w:val="24"/>
          <w:szCs w:val="24"/>
        </w:rPr>
        <w:t>In conclusion, India has made significant strides in the realm of online privacy and data protection, but challenges persist. It is essential for India to continue strengthening its data protection laws, clarify government surveillance rules, and empower an independent Data Protection Authority. Public awareness and education are key to ensuring that individuals are informed about their rights and responsibilities in the digital age. By taking these steps, India can better protect the online privacy and data of its citizens and foster a secure and digitally empowered society.</w:t>
      </w:r>
    </w:p>
    <w:p w14:paraId="777BA019" w14:textId="77777777" w:rsidR="0017306D" w:rsidRPr="000D408E" w:rsidRDefault="0017306D" w:rsidP="00B1299F">
      <w:pPr>
        <w:spacing w:line="360" w:lineRule="auto"/>
        <w:jc w:val="both"/>
        <w:rPr>
          <w:rFonts w:ascii="Times New Roman" w:hAnsi="Times New Roman" w:cs="Times New Roman"/>
          <w:sz w:val="24"/>
          <w:szCs w:val="24"/>
        </w:rPr>
      </w:pPr>
    </w:p>
    <w:p w14:paraId="5CB9E73A" w14:textId="77777777" w:rsidR="005B58AC" w:rsidRDefault="005B58AC" w:rsidP="00B1299F">
      <w:pPr>
        <w:spacing w:line="360" w:lineRule="auto"/>
      </w:pPr>
    </w:p>
    <w:sectPr w:rsidR="005B58AC" w:rsidSect="00535E4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EE30C" w14:textId="77777777" w:rsidR="005B01DD" w:rsidRDefault="005B01DD" w:rsidP="006D151A">
      <w:pPr>
        <w:spacing w:after="0" w:line="240" w:lineRule="auto"/>
      </w:pPr>
      <w:r>
        <w:separator/>
      </w:r>
    </w:p>
  </w:endnote>
  <w:endnote w:type="continuationSeparator" w:id="0">
    <w:p w14:paraId="0B94CA45" w14:textId="77777777" w:rsidR="005B01DD" w:rsidRDefault="005B01DD" w:rsidP="006D15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E6836" w14:textId="77777777" w:rsidR="005B01DD" w:rsidRDefault="005B01DD" w:rsidP="006D151A">
      <w:pPr>
        <w:spacing w:after="0" w:line="240" w:lineRule="auto"/>
      </w:pPr>
      <w:r>
        <w:separator/>
      </w:r>
    </w:p>
  </w:footnote>
  <w:footnote w:type="continuationSeparator" w:id="0">
    <w:p w14:paraId="72EF0CB7" w14:textId="77777777" w:rsidR="005B01DD" w:rsidRDefault="005B01DD" w:rsidP="006D151A">
      <w:pPr>
        <w:spacing w:after="0" w:line="240" w:lineRule="auto"/>
      </w:pPr>
      <w:r>
        <w:continuationSeparator/>
      </w:r>
    </w:p>
  </w:footnote>
  <w:footnote w:id="1">
    <w:p w14:paraId="33B9CE57" w14:textId="77777777" w:rsidR="006D151A" w:rsidRPr="005D2C58" w:rsidRDefault="006D151A">
      <w:pPr>
        <w:pStyle w:val="FootnoteText"/>
        <w:rPr>
          <w:rFonts w:ascii="Times New Roman" w:hAnsi="Times New Roman" w:cs="Times New Roman"/>
          <w:lang w:val="en-US"/>
        </w:rPr>
      </w:pPr>
      <w:r w:rsidRPr="005D2C58">
        <w:rPr>
          <w:rStyle w:val="FootnoteReference"/>
          <w:rFonts w:ascii="Times New Roman" w:hAnsi="Times New Roman" w:cs="Times New Roman"/>
        </w:rPr>
        <w:footnoteRef/>
      </w:r>
      <w:r w:rsidRPr="005D2C58">
        <w:rPr>
          <w:rFonts w:ascii="Times New Roman" w:hAnsi="Times New Roman" w:cs="Times New Roman"/>
        </w:rPr>
        <w:t xml:space="preserve"> </w:t>
      </w:r>
      <w:r w:rsidRPr="005D2C58">
        <w:rPr>
          <w:rFonts w:ascii="Times New Roman" w:hAnsi="Times New Roman" w:cs="Times New Roman"/>
          <w:lang w:val="en-US"/>
        </w:rPr>
        <w:t xml:space="preserve">K. S. </w:t>
      </w:r>
      <w:proofErr w:type="spellStart"/>
      <w:r w:rsidRPr="005D2C58">
        <w:rPr>
          <w:rFonts w:ascii="Times New Roman" w:hAnsi="Times New Roman" w:cs="Times New Roman"/>
          <w:lang w:val="en-US"/>
        </w:rPr>
        <w:t>Puttaswami</w:t>
      </w:r>
      <w:proofErr w:type="spellEnd"/>
      <w:r w:rsidRPr="005D2C58">
        <w:rPr>
          <w:rFonts w:ascii="Times New Roman" w:hAnsi="Times New Roman" w:cs="Times New Roman"/>
          <w:lang w:val="en-US"/>
        </w:rPr>
        <w:t xml:space="preserve"> v. Union of India, 10 SSC 1, AIR 2027 SC 4161. </w:t>
      </w:r>
    </w:p>
  </w:footnote>
  <w:footnote w:id="2">
    <w:p w14:paraId="7A2DA6C9" w14:textId="77777777" w:rsidR="006D151A" w:rsidRPr="005D2C58" w:rsidRDefault="006D151A">
      <w:pPr>
        <w:pStyle w:val="FootnoteText"/>
        <w:rPr>
          <w:rFonts w:ascii="Times New Roman" w:hAnsi="Times New Roman" w:cs="Times New Roman"/>
          <w:lang w:val="en-US"/>
        </w:rPr>
      </w:pPr>
      <w:r w:rsidRPr="005D2C58">
        <w:rPr>
          <w:rStyle w:val="FootnoteReference"/>
          <w:rFonts w:ascii="Times New Roman" w:hAnsi="Times New Roman" w:cs="Times New Roman"/>
        </w:rPr>
        <w:footnoteRef/>
      </w:r>
      <w:r w:rsidRPr="005D2C58">
        <w:rPr>
          <w:rFonts w:ascii="Times New Roman" w:hAnsi="Times New Roman" w:cs="Times New Roman"/>
        </w:rPr>
        <w:t xml:space="preserve"> </w:t>
      </w:r>
      <w:r w:rsidRPr="005D2C58">
        <w:rPr>
          <w:rFonts w:ascii="Times New Roman" w:hAnsi="Times New Roman" w:cs="Times New Roman"/>
          <w:lang w:val="en-US"/>
        </w:rPr>
        <w:t xml:space="preserve">The Information Technology Act, 2000 (No. 21 of 2000). </w:t>
      </w:r>
    </w:p>
  </w:footnote>
  <w:footnote w:id="3">
    <w:p w14:paraId="44645C4A" w14:textId="77777777" w:rsidR="006D151A" w:rsidRPr="006D151A" w:rsidRDefault="006D151A">
      <w:pPr>
        <w:pStyle w:val="FootnoteText"/>
        <w:rPr>
          <w:lang w:val="en-US"/>
        </w:rPr>
      </w:pPr>
      <w:r w:rsidRPr="005D2C58">
        <w:rPr>
          <w:rStyle w:val="FootnoteReference"/>
          <w:rFonts w:ascii="Times New Roman" w:hAnsi="Times New Roman" w:cs="Times New Roman"/>
        </w:rPr>
        <w:footnoteRef/>
      </w:r>
      <w:r w:rsidRPr="005D2C58">
        <w:rPr>
          <w:rFonts w:ascii="Times New Roman" w:hAnsi="Times New Roman" w:cs="Times New Roman"/>
        </w:rPr>
        <w:t>The Indian Technology (Amendment) Act, 2008 (No. 10 of 2009).</w:t>
      </w:r>
      <w:r>
        <w:t xml:space="preserve"> </w:t>
      </w:r>
    </w:p>
  </w:footnote>
  <w:footnote w:id="4">
    <w:p w14:paraId="593552AE" w14:textId="77777777" w:rsidR="006D151A" w:rsidRPr="00F01561" w:rsidRDefault="006D151A">
      <w:pPr>
        <w:pStyle w:val="FootnoteText"/>
        <w:rPr>
          <w:rFonts w:ascii="Times New Roman" w:hAnsi="Times New Roman" w:cs="Times New Roman"/>
          <w:lang w:val="en-US"/>
        </w:rPr>
      </w:pPr>
      <w:r w:rsidRPr="00F01561">
        <w:rPr>
          <w:rStyle w:val="FootnoteReference"/>
          <w:rFonts w:ascii="Times New Roman" w:hAnsi="Times New Roman" w:cs="Times New Roman"/>
        </w:rPr>
        <w:footnoteRef/>
      </w:r>
      <w:r w:rsidRPr="00F01561">
        <w:rPr>
          <w:rFonts w:ascii="Times New Roman" w:hAnsi="Times New Roman" w:cs="Times New Roman"/>
        </w:rPr>
        <w:t xml:space="preserve"> The Digital Personal Data Protection Act, 2023 (No. 23 of 2023). </w:t>
      </w:r>
    </w:p>
  </w:footnote>
  <w:footnote w:id="5">
    <w:p w14:paraId="6DB1C835" w14:textId="77777777" w:rsidR="006D151A" w:rsidRPr="006D151A" w:rsidRDefault="006D151A">
      <w:pPr>
        <w:pStyle w:val="FootnoteText"/>
        <w:rPr>
          <w:lang w:val="en-US"/>
        </w:rPr>
      </w:pPr>
      <w:r w:rsidRPr="00F01561">
        <w:rPr>
          <w:rStyle w:val="FootnoteReference"/>
          <w:rFonts w:ascii="Times New Roman" w:hAnsi="Times New Roman" w:cs="Times New Roman"/>
        </w:rPr>
        <w:footnoteRef/>
      </w:r>
      <w:r w:rsidRPr="00F01561">
        <w:rPr>
          <w:rFonts w:ascii="Times New Roman" w:hAnsi="Times New Roman" w:cs="Times New Roman"/>
        </w:rPr>
        <w:t xml:space="preserve"> </w:t>
      </w:r>
      <w:r w:rsidRPr="00F01561">
        <w:rPr>
          <w:rFonts w:ascii="Times New Roman" w:hAnsi="Times New Roman" w:cs="Times New Roman"/>
          <w:lang w:val="en-US"/>
        </w:rPr>
        <w:t>The General Data Protection Regulation, (European Union) 2016/679.</w:t>
      </w:r>
      <w:r>
        <w:rPr>
          <w:lang w:val="en-US"/>
        </w:rPr>
        <w:t xml:space="preserve">  </w:t>
      </w:r>
    </w:p>
  </w:footnote>
  <w:footnote w:id="6">
    <w:p w14:paraId="585A81C7" w14:textId="77777777" w:rsidR="00391C2D" w:rsidRPr="00391C2D" w:rsidRDefault="00391C2D">
      <w:pPr>
        <w:pStyle w:val="FootnoteText"/>
        <w:rPr>
          <w:lang w:val="en-US"/>
        </w:rPr>
      </w:pPr>
      <w:r>
        <w:rPr>
          <w:rStyle w:val="FootnoteReference"/>
        </w:rPr>
        <w:footnoteRef/>
      </w:r>
      <w:r>
        <w:t xml:space="preserve"> </w:t>
      </w:r>
      <w:r w:rsidRPr="00F01561">
        <w:rPr>
          <w:rFonts w:ascii="Times New Roman" w:hAnsi="Times New Roman" w:cs="Times New Roman"/>
          <w:lang w:val="en-US"/>
        </w:rPr>
        <w:t>Greg Elmer, Anthony Glyn Burton, Stephen J. Neville and Sabrina Ward-</w:t>
      </w:r>
      <w:proofErr w:type="spellStart"/>
      <w:r w:rsidRPr="00F01561">
        <w:rPr>
          <w:rFonts w:ascii="Times New Roman" w:hAnsi="Times New Roman" w:cs="Times New Roman"/>
          <w:lang w:val="en-US"/>
        </w:rPr>
        <w:t>Kimola</w:t>
      </w:r>
      <w:proofErr w:type="spellEnd"/>
      <w:r w:rsidRPr="00F01561">
        <w:rPr>
          <w:rFonts w:ascii="Times New Roman" w:hAnsi="Times New Roman" w:cs="Times New Roman"/>
          <w:lang w:val="en-US"/>
        </w:rPr>
        <w:t xml:space="preserve">, Zoombombing During a Global </w:t>
      </w:r>
      <w:proofErr w:type="spellStart"/>
      <w:r w:rsidRPr="00F01561">
        <w:rPr>
          <w:rFonts w:ascii="Times New Roman" w:hAnsi="Times New Roman" w:cs="Times New Roman"/>
          <w:lang w:val="en-US"/>
        </w:rPr>
        <w:t>Pandamic</w:t>
      </w:r>
      <w:proofErr w:type="spellEnd"/>
      <w:r w:rsidRPr="00F01561">
        <w:rPr>
          <w:rFonts w:ascii="Times New Roman" w:hAnsi="Times New Roman" w:cs="Times New Roman"/>
          <w:lang w:val="en-US"/>
        </w:rPr>
        <w:t xml:space="preserve">, </w:t>
      </w:r>
      <w:proofErr w:type="gramStart"/>
      <w:r w:rsidRPr="00F01561">
        <w:rPr>
          <w:rFonts w:ascii="Times New Roman" w:hAnsi="Times New Roman" w:cs="Times New Roman"/>
          <w:lang w:val="en-US"/>
        </w:rPr>
        <w:t>Social Media</w:t>
      </w:r>
      <w:proofErr w:type="gramEnd"/>
      <w:r w:rsidRPr="00F01561">
        <w:rPr>
          <w:rFonts w:ascii="Times New Roman" w:hAnsi="Times New Roman" w:cs="Times New Roman"/>
          <w:lang w:val="en-US"/>
        </w:rPr>
        <w:t xml:space="preserve"> + Society, July 2021.</w:t>
      </w:r>
      <w:r>
        <w:rPr>
          <w:lang w:val="en-US"/>
        </w:rPr>
        <w:t xml:space="preserve">  </w:t>
      </w:r>
    </w:p>
  </w:footnote>
  <w:footnote w:id="7">
    <w:p w14:paraId="2331981F" w14:textId="77777777" w:rsidR="00391C2D" w:rsidRPr="00391C2D" w:rsidRDefault="00391C2D">
      <w:pPr>
        <w:pStyle w:val="FootnoteText"/>
        <w:rPr>
          <w:lang w:val="en-US"/>
        </w:rPr>
      </w:pPr>
      <w:r>
        <w:rPr>
          <w:rStyle w:val="FootnoteReference"/>
        </w:rPr>
        <w:footnoteRef/>
      </w:r>
      <w:r>
        <w:t xml:space="preserve"> </w:t>
      </w:r>
      <w:r w:rsidRPr="00F01561">
        <w:rPr>
          <w:rFonts w:ascii="Times New Roman" w:hAnsi="Times New Roman" w:cs="Times New Roman"/>
          <w:lang w:val="en-US"/>
        </w:rPr>
        <w:t>Manohar Lal Sharma v. Union of India, Writ Petition (</w:t>
      </w:r>
      <w:proofErr w:type="spellStart"/>
      <w:r w:rsidRPr="00F01561">
        <w:rPr>
          <w:rFonts w:ascii="Times New Roman" w:hAnsi="Times New Roman" w:cs="Times New Roman"/>
          <w:lang w:val="en-US"/>
        </w:rPr>
        <w:t>Crl</w:t>
      </w:r>
      <w:proofErr w:type="spellEnd"/>
      <w:r w:rsidRPr="00F01561">
        <w:rPr>
          <w:rFonts w:ascii="Times New Roman" w:hAnsi="Times New Roman" w:cs="Times New Roman"/>
          <w:lang w:val="en-US"/>
        </w:rPr>
        <w:t xml:space="preserve">) No. 314 of 2021.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039C8"/>
    <w:multiLevelType w:val="multilevel"/>
    <w:tmpl w:val="C908C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8B72023"/>
    <w:multiLevelType w:val="hybridMultilevel"/>
    <w:tmpl w:val="46B292A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6DE657F2"/>
    <w:multiLevelType w:val="multilevel"/>
    <w:tmpl w:val="318AD8E4"/>
    <w:lvl w:ilvl="0">
      <w:start w:val="1"/>
      <w:numFmt w:val="decimal"/>
      <w:lvlText w:val="%1."/>
      <w:lvlJc w:val="left"/>
      <w:pPr>
        <w:tabs>
          <w:tab w:val="num" w:pos="720"/>
        </w:tabs>
        <w:ind w:left="720" w:hanging="360"/>
      </w:pPr>
    </w:lvl>
    <w:lvl w:ilvl="1">
      <w:start w:val="1"/>
      <w:numFmt w:val="bullet"/>
      <w:lvlText w:val=""/>
      <w:lvlJc w:val="left"/>
      <w:pPr>
        <w:tabs>
          <w:tab w:val="num" w:pos="927"/>
        </w:tabs>
        <w:ind w:left="927"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77441443">
    <w:abstractNumId w:val="0"/>
  </w:num>
  <w:num w:numId="2" w16cid:durableId="2019429910">
    <w:abstractNumId w:val="2"/>
  </w:num>
  <w:num w:numId="3" w16cid:durableId="19663480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B58AC"/>
    <w:rsid w:val="000B7D3D"/>
    <w:rsid w:val="0017306D"/>
    <w:rsid w:val="001E078F"/>
    <w:rsid w:val="0025779B"/>
    <w:rsid w:val="00380F05"/>
    <w:rsid w:val="00391C2D"/>
    <w:rsid w:val="004B0C02"/>
    <w:rsid w:val="00535E46"/>
    <w:rsid w:val="00585312"/>
    <w:rsid w:val="005B01DD"/>
    <w:rsid w:val="005B58AC"/>
    <w:rsid w:val="005D2C58"/>
    <w:rsid w:val="006D151A"/>
    <w:rsid w:val="00774B44"/>
    <w:rsid w:val="00845380"/>
    <w:rsid w:val="00911464"/>
    <w:rsid w:val="0099483B"/>
    <w:rsid w:val="00A75542"/>
    <w:rsid w:val="00B1299F"/>
    <w:rsid w:val="00B65103"/>
    <w:rsid w:val="00BC5A29"/>
    <w:rsid w:val="00BF6FA2"/>
    <w:rsid w:val="00CE416D"/>
    <w:rsid w:val="00D12E43"/>
    <w:rsid w:val="00D92705"/>
    <w:rsid w:val="00F01561"/>
    <w:rsid w:val="00FD6D9C"/>
  </w:rsids>
  <m:mathPr>
    <m:mathFont m:val="Cambria Math"/>
    <m:brkBin m:val="before"/>
    <m:brkBinSub m:val="--"/>
    <m:smallFrac/>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C21D1"/>
  <w15:docId w15:val="{2DC5C307-D96E-4C80-9CA2-586900361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30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306D"/>
    <w:pPr>
      <w:ind w:left="720"/>
      <w:contextualSpacing/>
    </w:pPr>
  </w:style>
  <w:style w:type="paragraph" w:styleId="FootnoteText">
    <w:name w:val="footnote text"/>
    <w:basedOn w:val="Normal"/>
    <w:link w:val="FootnoteTextChar"/>
    <w:uiPriority w:val="99"/>
    <w:semiHidden/>
    <w:unhideWhenUsed/>
    <w:rsid w:val="006D15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151A"/>
    <w:rPr>
      <w:sz w:val="20"/>
      <w:szCs w:val="20"/>
    </w:rPr>
  </w:style>
  <w:style w:type="character" w:styleId="FootnoteReference">
    <w:name w:val="footnote reference"/>
    <w:basedOn w:val="DefaultParagraphFont"/>
    <w:uiPriority w:val="99"/>
    <w:semiHidden/>
    <w:unhideWhenUsed/>
    <w:rsid w:val="006D15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9812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959460-6C20-4659-B439-F749857EB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8</Pages>
  <Words>2389</Words>
  <Characters>13623</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Amitkumar Panpatil</dc:creator>
  <cp:keywords/>
  <dc:description/>
  <cp:lastModifiedBy>Amitkumar Panpatil</cp:lastModifiedBy>
  <cp:revision>22</cp:revision>
  <dcterms:created xsi:type="dcterms:W3CDTF">2023-09-24T06:14:00Z</dcterms:created>
  <dcterms:modified xsi:type="dcterms:W3CDTF">2023-09-24T10:12:00Z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f9ec1f1387cc1709124a5f0a5b0a5ea21aada00745fcf9eae8043369cbacd1fc</vt:lpwstr>
  </property>
</Properties>
</file>