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4993E" w14:textId="438CE025" w:rsidR="00C642DB" w:rsidRDefault="00C642DB" w:rsidP="00C642DB">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PRIVATE MILITARY COMPANIES AND MERCENARIES: A DEEP DIVE</w:t>
      </w:r>
    </w:p>
    <w:p w14:paraId="03BE465E" w14:textId="77777777" w:rsidR="00C642DB" w:rsidRDefault="00C642DB" w:rsidP="00926B9B">
      <w:pPr>
        <w:spacing w:line="360" w:lineRule="auto"/>
        <w:rPr>
          <w:rFonts w:ascii="Times New Roman" w:hAnsi="Times New Roman" w:cs="Times New Roman"/>
          <w:b/>
          <w:bCs/>
          <w:sz w:val="24"/>
          <w:szCs w:val="24"/>
        </w:rPr>
      </w:pPr>
    </w:p>
    <w:p w14:paraId="109F0317" w14:textId="65979865" w:rsidR="001B293F" w:rsidRPr="001B293F" w:rsidRDefault="001B293F" w:rsidP="00926B9B">
      <w:pPr>
        <w:spacing w:line="360" w:lineRule="auto"/>
        <w:rPr>
          <w:rFonts w:ascii="Times New Roman" w:hAnsi="Times New Roman" w:cs="Times New Roman"/>
          <w:b/>
          <w:bCs/>
          <w:sz w:val="24"/>
          <w:szCs w:val="24"/>
        </w:rPr>
      </w:pPr>
      <w:r w:rsidRPr="001B293F">
        <w:rPr>
          <w:rFonts w:ascii="Times New Roman" w:hAnsi="Times New Roman" w:cs="Times New Roman"/>
          <w:b/>
          <w:bCs/>
          <w:sz w:val="24"/>
          <w:szCs w:val="24"/>
        </w:rPr>
        <w:t>INTRODUCTION</w:t>
      </w:r>
    </w:p>
    <w:p w14:paraId="3F46375D" w14:textId="6CAA94D1"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After the death of the chief of Russia’s Wagner Group, Yevgeny Prigozhin, mercenaries, and PMCs especially have again come to attention. Wagner group was founded in 2014 by a businessman called Yevgeny Prigozhin, popularly known as ‘Putin’s Chef.’ Identified first when they started backing pro-Russian separatist forces in eastern Ukraine, with speculations that they helped Russia annex Crimea. The US Department of Treasury reported the Wagner Group to have partaken in illicit gold dealings to fund the sustenance and expansion of its armed forces in Ukraine and Africa. They have reportedly played a pivotal role in Syria and are recently working on expanding their foothold in Africa after being active there for more than five years. Before its involvement in the Ukraine War, it was estimated to have a strength of 5,000 fighters, mostly veterans of Russia’s elite regiments and special forces. It seems to have grown since the war began last year. The force registered itself as a private military force in 2022 to avoid legal hurdles. On 23rd June 2023, the Wagner forces staged a rebellion after increasing tensions between the Russian Ministry of Defence and Prigozhin</w:t>
      </w:r>
      <w:r w:rsidR="00CA59A2">
        <w:rPr>
          <w:rStyle w:val="FootnoteReference"/>
          <w:rFonts w:ascii="Times New Roman" w:hAnsi="Times New Roman" w:cs="Times New Roman"/>
          <w:sz w:val="24"/>
          <w:szCs w:val="24"/>
        </w:rPr>
        <w:footnoteReference w:id="1"/>
      </w:r>
      <w:r w:rsidRPr="006249CB">
        <w:rPr>
          <w:rFonts w:ascii="Times New Roman" w:hAnsi="Times New Roman" w:cs="Times New Roman"/>
          <w:sz w:val="24"/>
          <w:szCs w:val="24"/>
        </w:rPr>
        <w:t>. While Pr</w:t>
      </w:r>
      <w:r w:rsidR="00175A3D">
        <w:rPr>
          <w:rFonts w:ascii="Times New Roman" w:hAnsi="Times New Roman" w:cs="Times New Roman"/>
          <w:sz w:val="24"/>
          <w:szCs w:val="24"/>
        </w:rPr>
        <w:t>i</w:t>
      </w:r>
      <w:r w:rsidRPr="006249CB">
        <w:rPr>
          <w:rFonts w:ascii="Times New Roman" w:hAnsi="Times New Roman" w:cs="Times New Roman"/>
          <w:sz w:val="24"/>
          <w:szCs w:val="24"/>
        </w:rPr>
        <w:t>gozhin was quite supportive of Russia’s invasion of Ukraine in the past, he has publicly criticized Defence Minister Sergei Shoigu and Chief of General Staff Valery Gerasimov, blaming them for being responsible for the military shortcomings and going as far as accusing them of handling over Russian territories to the Ukraine. The rebellion was shown as a response to an alleged attack on the Group, carried out by the MoD, where Prigozhin demanded that Shoigu and Gerasimov be handed over to him. Subsequently, on 24th June 2023, Putin denounced the Wagner group’s actions as treason and quelled the rebellion. At least thirteen Russian military soldiers died, while several Wagner members were injured. The rebellion finally reached a standstill on 27th June 2023 when Prigozhin and the Kremlin arrived at a deal. Part of this deal is for Prigozhin to disband the Wagner Group and to leave the country.</w:t>
      </w:r>
    </w:p>
    <w:p w14:paraId="03C6B27F" w14:textId="77777777" w:rsidR="001B293F" w:rsidRPr="001B293F" w:rsidRDefault="001B293F" w:rsidP="00926B9B">
      <w:pPr>
        <w:spacing w:line="360" w:lineRule="auto"/>
        <w:rPr>
          <w:rFonts w:ascii="Times New Roman" w:hAnsi="Times New Roman" w:cs="Times New Roman"/>
          <w:b/>
          <w:bCs/>
          <w:sz w:val="24"/>
          <w:szCs w:val="24"/>
        </w:rPr>
      </w:pPr>
      <w:r w:rsidRPr="001B293F">
        <w:rPr>
          <w:rFonts w:ascii="Times New Roman" w:hAnsi="Times New Roman" w:cs="Times New Roman"/>
          <w:b/>
          <w:bCs/>
          <w:sz w:val="24"/>
          <w:szCs w:val="24"/>
        </w:rPr>
        <w:t>WHAT ARE MERCENARIES AND PRIVATE MILITARY CONPANIES?</w:t>
      </w:r>
    </w:p>
    <w:p w14:paraId="78BA5F17" w14:textId="22DB220D"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In order to critically analy</w:t>
      </w:r>
      <w:r w:rsidR="00175A3D">
        <w:rPr>
          <w:rFonts w:ascii="Times New Roman" w:hAnsi="Times New Roman" w:cs="Times New Roman"/>
          <w:sz w:val="24"/>
          <w:szCs w:val="24"/>
        </w:rPr>
        <w:t>s</w:t>
      </w:r>
      <w:r w:rsidRPr="006249CB">
        <w:rPr>
          <w:rFonts w:ascii="Times New Roman" w:hAnsi="Times New Roman" w:cs="Times New Roman"/>
          <w:sz w:val="24"/>
          <w:szCs w:val="24"/>
        </w:rPr>
        <w:t xml:space="preserve">e the issue of the use of Private Military Companies (PMCs) and Mercenaries, we first would have to look at what these terms mean. Private Military </w:t>
      </w:r>
      <w:r w:rsidRPr="006249CB">
        <w:rPr>
          <w:rFonts w:ascii="Times New Roman" w:hAnsi="Times New Roman" w:cs="Times New Roman"/>
          <w:sz w:val="24"/>
          <w:szCs w:val="24"/>
        </w:rPr>
        <w:lastRenderedPageBreak/>
        <w:t xml:space="preserve">Companies and Mercenaries are not defined, much less talked about in old conventions like the ICESR and ICCPR. Even the ICERD only mentions state duties about preventing non-state abuse. </w:t>
      </w:r>
    </w:p>
    <w:p w14:paraId="20DEF4F6" w14:textId="3197014B"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The International Committee of Red Cross defines Private Military Companies as “… are private business entities that provide military and/or security services, irrespective of how they describe themselves”</w:t>
      </w:r>
      <w:r w:rsidR="007F7659">
        <w:rPr>
          <w:rStyle w:val="FootnoteReference"/>
          <w:rFonts w:ascii="Times New Roman" w:hAnsi="Times New Roman" w:cs="Times New Roman"/>
          <w:sz w:val="24"/>
          <w:szCs w:val="24"/>
        </w:rPr>
        <w:footnoteReference w:id="2"/>
      </w:r>
      <w:r w:rsidRPr="006249CB">
        <w:rPr>
          <w:rFonts w:ascii="Times New Roman" w:hAnsi="Times New Roman" w:cs="Times New Roman"/>
          <w:sz w:val="24"/>
          <w:szCs w:val="24"/>
        </w:rPr>
        <w:t>. Whereas the Warsaw Institute characterizes them as “…independent corporations that trade military services through a wide range of opportunities they have due to their corporate nature”</w:t>
      </w:r>
      <w:r w:rsidR="00175A3D">
        <w:rPr>
          <w:rStyle w:val="FootnoteReference"/>
          <w:rFonts w:ascii="Times New Roman" w:hAnsi="Times New Roman" w:cs="Times New Roman"/>
          <w:sz w:val="24"/>
          <w:szCs w:val="24"/>
        </w:rPr>
        <w:footnoteReference w:id="3"/>
      </w:r>
      <w:r w:rsidRPr="006249CB">
        <w:rPr>
          <w:rFonts w:ascii="Times New Roman" w:hAnsi="Times New Roman" w:cs="Times New Roman"/>
          <w:sz w:val="24"/>
          <w:szCs w:val="24"/>
        </w:rPr>
        <w:t xml:space="preserve">. The West, especially the superpowers like the United States of America, Russia, and the United Kingdom, use entities besides their traditional military forces to help supplement their military prowess to promote their national interests. Mercenaries are one of the oldest professions, with evidence of their existence back to the Middle Ages. The stigma and negativity that is now so prevalent is nothing but a recent phenomenon. In earlier times, it was an </w:t>
      </w:r>
      <w:r w:rsidR="00CA59A2" w:rsidRPr="006249CB">
        <w:rPr>
          <w:rFonts w:ascii="Times New Roman" w:hAnsi="Times New Roman" w:cs="Times New Roman"/>
          <w:sz w:val="24"/>
          <w:szCs w:val="24"/>
        </w:rPr>
        <w:t>honourable</w:t>
      </w:r>
      <w:r w:rsidRPr="006249CB">
        <w:rPr>
          <w:rFonts w:ascii="Times New Roman" w:hAnsi="Times New Roman" w:cs="Times New Roman"/>
          <w:sz w:val="24"/>
          <w:szCs w:val="24"/>
        </w:rPr>
        <w:t xml:space="preserve"> job with no difference from a soldier in an army. The rationale is that renting an army is easier and cheaper than recruiting and maintaining one. One does not have to pay for housing, living expenses, and retirement planning when hiring PMCs, which is not the case for an Army.</w:t>
      </w:r>
    </w:p>
    <w:p w14:paraId="246841BC" w14:textId="2DF8FEE0"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The International Convention against the Recruitment, Use, Financing, and Training of Mercenaries, 1989</w:t>
      </w:r>
      <w:r w:rsidR="000B0403">
        <w:rPr>
          <w:rStyle w:val="FootnoteReference"/>
          <w:rFonts w:ascii="Times New Roman" w:hAnsi="Times New Roman" w:cs="Times New Roman"/>
          <w:sz w:val="24"/>
          <w:szCs w:val="24"/>
        </w:rPr>
        <w:footnoteReference w:id="4"/>
      </w:r>
      <w:r w:rsidR="00101EC4">
        <w:rPr>
          <w:rFonts w:ascii="Times New Roman" w:hAnsi="Times New Roman" w:cs="Times New Roman"/>
          <w:sz w:val="24"/>
          <w:szCs w:val="24"/>
        </w:rPr>
        <w:t xml:space="preserve"> (hereinafter referred </w:t>
      </w:r>
      <w:r w:rsidR="00373EFD">
        <w:rPr>
          <w:rFonts w:ascii="Times New Roman" w:hAnsi="Times New Roman" w:cs="Times New Roman"/>
          <w:sz w:val="24"/>
          <w:szCs w:val="24"/>
        </w:rPr>
        <w:t>to as UN Convention)</w:t>
      </w:r>
      <w:r w:rsidRPr="006249CB">
        <w:rPr>
          <w:rFonts w:ascii="Times New Roman" w:hAnsi="Times New Roman" w:cs="Times New Roman"/>
          <w:sz w:val="24"/>
          <w:szCs w:val="24"/>
        </w:rPr>
        <w:t xml:space="preserve">, defines mercenaries as- </w:t>
      </w:r>
    </w:p>
    <w:p w14:paraId="4EAE7DE5"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“Article 1 sets out the critical definition of a mercenary, who may be of either of two types. The first is any person who:</w:t>
      </w:r>
    </w:p>
    <w:p w14:paraId="1720A7AA"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 Is specially recruited locally or abroad in order to fight in an armed conflict;</w:t>
      </w:r>
    </w:p>
    <w:p w14:paraId="5ACCE6B2"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(b) Is motivated to take part in the hostilities essentially by the desire for private gain and, in fact, is promised, by or on behalf of a party to the conflict, material compensation substantially in excess of that promised or paid to combatants of similar rank and functions in the armed forces of that party;</w:t>
      </w:r>
    </w:p>
    <w:p w14:paraId="01BB0E83"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lastRenderedPageBreak/>
        <w:t>(c) Is neither a national of a party to the conflict nor a resident of territory controlled by a party to the conflict;</w:t>
      </w:r>
    </w:p>
    <w:p w14:paraId="002874E3"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(d) Is not a member of the armed forces of a party to the conflict; and</w:t>
      </w:r>
    </w:p>
    <w:p w14:paraId="2B18CBE9"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(e) Has not been sent by a State which is not a party to the conflict on official duty as a member of its armed forces.</w:t>
      </w:r>
    </w:p>
    <w:p w14:paraId="715370E5"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Article 1. 2. extends that definition to include a person who:</w:t>
      </w:r>
    </w:p>
    <w:p w14:paraId="291EE72C"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 Is specially recruited locally or abroad for the purpose of participating in a concerted act of violence aimed at:</w:t>
      </w:r>
    </w:p>
    <w:p w14:paraId="21973EB4"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w:t>
      </w:r>
      <w:proofErr w:type="spellStart"/>
      <w:r w:rsidRPr="006249CB">
        <w:rPr>
          <w:rFonts w:ascii="Times New Roman" w:hAnsi="Times New Roman" w:cs="Times New Roman"/>
          <w:sz w:val="24"/>
          <w:szCs w:val="24"/>
        </w:rPr>
        <w:t>i</w:t>
      </w:r>
      <w:proofErr w:type="spellEnd"/>
      <w:r w:rsidRPr="006249CB">
        <w:rPr>
          <w:rFonts w:ascii="Times New Roman" w:hAnsi="Times New Roman" w:cs="Times New Roman"/>
          <w:sz w:val="24"/>
          <w:szCs w:val="24"/>
        </w:rPr>
        <w:t xml:space="preserve">) Overthrowing a </w:t>
      </w:r>
      <w:proofErr w:type="gramStart"/>
      <w:r w:rsidRPr="006249CB">
        <w:rPr>
          <w:rFonts w:ascii="Times New Roman" w:hAnsi="Times New Roman" w:cs="Times New Roman"/>
          <w:sz w:val="24"/>
          <w:szCs w:val="24"/>
        </w:rPr>
        <w:t>Government</w:t>
      </w:r>
      <w:proofErr w:type="gramEnd"/>
      <w:r w:rsidRPr="006249CB">
        <w:rPr>
          <w:rFonts w:ascii="Times New Roman" w:hAnsi="Times New Roman" w:cs="Times New Roman"/>
          <w:sz w:val="24"/>
          <w:szCs w:val="24"/>
        </w:rPr>
        <w:t xml:space="preserve"> or otherwise undermining the constitutional order of a State; or</w:t>
      </w:r>
    </w:p>
    <w:p w14:paraId="424D5050"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(ii) Undermining the territorial integrity of a State;</w:t>
      </w:r>
    </w:p>
    <w:p w14:paraId="2B0EED7F"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(b) Is motivated to take part therein essentially by the desire for significant private gain and is prompted by the promise or payment of material compensation;</w:t>
      </w:r>
    </w:p>
    <w:p w14:paraId="76B9F235"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(c) Is neither a national nor a resident of the state against which such an act is directed;</w:t>
      </w:r>
    </w:p>
    <w:p w14:paraId="568DC99F"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(d) Has not been sent by a State on official duty; and</w:t>
      </w:r>
    </w:p>
    <w:p w14:paraId="187CC808"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(e) Is not a member of the armed forces of the state on whose territory the act is undertaken.”</w:t>
      </w:r>
    </w:p>
    <w:p w14:paraId="0612AAA2" w14:textId="6F8EECC6"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PMCs are able to avoid the tag of a mercenary under the specific definition of mercenaries as given under Article 47 of the First Additional Protocol of 1997 to the Geneva Convention and the UN Convention</w:t>
      </w:r>
      <w:r w:rsidR="007000A1">
        <w:rPr>
          <w:rStyle w:val="FootnoteReference"/>
          <w:rFonts w:ascii="Times New Roman" w:hAnsi="Times New Roman" w:cs="Times New Roman"/>
          <w:sz w:val="24"/>
          <w:szCs w:val="24"/>
        </w:rPr>
        <w:footnoteReference w:id="5"/>
      </w:r>
      <w:r w:rsidRPr="006249CB">
        <w:rPr>
          <w:rFonts w:ascii="Times New Roman" w:hAnsi="Times New Roman" w:cs="Times New Roman"/>
          <w:sz w:val="24"/>
          <w:szCs w:val="24"/>
        </w:rPr>
        <w:t>, which is the first legal document to include a precise definition of mercenaries because of the impracticability to prove someone’s motivation to participate in such activities</w:t>
      </w:r>
      <w:r w:rsidR="00926B9B">
        <w:rPr>
          <w:rStyle w:val="FootnoteReference"/>
          <w:rFonts w:ascii="Times New Roman" w:hAnsi="Times New Roman" w:cs="Times New Roman"/>
          <w:sz w:val="24"/>
          <w:szCs w:val="24"/>
        </w:rPr>
        <w:footnoteReference w:id="6"/>
      </w:r>
      <w:r w:rsidRPr="006249CB">
        <w:rPr>
          <w:rFonts w:ascii="Times New Roman" w:hAnsi="Times New Roman" w:cs="Times New Roman"/>
          <w:sz w:val="24"/>
          <w:szCs w:val="24"/>
        </w:rPr>
        <w:t xml:space="preserve">. Without this knowledge, it becomes impossible to refer to someone as a mercenary. It has an additional requirement of proving if a person is materially compensated for his actions. Even though this definition is accepted as an </w:t>
      </w:r>
      <w:proofErr w:type="spellStart"/>
      <w:r w:rsidRPr="006249CB">
        <w:rPr>
          <w:rFonts w:ascii="Times New Roman" w:hAnsi="Times New Roman" w:cs="Times New Roman"/>
          <w:sz w:val="24"/>
          <w:szCs w:val="24"/>
        </w:rPr>
        <w:t>ius</w:t>
      </w:r>
      <w:proofErr w:type="spellEnd"/>
      <w:r w:rsidRPr="006249CB">
        <w:rPr>
          <w:rFonts w:ascii="Times New Roman" w:hAnsi="Times New Roman" w:cs="Times New Roman"/>
          <w:sz w:val="24"/>
          <w:szCs w:val="24"/>
        </w:rPr>
        <w:t xml:space="preserve"> cogens norm, which means a compelling law, the limitation of it being a narrow and more or less inflexible definition has rendered the implementation unsuccessful. </w:t>
      </w:r>
    </w:p>
    <w:p w14:paraId="1528C685"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lastRenderedPageBreak/>
        <w:t xml:space="preserve">Moving on to how exactly is a Private Military Company different from Mercenaries? Both </w:t>
      </w:r>
      <w:proofErr w:type="gramStart"/>
      <w:r w:rsidRPr="006249CB">
        <w:rPr>
          <w:rFonts w:ascii="Times New Roman" w:hAnsi="Times New Roman" w:cs="Times New Roman"/>
          <w:sz w:val="24"/>
          <w:szCs w:val="24"/>
        </w:rPr>
        <w:t>work</w:t>
      </w:r>
      <w:proofErr w:type="gramEnd"/>
      <w:r w:rsidRPr="006249CB">
        <w:rPr>
          <w:rFonts w:ascii="Times New Roman" w:hAnsi="Times New Roman" w:cs="Times New Roman"/>
          <w:sz w:val="24"/>
          <w:szCs w:val="24"/>
        </w:rPr>
        <w:t xml:space="preserve"> primarily for monetary gains, but mercenaries are individual soldiers who, the majority of the time, are themselves former Spec Ops. In contrast, a PMC is a company that hires and recruits these people. Mercenaries do not have any relationship with a company or the government. However, a private military company registered with the competent authority of the country they are based out of. The biggest difference is the access to weapons and military equipment like tanks, helicopters, etc. Mercenaries are generally hired for frontline combat, whereas PMCs are used for multiple purposes like security, intelligence gathering, combat, etc.</w:t>
      </w:r>
    </w:p>
    <w:p w14:paraId="5854A299" w14:textId="77777777" w:rsidR="001B293F" w:rsidRPr="001B293F" w:rsidRDefault="001B293F" w:rsidP="00926B9B">
      <w:pPr>
        <w:spacing w:line="360" w:lineRule="auto"/>
        <w:rPr>
          <w:rFonts w:ascii="Times New Roman" w:hAnsi="Times New Roman" w:cs="Times New Roman"/>
          <w:b/>
          <w:bCs/>
          <w:sz w:val="24"/>
          <w:szCs w:val="24"/>
        </w:rPr>
      </w:pPr>
      <w:r w:rsidRPr="001B293F">
        <w:rPr>
          <w:rFonts w:ascii="Times New Roman" w:hAnsi="Times New Roman" w:cs="Times New Roman"/>
          <w:b/>
          <w:bCs/>
          <w:sz w:val="24"/>
          <w:szCs w:val="24"/>
        </w:rPr>
        <w:t xml:space="preserve">STATE LIABILITY </w:t>
      </w:r>
    </w:p>
    <w:p w14:paraId="41EEAFF5" w14:textId="443BDCC1"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In contrast to the other international laws, we have the OAU Convention for the Elimination of Mercenarism in Africa</w:t>
      </w:r>
      <w:r w:rsidR="00DF3778">
        <w:rPr>
          <w:rStyle w:val="FootnoteReference"/>
          <w:rFonts w:ascii="Times New Roman" w:hAnsi="Times New Roman" w:cs="Times New Roman"/>
          <w:sz w:val="24"/>
          <w:szCs w:val="24"/>
        </w:rPr>
        <w:footnoteReference w:id="7"/>
      </w:r>
      <w:r w:rsidRPr="006249CB">
        <w:rPr>
          <w:rFonts w:ascii="Times New Roman" w:hAnsi="Times New Roman" w:cs="Times New Roman"/>
          <w:sz w:val="24"/>
          <w:szCs w:val="24"/>
        </w:rPr>
        <w:t>, which defines a mercenary, its status, and the crime of mercenarism. It further obligates the contracting States to make this an offense, as mentioned in Article 1, punishable by the severest penalties under its laws, possibly including capital punishment. Unfortunately, this definition also suffers from the problem as the Additional Protocol I but to a lesser extent.</w:t>
      </w:r>
    </w:p>
    <w:p w14:paraId="7CE124D0" w14:textId="77777777"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 xml:space="preserve">Generally, looking at the international laws governing PMCs and mercenaries, these laws prohibit the use of mercenaries in armed conflict and certain peaceful situations. The law on armed conflict does not address the legality of mercenaries or their liability; rather, it defines who a mercenary is and the implications in the event of their capture. </w:t>
      </w:r>
    </w:p>
    <w:p w14:paraId="644E4575" w14:textId="026A917E"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Reading General Comment 31, Para 8 by the Human Rights Committee</w:t>
      </w:r>
      <w:r w:rsidR="00121B9C">
        <w:rPr>
          <w:rStyle w:val="FootnoteReference"/>
          <w:rFonts w:ascii="Times New Roman" w:hAnsi="Times New Roman" w:cs="Times New Roman"/>
          <w:sz w:val="24"/>
          <w:szCs w:val="24"/>
        </w:rPr>
        <w:footnoteReference w:id="8"/>
      </w:r>
      <w:r w:rsidRPr="006249CB">
        <w:rPr>
          <w:rFonts w:ascii="Times New Roman" w:hAnsi="Times New Roman" w:cs="Times New Roman"/>
          <w:sz w:val="24"/>
          <w:szCs w:val="24"/>
        </w:rPr>
        <w:t>, we see it speaks about Article 2, Para 1 on how State Parties would violate covenant’s rights by failing to take appropriate measures to prevent, punish, investigate, or redress the harm caused by such acts by private persons or entities. In the 23rd session, 1751st plenary meeting on 20th December 1968, the General Assembly Resolution 2465</w:t>
      </w:r>
      <w:r w:rsidR="00D2096E">
        <w:rPr>
          <w:rStyle w:val="FootnoteReference"/>
          <w:rFonts w:ascii="Times New Roman" w:hAnsi="Times New Roman" w:cs="Times New Roman"/>
          <w:sz w:val="24"/>
          <w:szCs w:val="24"/>
        </w:rPr>
        <w:footnoteReference w:id="9"/>
      </w:r>
      <w:r w:rsidRPr="006249CB">
        <w:rPr>
          <w:rFonts w:ascii="Times New Roman" w:hAnsi="Times New Roman" w:cs="Times New Roman"/>
          <w:sz w:val="24"/>
          <w:szCs w:val="24"/>
        </w:rPr>
        <w:t xml:space="preserve"> declares that the practice of using mercenaries </w:t>
      </w:r>
      <w:r w:rsidRPr="006249CB">
        <w:rPr>
          <w:rFonts w:ascii="Times New Roman" w:hAnsi="Times New Roman" w:cs="Times New Roman"/>
          <w:sz w:val="24"/>
          <w:szCs w:val="24"/>
        </w:rPr>
        <w:lastRenderedPageBreak/>
        <w:t>against movements for national liberation and independence is punishable as a criminal act, and these persons are outlaws. It also calls upon the Governments to enact legislation that declares mercenaries’ recruitment, financing, and training to be punishable and prohibits their nationals from serving as those mercenaries.</w:t>
      </w:r>
    </w:p>
    <w:p w14:paraId="29CB8A1F" w14:textId="3D8B5730"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Article 4 of the Convention (V) respecting the Rights and Duties of Neutral Powers and Persons in Case of War on Land, 1907</w:t>
      </w:r>
      <w:r w:rsidR="00E76000">
        <w:rPr>
          <w:rStyle w:val="FootnoteReference"/>
          <w:rFonts w:ascii="Times New Roman" w:hAnsi="Times New Roman" w:cs="Times New Roman"/>
          <w:sz w:val="24"/>
          <w:szCs w:val="24"/>
        </w:rPr>
        <w:footnoteReference w:id="10"/>
      </w:r>
      <w:r w:rsidRPr="006249CB">
        <w:rPr>
          <w:rFonts w:ascii="Times New Roman" w:hAnsi="Times New Roman" w:cs="Times New Roman"/>
          <w:sz w:val="24"/>
          <w:szCs w:val="24"/>
        </w:rPr>
        <w:t xml:space="preserve">, binds the neutral powers to prevent corps of combatants from forming or recruiting agencies on their territory to assist the belligerents. Failing to do so will violate their obligations under the law. </w:t>
      </w:r>
    </w:p>
    <w:p w14:paraId="007EA154" w14:textId="3C59F2D2" w:rsidR="001B293F" w:rsidRPr="006249CB" w:rsidRDefault="001B293F" w:rsidP="00926B9B">
      <w:pPr>
        <w:spacing w:line="360" w:lineRule="auto"/>
        <w:rPr>
          <w:rFonts w:ascii="Times New Roman" w:hAnsi="Times New Roman" w:cs="Times New Roman"/>
          <w:sz w:val="24"/>
          <w:szCs w:val="24"/>
        </w:rPr>
      </w:pPr>
      <w:r w:rsidRPr="006249CB">
        <w:rPr>
          <w:rFonts w:ascii="Times New Roman" w:hAnsi="Times New Roman" w:cs="Times New Roman"/>
          <w:sz w:val="24"/>
          <w:szCs w:val="24"/>
        </w:rPr>
        <w:t>Article 2, Para 4 of the Charter of the United Nations</w:t>
      </w:r>
      <w:r w:rsidR="00154F9F">
        <w:rPr>
          <w:rStyle w:val="FootnoteReference"/>
          <w:rFonts w:ascii="Times New Roman" w:hAnsi="Times New Roman" w:cs="Times New Roman"/>
          <w:sz w:val="24"/>
          <w:szCs w:val="24"/>
        </w:rPr>
        <w:footnoteReference w:id="11"/>
      </w:r>
      <w:r w:rsidRPr="006249CB">
        <w:rPr>
          <w:rFonts w:ascii="Times New Roman" w:hAnsi="Times New Roman" w:cs="Times New Roman"/>
          <w:sz w:val="24"/>
          <w:szCs w:val="24"/>
        </w:rPr>
        <w:t xml:space="preserve"> stipulates that all member states shall refrain from threatening or using any force against the territorial integrity or political independence of any other state or in any other manner. Other than situations of </w:t>
      </w:r>
      <w:proofErr w:type="spellStart"/>
      <w:r w:rsidRPr="006249CB">
        <w:rPr>
          <w:rFonts w:ascii="Times New Roman" w:hAnsi="Times New Roman" w:cs="Times New Roman"/>
          <w:sz w:val="24"/>
          <w:szCs w:val="24"/>
        </w:rPr>
        <w:t>self-defense</w:t>
      </w:r>
      <w:proofErr w:type="spellEnd"/>
      <w:r w:rsidRPr="006249CB">
        <w:rPr>
          <w:rFonts w:ascii="Times New Roman" w:hAnsi="Times New Roman" w:cs="Times New Roman"/>
          <w:sz w:val="24"/>
          <w:szCs w:val="24"/>
        </w:rPr>
        <w:t xml:space="preserve"> and enforcement measures sanctioned by the Security Council, which means that using mercenaries against another state also comes within the scope of this prohibition. </w:t>
      </w:r>
    </w:p>
    <w:p w14:paraId="14FFD3BB" w14:textId="5EDD87C0" w:rsidR="001B293F" w:rsidRPr="001B293F" w:rsidRDefault="001B293F" w:rsidP="00926B9B">
      <w:pPr>
        <w:spacing w:line="360" w:lineRule="auto"/>
        <w:rPr>
          <w:rFonts w:ascii="Times New Roman" w:hAnsi="Times New Roman" w:cs="Times New Roman"/>
          <w:b/>
          <w:bCs/>
          <w:sz w:val="24"/>
          <w:szCs w:val="24"/>
        </w:rPr>
      </w:pPr>
      <w:r w:rsidRPr="006249CB">
        <w:rPr>
          <w:rFonts w:ascii="Times New Roman" w:hAnsi="Times New Roman" w:cs="Times New Roman"/>
          <w:sz w:val="24"/>
          <w:szCs w:val="24"/>
        </w:rPr>
        <w:t>Under International Humanitarian Law</w:t>
      </w:r>
      <w:r w:rsidR="00385462">
        <w:rPr>
          <w:rStyle w:val="FootnoteReference"/>
          <w:rFonts w:ascii="Times New Roman" w:hAnsi="Times New Roman" w:cs="Times New Roman"/>
          <w:sz w:val="24"/>
          <w:szCs w:val="24"/>
        </w:rPr>
        <w:footnoteReference w:id="12"/>
      </w:r>
      <w:r w:rsidRPr="006249CB">
        <w:rPr>
          <w:rFonts w:ascii="Times New Roman" w:hAnsi="Times New Roman" w:cs="Times New Roman"/>
          <w:sz w:val="24"/>
          <w:szCs w:val="24"/>
        </w:rPr>
        <w:t>, mercenaries are civilians who are not entitled to take any direct part in hostilities and, in doing so, may even invite criminal prosecution. If arrested, these mercenaries are not entitled to the status of prisoners of war but must be treated humanely. The UN Convention</w:t>
      </w:r>
      <w:r w:rsidR="00237DFA">
        <w:rPr>
          <w:rStyle w:val="FootnoteReference"/>
          <w:rFonts w:ascii="Times New Roman" w:hAnsi="Times New Roman" w:cs="Times New Roman"/>
          <w:sz w:val="24"/>
          <w:szCs w:val="24"/>
        </w:rPr>
        <w:footnoteReference w:id="13"/>
      </w:r>
      <w:r w:rsidRPr="006249CB">
        <w:rPr>
          <w:rFonts w:ascii="Times New Roman" w:hAnsi="Times New Roman" w:cs="Times New Roman"/>
          <w:sz w:val="24"/>
          <w:szCs w:val="24"/>
        </w:rPr>
        <w:t>, in its definition of a mercenary, mentions the intention of overthrowing a legitimate government. This definition naturally excluded most of the PMCs that are currently working on the international level.</w:t>
      </w:r>
      <w:r w:rsidRPr="001B293F">
        <w:rPr>
          <w:rFonts w:ascii="Times New Roman" w:hAnsi="Times New Roman" w:cs="Times New Roman"/>
          <w:b/>
          <w:bCs/>
          <w:sz w:val="24"/>
          <w:szCs w:val="24"/>
        </w:rPr>
        <w:t xml:space="preserve"> </w:t>
      </w:r>
    </w:p>
    <w:p w14:paraId="356A79F6" w14:textId="77777777" w:rsidR="001B293F" w:rsidRPr="001B293F" w:rsidRDefault="001B293F" w:rsidP="00926B9B">
      <w:pPr>
        <w:spacing w:line="360" w:lineRule="auto"/>
        <w:rPr>
          <w:rFonts w:ascii="Times New Roman" w:hAnsi="Times New Roman" w:cs="Times New Roman"/>
          <w:b/>
          <w:bCs/>
          <w:sz w:val="24"/>
          <w:szCs w:val="24"/>
        </w:rPr>
      </w:pPr>
      <w:r w:rsidRPr="001B293F">
        <w:rPr>
          <w:rFonts w:ascii="Times New Roman" w:hAnsi="Times New Roman" w:cs="Times New Roman"/>
          <w:b/>
          <w:bCs/>
          <w:sz w:val="24"/>
          <w:szCs w:val="24"/>
        </w:rPr>
        <w:t>STATUS OF PMCs AND MERCENARIES IN INDIA</w:t>
      </w:r>
    </w:p>
    <w:p w14:paraId="50D5AD38" w14:textId="7B5D062A" w:rsidR="001B293F" w:rsidRPr="005E1FCF" w:rsidRDefault="001B293F" w:rsidP="00926B9B">
      <w:pPr>
        <w:spacing w:line="360" w:lineRule="auto"/>
        <w:rPr>
          <w:rFonts w:ascii="Times New Roman" w:hAnsi="Times New Roman" w:cs="Times New Roman"/>
          <w:sz w:val="24"/>
          <w:szCs w:val="24"/>
        </w:rPr>
      </w:pPr>
      <w:r w:rsidRPr="005E1FCF">
        <w:rPr>
          <w:rFonts w:ascii="Times New Roman" w:hAnsi="Times New Roman" w:cs="Times New Roman"/>
          <w:sz w:val="24"/>
          <w:szCs w:val="24"/>
        </w:rPr>
        <w:t xml:space="preserve">In India, there are no private military companies; similarly, we do not have any laws governing such entities. Rather, we have similarly structured bodies forming, for example, </w:t>
      </w:r>
      <w:r w:rsidRPr="005E1FCF">
        <w:rPr>
          <w:rFonts w:ascii="Times New Roman" w:hAnsi="Times New Roman" w:cs="Times New Roman"/>
          <w:sz w:val="24"/>
          <w:szCs w:val="24"/>
        </w:rPr>
        <w:lastRenderedPageBreak/>
        <w:t xml:space="preserve">with the government’s recent introduction of the </w:t>
      </w:r>
      <w:proofErr w:type="spellStart"/>
      <w:r w:rsidRPr="005E1FCF">
        <w:rPr>
          <w:rFonts w:ascii="Times New Roman" w:hAnsi="Times New Roman" w:cs="Times New Roman"/>
          <w:sz w:val="24"/>
          <w:szCs w:val="24"/>
        </w:rPr>
        <w:t>Agnipath</w:t>
      </w:r>
      <w:proofErr w:type="spellEnd"/>
      <w:r w:rsidRPr="005E1FCF">
        <w:rPr>
          <w:rFonts w:ascii="Times New Roman" w:hAnsi="Times New Roman" w:cs="Times New Roman"/>
          <w:sz w:val="24"/>
          <w:szCs w:val="24"/>
        </w:rPr>
        <w:t xml:space="preserve"> Scheme</w:t>
      </w:r>
      <w:r w:rsidR="00532CAF">
        <w:rPr>
          <w:rStyle w:val="FootnoteReference"/>
          <w:rFonts w:ascii="Times New Roman" w:hAnsi="Times New Roman" w:cs="Times New Roman"/>
          <w:sz w:val="24"/>
          <w:szCs w:val="24"/>
        </w:rPr>
        <w:footnoteReference w:id="14"/>
      </w:r>
      <w:r w:rsidRPr="005E1FCF">
        <w:rPr>
          <w:rFonts w:ascii="Times New Roman" w:hAnsi="Times New Roman" w:cs="Times New Roman"/>
          <w:sz w:val="24"/>
          <w:szCs w:val="24"/>
        </w:rPr>
        <w:t xml:space="preserve">. This scheme essentially entails deploying a younger and fitter troop of soldiers on the front lines; many of them would be on a four-year contract. There would be 46,000 hired </w:t>
      </w:r>
      <w:proofErr w:type="spellStart"/>
      <w:r w:rsidRPr="005E1FCF">
        <w:rPr>
          <w:rFonts w:ascii="Times New Roman" w:hAnsi="Times New Roman" w:cs="Times New Roman"/>
          <w:sz w:val="24"/>
          <w:szCs w:val="24"/>
        </w:rPr>
        <w:t>Agniveers</w:t>
      </w:r>
      <w:proofErr w:type="spellEnd"/>
      <w:r w:rsidRPr="005E1FCF">
        <w:rPr>
          <w:rFonts w:ascii="Times New Roman" w:hAnsi="Times New Roman" w:cs="Times New Roman"/>
          <w:sz w:val="24"/>
          <w:szCs w:val="24"/>
        </w:rPr>
        <w:t xml:space="preserve">. After the end of their contract, these well-trained, experienced professionals would now enter the market to be hired as mercenaries or recruited by PMCs possibly. Instead of all the benefits a retired army personnel gets, these </w:t>
      </w:r>
      <w:proofErr w:type="spellStart"/>
      <w:r w:rsidRPr="005E1FCF">
        <w:rPr>
          <w:rFonts w:ascii="Times New Roman" w:hAnsi="Times New Roman" w:cs="Times New Roman"/>
          <w:sz w:val="24"/>
          <w:szCs w:val="24"/>
        </w:rPr>
        <w:t>Agniveers</w:t>
      </w:r>
      <w:proofErr w:type="spellEnd"/>
      <w:r w:rsidRPr="005E1FCF">
        <w:rPr>
          <w:rFonts w:ascii="Times New Roman" w:hAnsi="Times New Roman" w:cs="Times New Roman"/>
          <w:sz w:val="24"/>
          <w:szCs w:val="24"/>
        </w:rPr>
        <w:t xml:space="preserve"> will be left with no job security and no pension to live on. With almost a lakh of such trained professionals leaving our forces every year, there should be complementary policies and schemes to reabsorb them in second careers to prevent them from going private and, in a rare possibility, being in the position to act against their own country. India is also not a signatory to the International Convention against the Recruitment, Use, Financing, and Training of Mercenaries, 1989, just like other superpowers such as the United States of America, the United Kingdom, and Russia.  </w:t>
      </w:r>
    </w:p>
    <w:p w14:paraId="30630D38" w14:textId="77777777" w:rsidR="001B293F" w:rsidRPr="001B293F" w:rsidRDefault="001B293F" w:rsidP="00926B9B">
      <w:pPr>
        <w:spacing w:line="360" w:lineRule="auto"/>
        <w:rPr>
          <w:rFonts w:ascii="Times New Roman" w:hAnsi="Times New Roman" w:cs="Times New Roman"/>
          <w:b/>
          <w:bCs/>
          <w:sz w:val="24"/>
          <w:szCs w:val="24"/>
        </w:rPr>
      </w:pPr>
      <w:r w:rsidRPr="001B293F">
        <w:rPr>
          <w:rFonts w:ascii="Times New Roman" w:hAnsi="Times New Roman" w:cs="Times New Roman"/>
          <w:b/>
          <w:bCs/>
          <w:sz w:val="24"/>
          <w:szCs w:val="24"/>
        </w:rPr>
        <w:t>WAY FORWARD</w:t>
      </w:r>
    </w:p>
    <w:p w14:paraId="62FEE8F2" w14:textId="21439125" w:rsidR="001B293F" w:rsidRPr="0006329A" w:rsidRDefault="001B293F" w:rsidP="00926B9B">
      <w:pPr>
        <w:spacing w:line="360" w:lineRule="auto"/>
        <w:rPr>
          <w:rFonts w:ascii="Times New Roman" w:hAnsi="Times New Roman" w:cs="Times New Roman"/>
          <w:sz w:val="24"/>
          <w:szCs w:val="24"/>
        </w:rPr>
      </w:pPr>
      <w:r w:rsidRPr="0006329A">
        <w:rPr>
          <w:rFonts w:ascii="Times New Roman" w:hAnsi="Times New Roman" w:cs="Times New Roman"/>
          <w:sz w:val="24"/>
          <w:szCs w:val="24"/>
        </w:rPr>
        <w:t>The Montreux Document</w:t>
      </w:r>
      <w:r w:rsidR="00C046F6">
        <w:rPr>
          <w:rStyle w:val="FootnoteReference"/>
          <w:rFonts w:ascii="Times New Roman" w:hAnsi="Times New Roman" w:cs="Times New Roman"/>
          <w:sz w:val="24"/>
          <w:szCs w:val="24"/>
        </w:rPr>
        <w:footnoteReference w:id="15"/>
      </w:r>
      <w:r w:rsidRPr="0006329A">
        <w:rPr>
          <w:rFonts w:ascii="Times New Roman" w:hAnsi="Times New Roman" w:cs="Times New Roman"/>
          <w:sz w:val="24"/>
          <w:szCs w:val="24"/>
        </w:rPr>
        <w:t xml:space="preserve"> is the only document that also defines PMCs. It talks about Superior Responsibility where superiors of PMCs, who could be government officials, whether military commanders or civilians, may be made liable for crimes under international law committed by the PMCs personnel under their effective authority or control as a result of their failure to exercise control over them as per rules of international law. It also suggests that the territorial state consider establishing corporate criminal liability for crimes committed by Private Military Companies consistent with their national legal system. It is important to remember that this document is not legally binding and implies no obligation.</w:t>
      </w:r>
    </w:p>
    <w:p w14:paraId="683B7051" w14:textId="2C111144" w:rsidR="001B293F" w:rsidRPr="0006329A" w:rsidRDefault="001B293F" w:rsidP="00926B9B">
      <w:pPr>
        <w:spacing w:line="360" w:lineRule="auto"/>
        <w:rPr>
          <w:rFonts w:ascii="Times New Roman" w:hAnsi="Times New Roman" w:cs="Times New Roman"/>
          <w:sz w:val="24"/>
          <w:szCs w:val="24"/>
        </w:rPr>
      </w:pPr>
      <w:r w:rsidRPr="0006329A">
        <w:rPr>
          <w:rFonts w:ascii="Times New Roman" w:hAnsi="Times New Roman" w:cs="Times New Roman"/>
          <w:sz w:val="24"/>
          <w:szCs w:val="24"/>
        </w:rPr>
        <w:t>The International Code of Conduct Association (</w:t>
      </w:r>
      <w:proofErr w:type="spellStart"/>
      <w:r w:rsidRPr="0006329A">
        <w:rPr>
          <w:rFonts w:ascii="Times New Roman" w:hAnsi="Times New Roman" w:cs="Times New Roman"/>
          <w:sz w:val="24"/>
          <w:szCs w:val="24"/>
        </w:rPr>
        <w:t>ICoCA</w:t>
      </w:r>
      <w:proofErr w:type="spellEnd"/>
      <w:r w:rsidRPr="0006329A">
        <w:rPr>
          <w:rFonts w:ascii="Times New Roman" w:hAnsi="Times New Roman" w:cs="Times New Roman"/>
          <w:sz w:val="24"/>
          <w:szCs w:val="24"/>
        </w:rPr>
        <w:t>)</w:t>
      </w:r>
      <w:r w:rsidR="00F90A81">
        <w:rPr>
          <w:rStyle w:val="FootnoteReference"/>
          <w:rFonts w:ascii="Times New Roman" w:hAnsi="Times New Roman" w:cs="Times New Roman"/>
          <w:sz w:val="24"/>
          <w:szCs w:val="24"/>
        </w:rPr>
        <w:footnoteReference w:id="16"/>
      </w:r>
      <w:r w:rsidRPr="0006329A">
        <w:rPr>
          <w:rFonts w:ascii="Times New Roman" w:hAnsi="Times New Roman" w:cs="Times New Roman"/>
          <w:sz w:val="24"/>
          <w:szCs w:val="24"/>
        </w:rPr>
        <w:t xml:space="preserve">, a Swiss initiative, is a non-profit multi-stakeholder initiative established in 2013 that ensures that providers of private security services respect human rights and international humanitarian law. This initiative has further developed industry standards for these entities to comply with. </w:t>
      </w:r>
    </w:p>
    <w:p w14:paraId="4B50BC8D" w14:textId="77777777" w:rsidR="001B293F" w:rsidRPr="0006329A" w:rsidRDefault="001B293F" w:rsidP="00926B9B">
      <w:pPr>
        <w:spacing w:line="360" w:lineRule="auto"/>
        <w:rPr>
          <w:rFonts w:ascii="Times New Roman" w:hAnsi="Times New Roman" w:cs="Times New Roman"/>
          <w:sz w:val="24"/>
          <w:szCs w:val="24"/>
        </w:rPr>
      </w:pPr>
      <w:r w:rsidRPr="0006329A">
        <w:rPr>
          <w:rFonts w:ascii="Times New Roman" w:hAnsi="Times New Roman" w:cs="Times New Roman"/>
          <w:sz w:val="24"/>
          <w:szCs w:val="24"/>
        </w:rPr>
        <w:t xml:space="preserve">Frighteningly, in this day and age, anyone who has money, be it a state or a private individual, can hire a military to do whatever they want—anything ranging from starting </w:t>
      </w:r>
      <w:r w:rsidRPr="0006329A">
        <w:rPr>
          <w:rFonts w:ascii="Times New Roman" w:hAnsi="Times New Roman" w:cs="Times New Roman"/>
          <w:sz w:val="24"/>
          <w:szCs w:val="24"/>
        </w:rPr>
        <w:lastRenderedPageBreak/>
        <w:t>wars, ending them, murdering communities, or simply wreaking havoc. The growing influence and power of the elite 1% is a problem of growing importance. Something like war has increasingly become marketized that a supply of mercenaries ready to combat can attract a new demand on its own. The diminished involvement of the superpowers in the international realm and the simultaneous privatization and restructuring of the armed forces have created the supply that demand from the deregulation of the global market has met.</w:t>
      </w:r>
    </w:p>
    <w:p w14:paraId="735E40FD" w14:textId="6DBCE2E9" w:rsidR="001B293F" w:rsidRPr="0006329A" w:rsidRDefault="001B293F" w:rsidP="00926B9B">
      <w:pPr>
        <w:spacing w:line="360" w:lineRule="auto"/>
        <w:rPr>
          <w:rFonts w:ascii="Times New Roman" w:hAnsi="Times New Roman" w:cs="Times New Roman"/>
          <w:sz w:val="24"/>
          <w:szCs w:val="24"/>
        </w:rPr>
      </w:pPr>
      <w:r w:rsidRPr="0006329A">
        <w:rPr>
          <w:rFonts w:ascii="Times New Roman" w:hAnsi="Times New Roman" w:cs="Times New Roman"/>
          <w:sz w:val="24"/>
          <w:szCs w:val="24"/>
        </w:rPr>
        <w:t xml:space="preserve">As for the state’s role in contracting these PMCs, we still have numerous instances showing the same. </w:t>
      </w:r>
      <w:r w:rsidR="00BF610A">
        <w:rPr>
          <w:rFonts w:ascii="Times New Roman" w:hAnsi="Times New Roman" w:cs="Times New Roman"/>
          <w:sz w:val="24"/>
          <w:szCs w:val="24"/>
        </w:rPr>
        <w:t xml:space="preserve">For </w:t>
      </w:r>
      <w:r w:rsidR="00A41A95">
        <w:rPr>
          <w:rFonts w:ascii="Times New Roman" w:hAnsi="Times New Roman" w:cs="Times New Roman"/>
          <w:sz w:val="24"/>
          <w:szCs w:val="24"/>
        </w:rPr>
        <w:t>e</w:t>
      </w:r>
      <w:r w:rsidR="00BF610A">
        <w:rPr>
          <w:rFonts w:ascii="Times New Roman" w:hAnsi="Times New Roman" w:cs="Times New Roman"/>
          <w:sz w:val="24"/>
          <w:szCs w:val="24"/>
        </w:rPr>
        <w:t>xample</w:t>
      </w:r>
      <w:r w:rsidR="007A68C0">
        <w:rPr>
          <w:rFonts w:ascii="Times New Roman" w:hAnsi="Times New Roman" w:cs="Times New Roman"/>
          <w:sz w:val="24"/>
          <w:szCs w:val="24"/>
        </w:rPr>
        <w:t>,</w:t>
      </w:r>
      <w:r w:rsidRPr="0006329A">
        <w:rPr>
          <w:rFonts w:ascii="Times New Roman" w:hAnsi="Times New Roman" w:cs="Times New Roman"/>
          <w:sz w:val="24"/>
          <w:szCs w:val="24"/>
        </w:rPr>
        <w:t xml:space="preserve"> </w:t>
      </w:r>
      <w:proofErr w:type="spellStart"/>
      <w:r w:rsidRPr="0006329A">
        <w:rPr>
          <w:rFonts w:ascii="Times New Roman" w:hAnsi="Times New Roman" w:cs="Times New Roman"/>
          <w:sz w:val="24"/>
          <w:szCs w:val="24"/>
        </w:rPr>
        <w:t>Sandline</w:t>
      </w:r>
      <w:proofErr w:type="spellEnd"/>
      <w:r w:rsidRPr="0006329A">
        <w:rPr>
          <w:rFonts w:ascii="Times New Roman" w:hAnsi="Times New Roman" w:cs="Times New Roman"/>
          <w:sz w:val="24"/>
          <w:szCs w:val="24"/>
        </w:rPr>
        <w:t xml:space="preserve"> International, a PMC, was involved in the Sierra Leone Civil War and hired by their government to fight against the rebel forces</w:t>
      </w:r>
      <w:r w:rsidR="00F85114">
        <w:rPr>
          <w:rStyle w:val="FootnoteReference"/>
          <w:rFonts w:ascii="Times New Roman" w:hAnsi="Times New Roman" w:cs="Times New Roman"/>
          <w:sz w:val="24"/>
          <w:szCs w:val="24"/>
        </w:rPr>
        <w:footnoteReference w:id="17"/>
      </w:r>
      <w:r w:rsidRPr="0006329A">
        <w:rPr>
          <w:rFonts w:ascii="Times New Roman" w:hAnsi="Times New Roman" w:cs="Times New Roman"/>
          <w:sz w:val="24"/>
          <w:szCs w:val="24"/>
        </w:rPr>
        <w:t>.</w:t>
      </w:r>
    </w:p>
    <w:p w14:paraId="1F10E299" w14:textId="01F02CF7" w:rsidR="00166429" w:rsidRPr="0006329A" w:rsidRDefault="001B293F" w:rsidP="00926B9B">
      <w:pPr>
        <w:spacing w:line="360" w:lineRule="auto"/>
      </w:pPr>
      <w:r w:rsidRPr="0006329A">
        <w:rPr>
          <w:rFonts w:ascii="Times New Roman" w:hAnsi="Times New Roman" w:cs="Times New Roman"/>
          <w:sz w:val="24"/>
          <w:szCs w:val="24"/>
        </w:rPr>
        <w:t>Now more than ever, the need for strict and precise laws restricting the usage of these forces needs to be constructed. The liability on these companies, individuals, and most importantly on the parties hiring them, which may be states or private entities, need to be spelled out in a document where the globe finally comes together. We require a non-exhaustive definition so that companies getting themselves registered as proper businesses cannot escape from responsibility. We need severe norms governing these entities and a way to discourage our soldiers from possibly entering this field and decreasing the number of new entrants in this profession.</w:t>
      </w:r>
    </w:p>
    <w:sectPr w:rsidR="00166429" w:rsidRPr="0006329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264BB" w14:textId="77777777" w:rsidR="00AC13EB" w:rsidRDefault="00AC13EB" w:rsidP="007F7659">
      <w:pPr>
        <w:spacing w:after="0" w:line="240" w:lineRule="auto"/>
      </w:pPr>
      <w:r>
        <w:separator/>
      </w:r>
    </w:p>
  </w:endnote>
  <w:endnote w:type="continuationSeparator" w:id="0">
    <w:p w14:paraId="2C687CC9" w14:textId="77777777" w:rsidR="00AC13EB" w:rsidRDefault="00AC13EB" w:rsidP="007F7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1BC37" w14:textId="77777777" w:rsidR="00AC13EB" w:rsidRDefault="00AC13EB" w:rsidP="007F7659">
      <w:pPr>
        <w:spacing w:after="0" w:line="240" w:lineRule="auto"/>
      </w:pPr>
      <w:r>
        <w:separator/>
      </w:r>
    </w:p>
  </w:footnote>
  <w:footnote w:type="continuationSeparator" w:id="0">
    <w:p w14:paraId="43253BBB" w14:textId="77777777" w:rsidR="00AC13EB" w:rsidRDefault="00AC13EB" w:rsidP="007F7659">
      <w:pPr>
        <w:spacing w:after="0" w:line="240" w:lineRule="auto"/>
      </w:pPr>
      <w:r>
        <w:continuationSeparator/>
      </w:r>
    </w:p>
  </w:footnote>
  <w:footnote w:id="1">
    <w:p w14:paraId="671BFC6D" w14:textId="4844ED57" w:rsidR="00CA59A2" w:rsidRPr="00926B9B" w:rsidRDefault="00CA59A2">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What is Russia’s Wagner Group, and what has happened to its </w:t>
      </w:r>
      <w:proofErr w:type="gramStart"/>
      <w:r w:rsidRPr="00926B9B">
        <w:rPr>
          <w:rFonts w:ascii="Times New Roman" w:hAnsi="Times New Roman" w:cs="Times New Roman"/>
        </w:rPr>
        <w:t>leader?,</w:t>
      </w:r>
      <w:proofErr w:type="gramEnd"/>
      <w:r w:rsidRPr="00926B9B">
        <w:rPr>
          <w:rFonts w:ascii="Times New Roman" w:hAnsi="Times New Roman" w:cs="Times New Roman"/>
        </w:rPr>
        <w:t xml:space="preserve"> BBC News (2023), https://www.bbc.com/news/world-60947877 (last visited Aug 19, 2023). </w:t>
      </w:r>
    </w:p>
  </w:footnote>
  <w:footnote w:id="2">
    <w:p w14:paraId="2CAEE399" w14:textId="1A89937A" w:rsidR="007F7659" w:rsidRPr="00926B9B" w:rsidRDefault="007F7659">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Private military and security companies (PMSCs), Private military and security companies (PMSCs) | How does law protect in war? - Online casebook, https://casebook.icrc.org/a_to_z/glossary/private-military-and-security-companies-pmscs (last visited Aug 12, 2023). </w:t>
      </w:r>
    </w:p>
  </w:footnote>
  <w:footnote w:id="3">
    <w:p w14:paraId="2908DF83" w14:textId="442D3491" w:rsidR="00175A3D" w:rsidRPr="00926B9B" w:rsidRDefault="00175A3D">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The awakening of private military companies, Warsaw Institute (2021), https://warsawinstitute.org/awakening-private-military-companies/ (last visited Aug 13, 2023). </w:t>
      </w:r>
    </w:p>
  </w:footnote>
  <w:footnote w:id="4">
    <w:p w14:paraId="749ADDC4" w14:textId="77777777" w:rsidR="00F32FD7" w:rsidRPr="00926B9B" w:rsidRDefault="000B0403" w:rsidP="00F32FD7">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w:t>
      </w:r>
      <w:r w:rsidR="00F32FD7" w:rsidRPr="00926B9B">
        <w:rPr>
          <w:rFonts w:ascii="Times New Roman" w:hAnsi="Times New Roman" w:cs="Times New Roman"/>
        </w:rPr>
        <w:t xml:space="preserve">International Convention against the Recruitment, Use, Financing and Training of Mercenaries, OHCHR, https://www.ohchr.org/en/instruments-mechanisms/instruments/international-convention-against-recruitment-use-financing-and (last visited Aug 12, 2023). </w:t>
      </w:r>
    </w:p>
    <w:p w14:paraId="4045AFF3" w14:textId="743A9452" w:rsidR="000B0403" w:rsidRPr="00926B9B" w:rsidRDefault="000B0403">
      <w:pPr>
        <w:pStyle w:val="FootnoteText"/>
        <w:rPr>
          <w:rFonts w:ascii="Times New Roman" w:hAnsi="Times New Roman" w:cs="Times New Roman"/>
        </w:rPr>
      </w:pPr>
    </w:p>
  </w:footnote>
  <w:footnote w:id="5">
    <w:p w14:paraId="1B2388F3" w14:textId="6B64ACB3" w:rsidR="007000A1" w:rsidRPr="00926B9B" w:rsidRDefault="007000A1">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w:t>
      </w:r>
      <w:r w:rsidR="00D47FE0" w:rsidRPr="00926B9B">
        <w:rPr>
          <w:rFonts w:ascii="Times New Roman" w:hAnsi="Times New Roman" w:cs="Times New Roman"/>
        </w:rPr>
        <w:t xml:space="preserve">Dan Chapman et al., Holding Private Military Contractors Accountable for Human Rights Violations: The Alien Torts Claims Act and the Quest for Regulation Goucher College, https://blogs.goucher.edu/verge/files/2016/01/Dan_Chapman.pdf (last visited 2023). </w:t>
      </w:r>
    </w:p>
  </w:footnote>
  <w:footnote w:id="6">
    <w:p w14:paraId="591E68BB" w14:textId="05EF1202" w:rsidR="00926B9B" w:rsidRPr="00926B9B" w:rsidRDefault="00926B9B">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Ieva </w:t>
      </w:r>
      <w:proofErr w:type="spellStart"/>
      <w:r w:rsidRPr="00926B9B">
        <w:rPr>
          <w:rFonts w:ascii="Times New Roman" w:hAnsi="Times New Roman" w:cs="Times New Roman"/>
        </w:rPr>
        <w:t>Jankovska</w:t>
      </w:r>
      <w:proofErr w:type="spellEnd"/>
      <w:r w:rsidRPr="00926B9B">
        <w:rPr>
          <w:rFonts w:ascii="Times New Roman" w:hAnsi="Times New Roman" w:cs="Times New Roman"/>
        </w:rPr>
        <w:t xml:space="preserve">, Accountability of mercenaries and private military and security ... </w:t>
      </w:r>
      <w:proofErr w:type="spellStart"/>
      <w:r w:rsidRPr="00926B9B">
        <w:rPr>
          <w:rFonts w:ascii="Times New Roman" w:hAnsi="Times New Roman" w:cs="Times New Roman"/>
        </w:rPr>
        <w:t>Latvijas</w:t>
      </w:r>
      <w:proofErr w:type="spellEnd"/>
      <w:r w:rsidRPr="00926B9B">
        <w:rPr>
          <w:rFonts w:ascii="Times New Roman" w:hAnsi="Times New Roman" w:cs="Times New Roman"/>
        </w:rPr>
        <w:t xml:space="preserve"> </w:t>
      </w:r>
      <w:proofErr w:type="spellStart"/>
      <w:r w:rsidRPr="00926B9B">
        <w:rPr>
          <w:rFonts w:ascii="Times New Roman" w:hAnsi="Times New Roman" w:cs="Times New Roman"/>
        </w:rPr>
        <w:t>Universitate</w:t>
      </w:r>
      <w:proofErr w:type="spellEnd"/>
      <w:r w:rsidRPr="00926B9B">
        <w:rPr>
          <w:rFonts w:ascii="Times New Roman" w:hAnsi="Times New Roman" w:cs="Times New Roman"/>
        </w:rPr>
        <w:t xml:space="preserve">, https://dspace.lu.lv/dspace/bitstream/handle/7/45397/Jankovska_Ieva.pdf?sequence=1 (last visited Aug 14, 2023). </w:t>
      </w:r>
    </w:p>
  </w:footnote>
  <w:footnote w:id="7">
    <w:p w14:paraId="4790BC38" w14:textId="6B519407" w:rsidR="00DF3778" w:rsidRPr="00926B9B" w:rsidRDefault="00DF3778">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OAU Convention for the Elimination of Mercenarism in Africa. Libreville, 3rd July 1977, IHL, https://ihl-databases.icrc.org/en/ihl-treaties/oau-mercenarism-1977#:~:text=The%20African%20Convention%20on%20Mercenarism,since%20the%20beginning%20of%20decolonization. (</w:t>
      </w:r>
      <w:proofErr w:type="gramStart"/>
      <w:r w:rsidRPr="00926B9B">
        <w:rPr>
          <w:rFonts w:ascii="Times New Roman" w:hAnsi="Times New Roman" w:cs="Times New Roman"/>
        </w:rPr>
        <w:t>last</w:t>
      </w:r>
      <w:proofErr w:type="gramEnd"/>
      <w:r w:rsidRPr="00926B9B">
        <w:rPr>
          <w:rFonts w:ascii="Times New Roman" w:hAnsi="Times New Roman" w:cs="Times New Roman"/>
        </w:rPr>
        <w:t xml:space="preserve"> visited Aug 20, 2023). </w:t>
      </w:r>
    </w:p>
  </w:footnote>
  <w:footnote w:id="8">
    <w:p w14:paraId="5419D537" w14:textId="77777777" w:rsidR="00121B9C" w:rsidRPr="00926B9B" w:rsidRDefault="00121B9C" w:rsidP="00121B9C">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Human Rights Committee, General Comment 31, Nature of the General Legal Obligation on States Parties to the Covenant, University of Minnesota Human Rights Library, http://hrlibrary.umn.edu/gencomm/hrcom31.html#:~:text=States%20Parties%20must%20refrain%20from,relevant%20provisions%20of%20the%20Covenant. (</w:t>
      </w:r>
      <w:proofErr w:type="gramStart"/>
      <w:r w:rsidRPr="00926B9B">
        <w:rPr>
          <w:rFonts w:ascii="Times New Roman" w:hAnsi="Times New Roman" w:cs="Times New Roman"/>
        </w:rPr>
        <w:t>last</w:t>
      </w:r>
      <w:proofErr w:type="gramEnd"/>
      <w:r w:rsidRPr="00926B9B">
        <w:rPr>
          <w:rFonts w:ascii="Times New Roman" w:hAnsi="Times New Roman" w:cs="Times New Roman"/>
        </w:rPr>
        <w:t xml:space="preserve"> visited Aug 17, 2023). </w:t>
      </w:r>
    </w:p>
    <w:p w14:paraId="43EACD08" w14:textId="7E157BAA" w:rsidR="00121B9C" w:rsidRPr="00926B9B" w:rsidRDefault="00121B9C">
      <w:pPr>
        <w:pStyle w:val="FootnoteText"/>
        <w:rPr>
          <w:rFonts w:ascii="Times New Roman" w:hAnsi="Times New Roman" w:cs="Times New Roman"/>
        </w:rPr>
      </w:pPr>
    </w:p>
  </w:footnote>
  <w:footnote w:id="9">
    <w:p w14:paraId="4D5C3F40" w14:textId="7EB0465D" w:rsidR="00D2096E" w:rsidRPr="00926B9B" w:rsidRDefault="00D2096E">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Implementation of the declaration on the granting of Independence to colonial countries and peoples., United Nations, https://digitallibrary.un.org/record/202864 (last visited Aug 17, 2023). </w:t>
      </w:r>
    </w:p>
  </w:footnote>
  <w:footnote w:id="10">
    <w:p w14:paraId="259CA202" w14:textId="7936E390" w:rsidR="00E76000" w:rsidRPr="00926B9B" w:rsidRDefault="00E76000">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Convention (V) respecting the Rights and Duties of Neutral Powers and Persons in Case of War on Land. The Hague, 18 October 1907, IHL, https://ihl-databases.icrc.org/en/ihl-treaties/hague-conv-v-1907?activeTab=default (last visited Aug 17, 2023). </w:t>
      </w:r>
    </w:p>
  </w:footnote>
  <w:footnote w:id="11">
    <w:p w14:paraId="61C53648" w14:textId="23BDCC92" w:rsidR="00154F9F" w:rsidRPr="00926B9B" w:rsidRDefault="00154F9F">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Chapter I: Purposes and principles (articles 1-2), United Nations, https://www.un.org/en/about-us/un-charter/chapter-1 (last visited Aug 21, 2023). </w:t>
      </w:r>
    </w:p>
  </w:footnote>
  <w:footnote w:id="12">
    <w:p w14:paraId="73ADB932" w14:textId="5089EB45" w:rsidR="00385462" w:rsidRPr="00926B9B" w:rsidRDefault="00385462">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ISSAfrica.org, Chapter 7 status and obligations of mercenaries and private military/security companies under International Humanitarian Law, Jamie a Williamson ISS Africa, https://issafrica.org/chapter-7-status-and-obligations-of-mercenaries-and-private-militarysecurity-companies-under-international-humanitarian-law-jamie-a-williamson#:~:text=Under%20IHL%2C%20mercenaries%20are%20civilians,so%20may%20invite%20criminal%20prosecution. (</w:t>
      </w:r>
      <w:proofErr w:type="gramStart"/>
      <w:r w:rsidRPr="00926B9B">
        <w:rPr>
          <w:rFonts w:ascii="Times New Roman" w:hAnsi="Times New Roman" w:cs="Times New Roman"/>
        </w:rPr>
        <w:t>last</w:t>
      </w:r>
      <w:proofErr w:type="gramEnd"/>
      <w:r w:rsidRPr="00926B9B">
        <w:rPr>
          <w:rFonts w:ascii="Times New Roman" w:hAnsi="Times New Roman" w:cs="Times New Roman"/>
        </w:rPr>
        <w:t xml:space="preserve"> visited Aug 19, 2023). </w:t>
      </w:r>
    </w:p>
  </w:footnote>
  <w:footnote w:id="13">
    <w:p w14:paraId="6387EB93" w14:textId="1A441715" w:rsidR="00237DFA" w:rsidRPr="00926B9B" w:rsidRDefault="00237DFA">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w:t>
      </w:r>
      <w:r w:rsidRPr="00926B9B">
        <w:rPr>
          <w:rFonts w:ascii="Times New Roman" w:hAnsi="Times New Roman" w:cs="Times New Roman"/>
          <w:i/>
          <w:iCs/>
        </w:rPr>
        <w:t xml:space="preserve">Supra </w:t>
      </w:r>
      <w:r w:rsidRPr="00926B9B">
        <w:rPr>
          <w:rFonts w:ascii="Times New Roman" w:hAnsi="Times New Roman" w:cs="Times New Roman"/>
        </w:rPr>
        <w:t xml:space="preserve">note at </w:t>
      </w:r>
      <w:r w:rsidR="002D54E8" w:rsidRPr="00926B9B">
        <w:rPr>
          <w:rFonts w:ascii="Times New Roman" w:hAnsi="Times New Roman" w:cs="Times New Roman"/>
        </w:rPr>
        <w:t>3</w:t>
      </w:r>
    </w:p>
  </w:footnote>
  <w:footnote w:id="14">
    <w:p w14:paraId="3AC274E4" w14:textId="32F8A617" w:rsidR="00532CAF" w:rsidRPr="00926B9B" w:rsidRDefault="00532CAF">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Azad Singh Rathore, </w:t>
      </w:r>
      <w:proofErr w:type="spellStart"/>
      <w:r w:rsidRPr="00926B9B">
        <w:rPr>
          <w:rFonts w:ascii="Times New Roman" w:hAnsi="Times New Roman" w:cs="Times New Roman"/>
        </w:rPr>
        <w:t>Agnipath</w:t>
      </w:r>
      <w:proofErr w:type="spellEnd"/>
      <w:r w:rsidRPr="00926B9B">
        <w:rPr>
          <w:rFonts w:ascii="Times New Roman" w:hAnsi="Times New Roman" w:cs="Times New Roman"/>
        </w:rPr>
        <w:t xml:space="preserve"> scheme will produce highly-skilled soldiers who will be jobless at 21 Times of India Blog (2022), https://timesofindia.indiatimes.com/blogs/voices/agnipath-scheme-will-produce-highly-skilled-soldiers-who-will-be-jobless-at-21/ (last visited Aug 23, 2023). </w:t>
      </w:r>
    </w:p>
  </w:footnote>
  <w:footnote w:id="15">
    <w:p w14:paraId="3823FDAD" w14:textId="59F242EC" w:rsidR="00C046F6" w:rsidRPr="00926B9B" w:rsidRDefault="00C046F6">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The Montreux Document on Private Military and Security Companies, International Committee of the Red Cross (2021), https://www.icrc.org/en/publication/0996-montreux-document-private-military-and-security-companies (last visited Aug 21, 2023). </w:t>
      </w:r>
    </w:p>
  </w:footnote>
  <w:footnote w:id="16">
    <w:p w14:paraId="25D0153A" w14:textId="22256917" w:rsidR="00F90A81" w:rsidRPr="00926B9B" w:rsidRDefault="00F90A81">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International Code of Conduct Association, https://www.ohchr.org/sites/default/files/2022-05/InternationalCodeConductAssociation.pdf (last visited Aug 16, 2023). </w:t>
      </w:r>
    </w:p>
  </w:footnote>
  <w:footnote w:id="17">
    <w:p w14:paraId="7164FE55" w14:textId="77777777" w:rsidR="00F85114" w:rsidRPr="00926B9B" w:rsidRDefault="00F85114" w:rsidP="00F85114">
      <w:pPr>
        <w:pStyle w:val="FootnoteText"/>
        <w:rPr>
          <w:rFonts w:ascii="Times New Roman" w:hAnsi="Times New Roman" w:cs="Times New Roman"/>
        </w:rPr>
      </w:pPr>
      <w:r w:rsidRPr="00926B9B">
        <w:rPr>
          <w:rStyle w:val="FootnoteReference"/>
          <w:rFonts w:ascii="Times New Roman" w:hAnsi="Times New Roman" w:cs="Times New Roman"/>
        </w:rPr>
        <w:footnoteRef/>
      </w:r>
      <w:r w:rsidRPr="00926B9B">
        <w:rPr>
          <w:rFonts w:ascii="Times New Roman" w:hAnsi="Times New Roman" w:cs="Times New Roman"/>
        </w:rPr>
        <w:t xml:space="preserve"> David J Francis, </w:t>
      </w:r>
      <w:r w:rsidRPr="00926B9B">
        <w:rPr>
          <w:rFonts w:ascii="Times New Roman" w:hAnsi="Times New Roman" w:cs="Times New Roman"/>
          <w:i/>
          <w:iCs/>
        </w:rPr>
        <w:t xml:space="preserve">Mercenary intervention in Sierra Leone: Providing national security or international </w:t>
      </w:r>
      <w:proofErr w:type="gramStart"/>
      <w:r w:rsidRPr="00926B9B">
        <w:rPr>
          <w:rFonts w:ascii="Times New Roman" w:hAnsi="Times New Roman" w:cs="Times New Roman"/>
          <w:i/>
          <w:iCs/>
        </w:rPr>
        <w:t>exploitation?</w:t>
      </w:r>
      <w:r w:rsidRPr="00926B9B">
        <w:rPr>
          <w:rFonts w:ascii="Times New Roman" w:hAnsi="Times New Roman" w:cs="Times New Roman"/>
        </w:rPr>
        <w:t>,</w:t>
      </w:r>
      <w:proofErr w:type="gramEnd"/>
      <w:r w:rsidRPr="00926B9B">
        <w:rPr>
          <w:rFonts w:ascii="Times New Roman" w:hAnsi="Times New Roman" w:cs="Times New Roman"/>
        </w:rPr>
        <w:t xml:space="preserve"> 20 Third World Quarterly 319–338 (1999). </w:t>
      </w:r>
    </w:p>
    <w:p w14:paraId="299B8273" w14:textId="4A7DF106" w:rsidR="00F85114" w:rsidRPr="00926B9B" w:rsidRDefault="00F85114">
      <w:pPr>
        <w:pStyle w:val="FootnoteText"/>
        <w:rPr>
          <w:rFonts w:ascii="Times New Roman" w:hAnsi="Times New Roman" w:cs="Times New Roman"/>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0FD"/>
    <w:rsid w:val="00010BF3"/>
    <w:rsid w:val="00030949"/>
    <w:rsid w:val="0003509A"/>
    <w:rsid w:val="0006329A"/>
    <w:rsid w:val="00071C82"/>
    <w:rsid w:val="00081B42"/>
    <w:rsid w:val="000834E1"/>
    <w:rsid w:val="000A4D57"/>
    <w:rsid w:val="000A6C05"/>
    <w:rsid w:val="000B0403"/>
    <w:rsid w:val="000D1D7C"/>
    <w:rsid w:val="000E4F72"/>
    <w:rsid w:val="000E5FA0"/>
    <w:rsid w:val="000F20DB"/>
    <w:rsid w:val="00101BD5"/>
    <w:rsid w:val="00101EC4"/>
    <w:rsid w:val="001102EB"/>
    <w:rsid w:val="00111DFB"/>
    <w:rsid w:val="00121B9C"/>
    <w:rsid w:val="00154F9F"/>
    <w:rsid w:val="001567D2"/>
    <w:rsid w:val="00160C6E"/>
    <w:rsid w:val="00163C75"/>
    <w:rsid w:val="00166429"/>
    <w:rsid w:val="00174BE9"/>
    <w:rsid w:val="00175A3D"/>
    <w:rsid w:val="001774D3"/>
    <w:rsid w:val="00192197"/>
    <w:rsid w:val="0019542D"/>
    <w:rsid w:val="001A34A8"/>
    <w:rsid w:val="001A3811"/>
    <w:rsid w:val="001B293F"/>
    <w:rsid w:val="001B64E0"/>
    <w:rsid w:val="001B7694"/>
    <w:rsid w:val="001C5366"/>
    <w:rsid w:val="001C6EFD"/>
    <w:rsid w:val="001D1B41"/>
    <w:rsid w:val="001D22CD"/>
    <w:rsid w:val="001E5C86"/>
    <w:rsid w:val="001F2EA8"/>
    <w:rsid w:val="00210912"/>
    <w:rsid w:val="002200C1"/>
    <w:rsid w:val="00236CEB"/>
    <w:rsid w:val="002378D3"/>
    <w:rsid w:val="00237DFA"/>
    <w:rsid w:val="00256970"/>
    <w:rsid w:val="00257EBD"/>
    <w:rsid w:val="002644CA"/>
    <w:rsid w:val="00266507"/>
    <w:rsid w:val="00267BB8"/>
    <w:rsid w:val="00274F2D"/>
    <w:rsid w:val="00283180"/>
    <w:rsid w:val="00287811"/>
    <w:rsid w:val="00296F9E"/>
    <w:rsid w:val="0029799E"/>
    <w:rsid w:val="002A0DA1"/>
    <w:rsid w:val="002A1BCA"/>
    <w:rsid w:val="002A30FD"/>
    <w:rsid w:val="002A339A"/>
    <w:rsid w:val="002B19A5"/>
    <w:rsid w:val="002C3A9C"/>
    <w:rsid w:val="002C7A2C"/>
    <w:rsid w:val="002D54E8"/>
    <w:rsid w:val="002E3879"/>
    <w:rsid w:val="002F0759"/>
    <w:rsid w:val="002F4C17"/>
    <w:rsid w:val="00306DB5"/>
    <w:rsid w:val="00322939"/>
    <w:rsid w:val="00344990"/>
    <w:rsid w:val="00371264"/>
    <w:rsid w:val="00371B40"/>
    <w:rsid w:val="00373EFD"/>
    <w:rsid w:val="00374C93"/>
    <w:rsid w:val="0038195A"/>
    <w:rsid w:val="0038419A"/>
    <w:rsid w:val="00385462"/>
    <w:rsid w:val="00390803"/>
    <w:rsid w:val="003A0C6F"/>
    <w:rsid w:val="003A5488"/>
    <w:rsid w:val="003B49F5"/>
    <w:rsid w:val="003C2874"/>
    <w:rsid w:val="003C598C"/>
    <w:rsid w:val="003D2733"/>
    <w:rsid w:val="003E3472"/>
    <w:rsid w:val="00405FE6"/>
    <w:rsid w:val="00414B41"/>
    <w:rsid w:val="00427862"/>
    <w:rsid w:val="004427E1"/>
    <w:rsid w:val="004513E6"/>
    <w:rsid w:val="0046661F"/>
    <w:rsid w:val="004919F9"/>
    <w:rsid w:val="00495658"/>
    <w:rsid w:val="004A0433"/>
    <w:rsid w:val="004A291C"/>
    <w:rsid w:val="004A4C15"/>
    <w:rsid w:val="004B1FAA"/>
    <w:rsid w:val="004D064C"/>
    <w:rsid w:val="004D16C6"/>
    <w:rsid w:val="004D43B3"/>
    <w:rsid w:val="004F2E84"/>
    <w:rsid w:val="0050365C"/>
    <w:rsid w:val="0052588B"/>
    <w:rsid w:val="00530E24"/>
    <w:rsid w:val="00532CAF"/>
    <w:rsid w:val="00552C24"/>
    <w:rsid w:val="0056613D"/>
    <w:rsid w:val="00567631"/>
    <w:rsid w:val="00572076"/>
    <w:rsid w:val="005744B4"/>
    <w:rsid w:val="00580E1A"/>
    <w:rsid w:val="005A3361"/>
    <w:rsid w:val="005A62E9"/>
    <w:rsid w:val="005C342A"/>
    <w:rsid w:val="005E1FCF"/>
    <w:rsid w:val="005F0A32"/>
    <w:rsid w:val="00620E41"/>
    <w:rsid w:val="006249CB"/>
    <w:rsid w:val="00646722"/>
    <w:rsid w:val="006615F2"/>
    <w:rsid w:val="00662820"/>
    <w:rsid w:val="006638C4"/>
    <w:rsid w:val="00682D21"/>
    <w:rsid w:val="00687BDB"/>
    <w:rsid w:val="00694E9A"/>
    <w:rsid w:val="006A05E4"/>
    <w:rsid w:val="006A16C1"/>
    <w:rsid w:val="006A20FE"/>
    <w:rsid w:val="006C29F4"/>
    <w:rsid w:val="006D1B1E"/>
    <w:rsid w:val="006E0AC8"/>
    <w:rsid w:val="006E1D8A"/>
    <w:rsid w:val="006F2EE3"/>
    <w:rsid w:val="007000A1"/>
    <w:rsid w:val="00700AD9"/>
    <w:rsid w:val="00707DB0"/>
    <w:rsid w:val="00733D47"/>
    <w:rsid w:val="00736BBA"/>
    <w:rsid w:val="0075604F"/>
    <w:rsid w:val="00757239"/>
    <w:rsid w:val="0076644D"/>
    <w:rsid w:val="00777409"/>
    <w:rsid w:val="0078058F"/>
    <w:rsid w:val="007811FC"/>
    <w:rsid w:val="007A202C"/>
    <w:rsid w:val="007A2B8E"/>
    <w:rsid w:val="007A68C0"/>
    <w:rsid w:val="007F0A46"/>
    <w:rsid w:val="007F4B75"/>
    <w:rsid w:val="007F7659"/>
    <w:rsid w:val="0080152F"/>
    <w:rsid w:val="00802652"/>
    <w:rsid w:val="00804454"/>
    <w:rsid w:val="00807B9C"/>
    <w:rsid w:val="0083294A"/>
    <w:rsid w:val="00837050"/>
    <w:rsid w:val="008406B2"/>
    <w:rsid w:val="008411D9"/>
    <w:rsid w:val="00847448"/>
    <w:rsid w:val="00863C39"/>
    <w:rsid w:val="008652FB"/>
    <w:rsid w:val="00873AB2"/>
    <w:rsid w:val="00875BBB"/>
    <w:rsid w:val="00876622"/>
    <w:rsid w:val="008B1BD9"/>
    <w:rsid w:val="008B49B8"/>
    <w:rsid w:val="008B5212"/>
    <w:rsid w:val="008D0244"/>
    <w:rsid w:val="009051B8"/>
    <w:rsid w:val="00906BA5"/>
    <w:rsid w:val="00907F10"/>
    <w:rsid w:val="00921C74"/>
    <w:rsid w:val="00926B9B"/>
    <w:rsid w:val="0093080F"/>
    <w:rsid w:val="00932E0A"/>
    <w:rsid w:val="00955F49"/>
    <w:rsid w:val="0096381A"/>
    <w:rsid w:val="00982E8E"/>
    <w:rsid w:val="00990211"/>
    <w:rsid w:val="00994CA6"/>
    <w:rsid w:val="009A47C4"/>
    <w:rsid w:val="009B0283"/>
    <w:rsid w:val="009B24B4"/>
    <w:rsid w:val="009B307F"/>
    <w:rsid w:val="009B3237"/>
    <w:rsid w:val="009D021E"/>
    <w:rsid w:val="009D0FD7"/>
    <w:rsid w:val="009D1F23"/>
    <w:rsid w:val="009D21F6"/>
    <w:rsid w:val="009D3D5F"/>
    <w:rsid w:val="009F640E"/>
    <w:rsid w:val="00A1428E"/>
    <w:rsid w:val="00A33914"/>
    <w:rsid w:val="00A41A95"/>
    <w:rsid w:val="00A53734"/>
    <w:rsid w:val="00A577ED"/>
    <w:rsid w:val="00A600FF"/>
    <w:rsid w:val="00A70332"/>
    <w:rsid w:val="00A7639B"/>
    <w:rsid w:val="00A8179C"/>
    <w:rsid w:val="00A844F1"/>
    <w:rsid w:val="00A912B7"/>
    <w:rsid w:val="00AA07F6"/>
    <w:rsid w:val="00AA471B"/>
    <w:rsid w:val="00AB239E"/>
    <w:rsid w:val="00AC13EB"/>
    <w:rsid w:val="00AC1EAF"/>
    <w:rsid w:val="00AD10A1"/>
    <w:rsid w:val="00AD365B"/>
    <w:rsid w:val="00AD5E4B"/>
    <w:rsid w:val="00AE198A"/>
    <w:rsid w:val="00AF357E"/>
    <w:rsid w:val="00B01A2C"/>
    <w:rsid w:val="00B3111D"/>
    <w:rsid w:val="00B3140A"/>
    <w:rsid w:val="00B33555"/>
    <w:rsid w:val="00B340FD"/>
    <w:rsid w:val="00B409F2"/>
    <w:rsid w:val="00B422BD"/>
    <w:rsid w:val="00B55A89"/>
    <w:rsid w:val="00B74410"/>
    <w:rsid w:val="00B7566B"/>
    <w:rsid w:val="00B96C93"/>
    <w:rsid w:val="00BA1074"/>
    <w:rsid w:val="00BC3E06"/>
    <w:rsid w:val="00BD29C7"/>
    <w:rsid w:val="00BD3A5F"/>
    <w:rsid w:val="00BD7A48"/>
    <w:rsid w:val="00BE1682"/>
    <w:rsid w:val="00BE2E3F"/>
    <w:rsid w:val="00BE631A"/>
    <w:rsid w:val="00BF4AFE"/>
    <w:rsid w:val="00BF610A"/>
    <w:rsid w:val="00BF6F15"/>
    <w:rsid w:val="00C042DE"/>
    <w:rsid w:val="00C046F6"/>
    <w:rsid w:val="00C33040"/>
    <w:rsid w:val="00C447B3"/>
    <w:rsid w:val="00C46349"/>
    <w:rsid w:val="00C51D88"/>
    <w:rsid w:val="00C53910"/>
    <w:rsid w:val="00C54590"/>
    <w:rsid w:val="00C54D92"/>
    <w:rsid w:val="00C61F36"/>
    <w:rsid w:val="00C642DB"/>
    <w:rsid w:val="00C65C7E"/>
    <w:rsid w:val="00C8398E"/>
    <w:rsid w:val="00C84A85"/>
    <w:rsid w:val="00C93ED2"/>
    <w:rsid w:val="00CA1DAC"/>
    <w:rsid w:val="00CA59A2"/>
    <w:rsid w:val="00CC165F"/>
    <w:rsid w:val="00CC68C8"/>
    <w:rsid w:val="00CF7AFE"/>
    <w:rsid w:val="00CF7C1E"/>
    <w:rsid w:val="00D11E67"/>
    <w:rsid w:val="00D2096E"/>
    <w:rsid w:val="00D237C8"/>
    <w:rsid w:val="00D340C1"/>
    <w:rsid w:val="00D47FE0"/>
    <w:rsid w:val="00D72CCC"/>
    <w:rsid w:val="00D819A1"/>
    <w:rsid w:val="00D90476"/>
    <w:rsid w:val="00D95FE6"/>
    <w:rsid w:val="00DA3B4C"/>
    <w:rsid w:val="00DA7DCE"/>
    <w:rsid w:val="00DB4262"/>
    <w:rsid w:val="00DC5F01"/>
    <w:rsid w:val="00DE1CEB"/>
    <w:rsid w:val="00DF3778"/>
    <w:rsid w:val="00DF54DA"/>
    <w:rsid w:val="00E33234"/>
    <w:rsid w:val="00E337BE"/>
    <w:rsid w:val="00E35C6C"/>
    <w:rsid w:val="00E43288"/>
    <w:rsid w:val="00E50659"/>
    <w:rsid w:val="00E7300B"/>
    <w:rsid w:val="00E73E99"/>
    <w:rsid w:val="00E7551F"/>
    <w:rsid w:val="00E76000"/>
    <w:rsid w:val="00EA0154"/>
    <w:rsid w:val="00EA1B75"/>
    <w:rsid w:val="00EB0534"/>
    <w:rsid w:val="00EB0C68"/>
    <w:rsid w:val="00EB3DFD"/>
    <w:rsid w:val="00EB79BE"/>
    <w:rsid w:val="00EC35C8"/>
    <w:rsid w:val="00EC47E7"/>
    <w:rsid w:val="00EF0BC0"/>
    <w:rsid w:val="00F06799"/>
    <w:rsid w:val="00F06B62"/>
    <w:rsid w:val="00F112B5"/>
    <w:rsid w:val="00F1404D"/>
    <w:rsid w:val="00F142B3"/>
    <w:rsid w:val="00F22C89"/>
    <w:rsid w:val="00F32FD7"/>
    <w:rsid w:val="00F4142A"/>
    <w:rsid w:val="00F557C7"/>
    <w:rsid w:val="00F75DFA"/>
    <w:rsid w:val="00F802A6"/>
    <w:rsid w:val="00F85114"/>
    <w:rsid w:val="00F90533"/>
    <w:rsid w:val="00F90A81"/>
    <w:rsid w:val="00F94C82"/>
    <w:rsid w:val="00FA5E17"/>
    <w:rsid w:val="00FB3C06"/>
    <w:rsid w:val="00FB7DCF"/>
    <w:rsid w:val="00FC6344"/>
    <w:rsid w:val="00FD43FF"/>
    <w:rsid w:val="00FE1BFF"/>
    <w:rsid w:val="00FE7356"/>
    <w:rsid w:val="00FF0008"/>
    <w:rsid w:val="00FF4B61"/>
    <w:rsid w:val="00FF75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1BF7"/>
  <w15:chartTrackingRefBased/>
  <w15:docId w15:val="{DFDA1266-04F1-4DF7-AD89-AA43F90A0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7DB0"/>
    <w:rPr>
      <w:color w:val="0563C1" w:themeColor="hyperlink"/>
      <w:u w:val="single"/>
    </w:rPr>
  </w:style>
  <w:style w:type="character" w:styleId="UnresolvedMention">
    <w:name w:val="Unresolved Mention"/>
    <w:basedOn w:val="DefaultParagraphFont"/>
    <w:uiPriority w:val="99"/>
    <w:semiHidden/>
    <w:unhideWhenUsed/>
    <w:rsid w:val="00707DB0"/>
    <w:rPr>
      <w:color w:val="605E5C"/>
      <w:shd w:val="clear" w:color="auto" w:fill="E1DFDD"/>
    </w:rPr>
  </w:style>
  <w:style w:type="paragraph" w:styleId="FootnoteText">
    <w:name w:val="footnote text"/>
    <w:basedOn w:val="Normal"/>
    <w:link w:val="FootnoteTextChar"/>
    <w:uiPriority w:val="99"/>
    <w:semiHidden/>
    <w:unhideWhenUsed/>
    <w:rsid w:val="007F76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7659"/>
    <w:rPr>
      <w:sz w:val="20"/>
      <w:szCs w:val="20"/>
    </w:rPr>
  </w:style>
  <w:style w:type="character" w:styleId="FootnoteReference">
    <w:name w:val="footnote reference"/>
    <w:basedOn w:val="DefaultParagraphFont"/>
    <w:uiPriority w:val="99"/>
    <w:semiHidden/>
    <w:unhideWhenUsed/>
    <w:rsid w:val="007F7659"/>
    <w:rPr>
      <w:vertAlign w:val="superscript"/>
    </w:rPr>
  </w:style>
  <w:style w:type="paragraph" w:styleId="NormalWeb">
    <w:name w:val="Normal (Web)"/>
    <w:basedOn w:val="Normal"/>
    <w:uiPriority w:val="99"/>
    <w:semiHidden/>
    <w:unhideWhenUsed/>
    <w:rsid w:val="007F765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04405">
      <w:bodyDiv w:val="1"/>
      <w:marLeft w:val="0"/>
      <w:marRight w:val="0"/>
      <w:marTop w:val="0"/>
      <w:marBottom w:val="0"/>
      <w:divBdr>
        <w:top w:val="none" w:sz="0" w:space="0" w:color="auto"/>
        <w:left w:val="none" w:sz="0" w:space="0" w:color="auto"/>
        <w:bottom w:val="none" w:sz="0" w:space="0" w:color="auto"/>
        <w:right w:val="none" w:sz="0" w:space="0" w:color="auto"/>
      </w:divBdr>
    </w:div>
    <w:div w:id="114911365">
      <w:bodyDiv w:val="1"/>
      <w:marLeft w:val="0"/>
      <w:marRight w:val="0"/>
      <w:marTop w:val="0"/>
      <w:marBottom w:val="0"/>
      <w:divBdr>
        <w:top w:val="none" w:sz="0" w:space="0" w:color="auto"/>
        <w:left w:val="none" w:sz="0" w:space="0" w:color="auto"/>
        <w:bottom w:val="none" w:sz="0" w:space="0" w:color="auto"/>
        <w:right w:val="none" w:sz="0" w:space="0" w:color="auto"/>
      </w:divBdr>
    </w:div>
    <w:div w:id="126974825">
      <w:bodyDiv w:val="1"/>
      <w:marLeft w:val="0"/>
      <w:marRight w:val="0"/>
      <w:marTop w:val="0"/>
      <w:marBottom w:val="0"/>
      <w:divBdr>
        <w:top w:val="none" w:sz="0" w:space="0" w:color="auto"/>
        <w:left w:val="none" w:sz="0" w:space="0" w:color="auto"/>
        <w:bottom w:val="none" w:sz="0" w:space="0" w:color="auto"/>
        <w:right w:val="none" w:sz="0" w:space="0" w:color="auto"/>
      </w:divBdr>
    </w:div>
    <w:div w:id="186411463">
      <w:bodyDiv w:val="1"/>
      <w:marLeft w:val="0"/>
      <w:marRight w:val="0"/>
      <w:marTop w:val="0"/>
      <w:marBottom w:val="0"/>
      <w:divBdr>
        <w:top w:val="none" w:sz="0" w:space="0" w:color="auto"/>
        <w:left w:val="none" w:sz="0" w:space="0" w:color="auto"/>
        <w:bottom w:val="none" w:sz="0" w:space="0" w:color="auto"/>
        <w:right w:val="none" w:sz="0" w:space="0" w:color="auto"/>
      </w:divBdr>
    </w:div>
    <w:div w:id="282157220">
      <w:bodyDiv w:val="1"/>
      <w:marLeft w:val="0"/>
      <w:marRight w:val="0"/>
      <w:marTop w:val="0"/>
      <w:marBottom w:val="0"/>
      <w:divBdr>
        <w:top w:val="none" w:sz="0" w:space="0" w:color="auto"/>
        <w:left w:val="none" w:sz="0" w:space="0" w:color="auto"/>
        <w:bottom w:val="none" w:sz="0" w:space="0" w:color="auto"/>
        <w:right w:val="none" w:sz="0" w:space="0" w:color="auto"/>
      </w:divBdr>
    </w:div>
    <w:div w:id="344140562">
      <w:bodyDiv w:val="1"/>
      <w:marLeft w:val="0"/>
      <w:marRight w:val="0"/>
      <w:marTop w:val="0"/>
      <w:marBottom w:val="0"/>
      <w:divBdr>
        <w:top w:val="none" w:sz="0" w:space="0" w:color="auto"/>
        <w:left w:val="none" w:sz="0" w:space="0" w:color="auto"/>
        <w:bottom w:val="none" w:sz="0" w:space="0" w:color="auto"/>
        <w:right w:val="none" w:sz="0" w:space="0" w:color="auto"/>
      </w:divBdr>
    </w:div>
    <w:div w:id="345715279">
      <w:bodyDiv w:val="1"/>
      <w:marLeft w:val="0"/>
      <w:marRight w:val="0"/>
      <w:marTop w:val="0"/>
      <w:marBottom w:val="0"/>
      <w:divBdr>
        <w:top w:val="none" w:sz="0" w:space="0" w:color="auto"/>
        <w:left w:val="none" w:sz="0" w:space="0" w:color="auto"/>
        <w:bottom w:val="none" w:sz="0" w:space="0" w:color="auto"/>
        <w:right w:val="none" w:sz="0" w:space="0" w:color="auto"/>
      </w:divBdr>
    </w:div>
    <w:div w:id="355035731">
      <w:bodyDiv w:val="1"/>
      <w:marLeft w:val="0"/>
      <w:marRight w:val="0"/>
      <w:marTop w:val="0"/>
      <w:marBottom w:val="0"/>
      <w:divBdr>
        <w:top w:val="none" w:sz="0" w:space="0" w:color="auto"/>
        <w:left w:val="none" w:sz="0" w:space="0" w:color="auto"/>
        <w:bottom w:val="none" w:sz="0" w:space="0" w:color="auto"/>
        <w:right w:val="none" w:sz="0" w:space="0" w:color="auto"/>
      </w:divBdr>
    </w:div>
    <w:div w:id="363411785">
      <w:bodyDiv w:val="1"/>
      <w:marLeft w:val="0"/>
      <w:marRight w:val="0"/>
      <w:marTop w:val="0"/>
      <w:marBottom w:val="0"/>
      <w:divBdr>
        <w:top w:val="none" w:sz="0" w:space="0" w:color="auto"/>
        <w:left w:val="none" w:sz="0" w:space="0" w:color="auto"/>
        <w:bottom w:val="none" w:sz="0" w:space="0" w:color="auto"/>
        <w:right w:val="none" w:sz="0" w:space="0" w:color="auto"/>
      </w:divBdr>
    </w:div>
    <w:div w:id="371924411">
      <w:bodyDiv w:val="1"/>
      <w:marLeft w:val="0"/>
      <w:marRight w:val="0"/>
      <w:marTop w:val="0"/>
      <w:marBottom w:val="0"/>
      <w:divBdr>
        <w:top w:val="none" w:sz="0" w:space="0" w:color="auto"/>
        <w:left w:val="none" w:sz="0" w:space="0" w:color="auto"/>
        <w:bottom w:val="none" w:sz="0" w:space="0" w:color="auto"/>
        <w:right w:val="none" w:sz="0" w:space="0" w:color="auto"/>
      </w:divBdr>
    </w:div>
    <w:div w:id="473760830">
      <w:bodyDiv w:val="1"/>
      <w:marLeft w:val="0"/>
      <w:marRight w:val="0"/>
      <w:marTop w:val="0"/>
      <w:marBottom w:val="0"/>
      <w:divBdr>
        <w:top w:val="none" w:sz="0" w:space="0" w:color="auto"/>
        <w:left w:val="none" w:sz="0" w:space="0" w:color="auto"/>
        <w:bottom w:val="none" w:sz="0" w:space="0" w:color="auto"/>
        <w:right w:val="none" w:sz="0" w:space="0" w:color="auto"/>
      </w:divBdr>
    </w:div>
    <w:div w:id="514152110">
      <w:bodyDiv w:val="1"/>
      <w:marLeft w:val="0"/>
      <w:marRight w:val="0"/>
      <w:marTop w:val="0"/>
      <w:marBottom w:val="0"/>
      <w:divBdr>
        <w:top w:val="none" w:sz="0" w:space="0" w:color="auto"/>
        <w:left w:val="none" w:sz="0" w:space="0" w:color="auto"/>
        <w:bottom w:val="none" w:sz="0" w:space="0" w:color="auto"/>
        <w:right w:val="none" w:sz="0" w:space="0" w:color="auto"/>
      </w:divBdr>
    </w:div>
    <w:div w:id="555698977">
      <w:bodyDiv w:val="1"/>
      <w:marLeft w:val="0"/>
      <w:marRight w:val="0"/>
      <w:marTop w:val="0"/>
      <w:marBottom w:val="0"/>
      <w:divBdr>
        <w:top w:val="none" w:sz="0" w:space="0" w:color="auto"/>
        <w:left w:val="none" w:sz="0" w:space="0" w:color="auto"/>
        <w:bottom w:val="none" w:sz="0" w:space="0" w:color="auto"/>
        <w:right w:val="none" w:sz="0" w:space="0" w:color="auto"/>
      </w:divBdr>
    </w:div>
    <w:div w:id="575673604">
      <w:bodyDiv w:val="1"/>
      <w:marLeft w:val="0"/>
      <w:marRight w:val="0"/>
      <w:marTop w:val="0"/>
      <w:marBottom w:val="0"/>
      <w:divBdr>
        <w:top w:val="none" w:sz="0" w:space="0" w:color="auto"/>
        <w:left w:val="none" w:sz="0" w:space="0" w:color="auto"/>
        <w:bottom w:val="none" w:sz="0" w:space="0" w:color="auto"/>
        <w:right w:val="none" w:sz="0" w:space="0" w:color="auto"/>
      </w:divBdr>
    </w:div>
    <w:div w:id="637152893">
      <w:bodyDiv w:val="1"/>
      <w:marLeft w:val="0"/>
      <w:marRight w:val="0"/>
      <w:marTop w:val="0"/>
      <w:marBottom w:val="0"/>
      <w:divBdr>
        <w:top w:val="none" w:sz="0" w:space="0" w:color="auto"/>
        <w:left w:val="none" w:sz="0" w:space="0" w:color="auto"/>
        <w:bottom w:val="none" w:sz="0" w:space="0" w:color="auto"/>
        <w:right w:val="none" w:sz="0" w:space="0" w:color="auto"/>
      </w:divBdr>
    </w:div>
    <w:div w:id="678777486">
      <w:bodyDiv w:val="1"/>
      <w:marLeft w:val="0"/>
      <w:marRight w:val="0"/>
      <w:marTop w:val="0"/>
      <w:marBottom w:val="0"/>
      <w:divBdr>
        <w:top w:val="none" w:sz="0" w:space="0" w:color="auto"/>
        <w:left w:val="none" w:sz="0" w:space="0" w:color="auto"/>
        <w:bottom w:val="none" w:sz="0" w:space="0" w:color="auto"/>
        <w:right w:val="none" w:sz="0" w:space="0" w:color="auto"/>
      </w:divBdr>
    </w:div>
    <w:div w:id="856500936">
      <w:bodyDiv w:val="1"/>
      <w:marLeft w:val="0"/>
      <w:marRight w:val="0"/>
      <w:marTop w:val="0"/>
      <w:marBottom w:val="0"/>
      <w:divBdr>
        <w:top w:val="none" w:sz="0" w:space="0" w:color="auto"/>
        <w:left w:val="none" w:sz="0" w:space="0" w:color="auto"/>
        <w:bottom w:val="none" w:sz="0" w:space="0" w:color="auto"/>
        <w:right w:val="none" w:sz="0" w:space="0" w:color="auto"/>
      </w:divBdr>
    </w:div>
    <w:div w:id="951324431">
      <w:bodyDiv w:val="1"/>
      <w:marLeft w:val="0"/>
      <w:marRight w:val="0"/>
      <w:marTop w:val="0"/>
      <w:marBottom w:val="0"/>
      <w:divBdr>
        <w:top w:val="none" w:sz="0" w:space="0" w:color="auto"/>
        <w:left w:val="none" w:sz="0" w:space="0" w:color="auto"/>
        <w:bottom w:val="none" w:sz="0" w:space="0" w:color="auto"/>
        <w:right w:val="none" w:sz="0" w:space="0" w:color="auto"/>
      </w:divBdr>
    </w:div>
    <w:div w:id="952858038">
      <w:bodyDiv w:val="1"/>
      <w:marLeft w:val="0"/>
      <w:marRight w:val="0"/>
      <w:marTop w:val="0"/>
      <w:marBottom w:val="0"/>
      <w:divBdr>
        <w:top w:val="none" w:sz="0" w:space="0" w:color="auto"/>
        <w:left w:val="none" w:sz="0" w:space="0" w:color="auto"/>
        <w:bottom w:val="none" w:sz="0" w:space="0" w:color="auto"/>
        <w:right w:val="none" w:sz="0" w:space="0" w:color="auto"/>
      </w:divBdr>
    </w:div>
    <w:div w:id="1088503401">
      <w:bodyDiv w:val="1"/>
      <w:marLeft w:val="0"/>
      <w:marRight w:val="0"/>
      <w:marTop w:val="0"/>
      <w:marBottom w:val="0"/>
      <w:divBdr>
        <w:top w:val="none" w:sz="0" w:space="0" w:color="auto"/>
        <w:left w:val="none" w:sz="0" w:space="0" w:color="auto"/>
        <w:bottom w:val="none" w:sz="0" w:space="0" w:color="auto"/>
        <w:right w:val="none" w:sz="0" w:space="0" w:color="auto"/>
      </w:divBdr>
    </w:div>
    <w:div w:id="1115057589">
      <w:bodyDiv w:val="1"/>
      <w:marLeft w:val="0"/>
      <w:marRight w:val="0"/>
      <w:marTop w:val="0"/>
      <w:marBottom w:val="0"/>
      <w:divBdr>
        <w:top w:val="none" w:sz="0" w:space="0" w:color="auto"/>
        <w:left w:val="none" w:sz="0" w:space="0" w:color="auto"/>
        <w:bottom w:val="none" w:sz="0" w:space="0" w:color="auto"/>
        <w:right w:val="none" w:sz="0" w:space="0" w:color="auto"/>
      </w:divBdr>
    </w:div>
    <w:div w:id="1128472145">
      <w:bodyDiv w:val="1"/>
      <w:marLeft w:val="0"/>
      <w:marRight w:val="0"/>
      <w:marTop w:val="0"/>
      <w:marBottom w:val="0"/>
      <w:divBdr>
        <w:top w:val="none" w:sz="0" w:space="0" w:color="auto"/>
        <w:left w:val="none" w:sz="0" w:space="0" w:color="auto"/>
        <w:bottom w:val="none" w:sz="0" w:space="0" w:color="auto"/>
        <w:right w:val="none" w:sz="0" w:space="0" w:color="auto"/>
      </w:divBdr>
    </w:div>
    <w:div w:id="1220821219">
      <w:bodyDiv w:val="1"/>
      <w:marLeft w:val="0"/>
      <w:marRight w:val="0"/>
      <w:marTop w:val="0"/>
      <w:marBottom w:val="0"/>
      <w:divBdr>
        <w:top w:val="none" w:sz="0" w:space="0" w:color="auto"/>
        <w:left w:val="none" w:sz="0" w:space="0" w:color="auto"/>
        <w:bottom w:val="none" w:sz="0" w:space="0" w:color="auto"/>
        <w:right w:val="none" w:sz="0" w:space="0" w:color="auto"/>
      </w:divBdr>
    </w:div>
    <w:div w:id="1282373216">
      <w:bodyDiv w:val="1"/>
      <w:marLeft w:val="0"/>
      <w:marRight w:val="0"/>
      <w:marTop w:val="0"/>
      <w:marBottom w:val="0"/>
      <w:divBdr>
        <w:top w:val="none" w:sz="0" w:space="0" w:color="auto"/>
        <w:left w:val="none" w:sz="0" w:space="0" w:color="auto"/>
        <w:bottom w:val="none" w:sz="0" w:space="0" w:color="auto"/>
        <w:right w:val="none" w:sz="0" w:space="0" w:color="auto"/>
      </w:divBdr>
    </w:div>
    <w:div w:id="1560895530">
      <w:bodyDiv w:val="1"/>
      <w:marLeft w:val="0"/>
      <w:marRight w:val="0"/>
      <w:marTop w:val="0"/>
      <w:marBottom w:val="0"/>
      <w:divBdr>
        <w:top w:val="none" w:sz="0" w:space="0" w:color="auto"/>
        <w:left w:val="none" w:sz="0" w:space="0" w:color="auto"/>
        <w:bottom w:val="none" w:sz="0" w:space="0" w:color="auto"/>
        <w:right w:val="none" w:sz="0" w:space="0" w:color="auto"/>
      </w:divBdr>
    </w:div>
    <w:div w:id="1601260268">
      <w:bodyDiv w:val="1"/>
      <w:marLeft w:val="0"/>
      <w:marRight w:val="0"/>
      <w:marTop w:val="0"/>
      <w:marBottom w:val="0"/>
      <w:divBdr>
        <w:top w:val="none" w:sz="0" w:space="0" w:color="auto"/>
        <w:left w:val="none" w:sz="0" w:space="0" w:color="auto"/>
        <w:bottom w:val="none" w:sz="0" w:space="0" w:color="auto"/>
        <w:right w:val="none" w:sz="0" w:space="0" w:color="auto"/>
      </w:divBdr>
    </w:div>
    <w:div w:id="1664041397">
      <w:bodyDiv w:val="1"/>
      <w:marLeft w:val="0"/>
      <w:marRight w:val="0"/>
      <w:marTop w:val="0"/>
      <w:marBottom w:val="0"/>
      <w:divBdr>
        <w:top w:val="none" w:sz="0" w:space="0" w:color="auto"/>
        <w:left w:val="none" w:sz="0" w:space="0" w:color="auto"/>
        <w:bottom w:val="none" w:sz="0" w:space="0" w:color="auto"/>
        <w:right w:val="none" w:sz="0" w:space="0" w:color="auto"/>
      </w:divBdr>
    </w:div>
    <w:div w:id="1706052265">
      <w:bodyDiv w:val="1"/>
      <w:marLeft w:val="0"/>
      <w:marRight w:val="0"/>
      <w:marTop w:val="0"/>
      <w:marBottom w:val="0"/>
      <w:divBdr>
        <w:top w:val="none" w:sz="0" w:space="0" w:color="auto"/>
        <w:left w:val="none" w:sz="0" w:space="0" w:color="auto"/>
        <w:bottom w:val="none" w:sz="0" w:space="0" w:color="auto"/>
        <w:right w:val="none" w:sz="0" w:space="0" w:color="auto"/>
      </w:divBdr>
    </w:div>
    <w:div w:id="1763407049">
      <w:bodyDiv w:val="1"/>
      <w:marLeft w:val="0"/>
      <w:marRight w:val="0"/>
      <w:marTop w:val="0"/>
      <w:marBottom w:val="0"/>
      <w:divBdr>
        <w:top w:val="none" w:sz="0" w:space="0" w:color="auto"/>
        <w:left w:val="none" w:sz="0" w:space="0" w:color="auto"/>
        <w:bottom w:val="none" w:sz="0" w:space="0" w:color="auto"/>
        <w:right w:val="none" w:sz="0" w:space="0" w:color="auto"/>
      </w:divBdr>
    </w:div>
    <w:div w:id="1767965127">
      <w:bodyDiv w:val="1"/>
      <w:marLeft w:val="0"/>
      <w:marRight w:val="0"/>
      <w:marTop w:val="0"/>
      <w:marBottom w:val="0"/>
      <w:divBdr>
        <w:top w:val="none" w:sz="0" w:space="0" w:color="auto"/>
        <w:left w:val="none" w:sz="0" w:space="0" w:color="auto"/>
        <w:bottom w:val="none" w:sz="0" w:space="0" w:color="auto"/>
        <w:right w:val="none" w:sz="0" w:space="0" w:color="auto"/>
      </w:divBdr>
    </w:div>
    <w:div w:id="1798143690">
      <w:bodyDiv w:val="1"/>
      <w:marLeft w:val="0"/>
      <w:marRight w:val="0"/>
      <w:marTop w:val="0"/>
      <w:marBottom w:val="0"/>
      <w:divBdr>
        <w:top w:val="none" w:sz="0" w:space="0" w:color="auto"/>
        <w:left w:val="none" w:sz="0" w:space="0" w:color="auto"/>
        <w:bottom w:val="none" w:sz="0" w:space="0" w:color="auto"/>
        <w:right w:val="none" w:sz="0" w:space="0" w:color="auto"/>
      </w:divBdr>
    </w:div>
    <w:div w:id="1812744384">
      <w:bodyDiv w:val="1"/>
      <w:marLeft w:val="0"/>
      <w:marRight w:val="0"/>
      <w:marTop w:val="0"/>
      <w:marBottom w:val="0"/>
      <w:divBdr>
        <w:top w:val="none" w:sz="0" w:space="0" w:color="auto"/>
        <w:left w:val="none" w:sz="0" w:space="0" w:color="auto"/>
        <w:bottom w:val="none" w:sz="0" w:space="0" w:color="auto"/>
        <w:right w:val="none" w:sz="0" w:space="0" w:color="auto"/>
      </w:divBdr>
    </w:div>
    <w:div w:id="1825005603">
      <w:bodyDiv w:val="1"/>
      <w:marLeft w:val="0"/>
      <w:marRight w:val="0"/>
      <w:marTop w:val="0"/>
      <w:marBottom w:val="0"/>
      <w:divBdr>
        <w:top w:val="none" w:sz="0" w:space="0" w:color="auto"/>
        <w:left w:val="none" w:sz="0" w:space="0" w:color="auto"/>
        <w:bottom w:val="none" w:sz="0" w:space="0" w:color="auto"/>
        <w:right w:val="none" w:sz="0" w:space="0" w:color="auto"/>
      </w:divBdr>
    </w:div>
    <w:div w:id="1899777608">
      <w:bodyDiv w:val="1"/>
      <w:marLeft w:val="0"/>
      <w:marRight w:val="0"/>
      <w:marTop w:val="0"/>
      <w:marBottom w:val="0"/>
      <w:divBdr>
        <w:top w:val="none" w:sz="0" w:space="0" w:color="auto"/>
        <w:left w:val="none" w:sz="0" w:space="0" w:color="auto"/>
        <w:bottom w:val="none" w:sz="0" w:space="0" w:color="auto"/>
        <w:right w:val="none" w:sz="0" w:space="0" w:color="auto"/>
      </w:divBdr>
    </w:div>
    <w:div w:id="1928810393">
      <w:bodyDiv w:val="1"/>
      <w:marLeft w:val="0"/>
      <w:marRight w:val="0"/>
      <w:marTop w:val="0"/>
      <w:marBottom w:val="0"/>
      <w:divBdr>
        <w:top w:val="none" w:sz="0" w:space="0" w:color="auto"/>
        <w:left w:val="none" w:sz="0" w:space="0" w:color="auto"/>
        <w:bottom w:val="none" w:sz="0" w:space="0" w:color="auto"/>
        <w:right w:val="none" w:sz="0" w:space="0" w:color="auto"/>
      </w:divBdr>
    </w:div>
    <w:div w:id="1951475415">
      <w:bodyDiv w:val="1"/>
      <w:marLeft w:val="0"/>
      <w:marRight w:val="0"/>
      <w:marTop w:val="0"/>
      <w:marBottom w:val="0"/>
      <w:divBdr>
        <w:top w:val="none" w:sz="0" w:space="0" w:color="auto"/>
        <w:left w:val="none" w:sz="0" w:space="0" w:color="auto"/>
        <w:bottom w:val="none" w:sz="0" w:space="0" w:color="auto"/>
        <w:right w:val="none" w:sz="0" w:space="0" w:color="auto"/>
      </w:divBdr>
    </w:div>
    <w:div w:id="2060084671">
      <w:bodyDiv w:val="1"/>
      <w:marLeft w:val="0"/>
      <w:marRight w:val="0"/>
      <w:marTop w:val="0"/>
      <w:marBottom w:val="0"/>
      <w:divBdr>
        <w:top w:val="none" w:sz="0" w:space="0" w:color="auto"/>
        <w:left w:val="none" w:sz="0" w:space="0" w:color="auto"/>
        <w:bottom w:val="none" w:sz="0" w:space="0" w:color="auto"/>
        <w:right w:val="none" w:sz="0" w:space="0" w:color="auto"/>
      </w:divBdr>
    </w:div>
    <w:div w:id="207750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6630</TotalTime>
  <Pages>7</Pages>
  <Words>2076</Words>
  <Characters>11838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Abhavya Sharan</dc:creator>
  <cp:keywords/>
  <dc:description/>
  <cp:lastModifiedBy>Abhavya Sharan</cp:lastModifiedBy>
  <cp:revision>299</cp:revision>
  <dcterms:created xsi:type="dcterms:W3CDTF">2023-08-04T06:27:00Z</dcterms:created>
  <dcterms:modified xsi:type="dcterms:W3CDTF">2023-08-25T15:57:00Z</dcterms:modified>
</cp:coreProperties>
</file>