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2ED95" w14:textId="476A1E02" w:rsidR="00DD10C6" w:rsidRPr="00853F1E" w:rsidRDefault="00D27421" w:rsidP="00853F1E">
      <w:pPr>
        <w:spacing w:line="360" w:lineRule="auto"/>
        <w:jc w:val="center"/>
        <w:rPr>
          <w:rFonts w:ascii="Times New Roman" w:hAnsi="Times New Roman" w:cs="Times New Roman"/>
          <w:b/>
          <w:bCs/>
          <w:sz w:val="24"/>
          <w:szCs w:val="24"/>
        </w:rPr>
      </w:pPr>
      <w:r w:rsidRPr="00853F1E">
        <w:rPr>
          <w:rFonts w:ascii="Times New Roman" w:hAnsi="Times New Roman" w:cs="Times New Roman"/>
          <w:b/>
          <w:bCs/>
          <w:sz w:val="24"/>
          <w:szCs w:val="24"/>
        </w:rPr>
        <w:t>ANALYZING THE CONSTITUTIONALITY OF SECTION 377 IPC</w:t>
      </w:r>
    </w:p>
    <w:p w14:paraId="31DC27A1" w14:textId="77777777" w:rsidR="00D27421" w:rsidRPr="00853F1E" w:rsidRDefault="00D27421" w:rsidP="00853F1E">
      <w:pPr>
        <w:spacing w:line="360" w:lineRule="auto"/>
        <w:jc w:val="center"/>
        <w:rPr>
          <w:rFonts w:ascii="Times New Roman" w:hAnsi="Times New Roman" w:cs="Times New Roman"/>
          <w:b/>
          <w:bCs/>
          <w:sz w:val="24"/>
          <w:szCs w:val="24"/>
        </w:rPr>
      </w:pPr>
    </w:p>
    <w:p w14:paraId="1408B77E" w14:textId="1B9A6583" w:rsidR="00DD10C6" w:rsidRPr="00853F1E" w:rsidRDefault="00D27421" w:rsidP="00D37A57">
      <w:pPr>
        <w:spacing w:line="360" w:lineRule="auto"/>
        <w:jc w:val="both"/>
        <w:rPr>
          <w:rFonts w:ascii="Times New Roman" w:hAnsi="Times New Roman" w:cs="Times New Roman"/>
          <w:b/>
          <w:bCs/>
          <w:sz w:val="24"/>
          <w:szCs w:val="24"/>
        </w:rPr>
      </w:pPr>
      <w:r w:rsidRPr="00853F1E">
        <w:rPr>
          <w:rFonts w:ascii="Times New Roman" w:hAnsi="Times New Roman" w:cs="Times New Roman"/>
          <w:b/>
          <w:bCs/>
          <w:sz w:val="24"/>
          <w:szCs w:val="24"/>
        </w:rPr>
        <w:t>Abstract</w:t>
      </w:r>
    </w:p>
    <w:p w14:paraId="1F358923" w14:textId="3B3305BC" w:rsidR="00C15D1C" w:rsidRPr="00853F1E" w:rsidRDefault="0010680C" w:rsidP="00D37A57">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Section 377 of the I</w:t>
      </w:r>
      <w:r w:rsidR="008A5A6A" w:rsidRPr="00853F1E">
        <w:rPr>
          <w:rFonts w:ascii="Times New Roman" w:hAnsi="Times New Roman" w:cs="Times New Roman"/>
          <w:color w:val="000000" w:themeColor="text1"/>
          <w:sz w:val="24"/>
          <w:szCs w:val="24"/>
        </w:rPr>
        <w:t>ndian Penal Code</w:t>
      </w:r>
      <w:r w:rsidRPr="00853F1E">
        <w:rPr>
          <w:rFonts w:ascii="Times New Roman" w:hAnsi="Times New Roman" w:cs="Times New Roman"/>
          <w:color w:val="000000" w:themeColor="text1"/>
          <w:sz w:val="24"/>
          <w:szCs w:val="24"/>
        </w:rPr>
        <w:t xml:space="preserve"> </w:t>
      </w:r>
      <w:r w:rsidR="0090234B" w:rsidRPr="00853F1E">
        <w:rPr>
          <w:rFonts w:ascii="Times New Roman" w:hAnsi="Times New Roman" w:cs="Times New Roman"/>
          <w:color w:val="000000" w:themeColor="text1"/>
          <w:sz w:val="24"/>
          <w:szCs w:val="24"/>
        </w:rPr>
        <w:t xml:space="preserve">talks about unnatural </w:t>
      </w:r>
      <w:r w:rsidR="009E76EF" w:rsidRPr="00853F1E">
        <w:rPr>
          <w:rFonts w:ascii="Times New Roman" w:hAnsi="Times New Roman" w:cs="Times New Roman"/>
          <w:color w:val="000000" w:themeColor="text1"/>
          <w:sz w:val="24"/>
          <w:szCs w:val="24"/>
        </w:rPr>
        <w:t>offenses</w:t>
      </w:r>
      <w:r w:rsidR="008230CC" w:rsidRPr="00853F1E">
        <w:rPr>
          <w:rFonts w:ascii="Times New Roman" w:hAnsi="Times New Roman" w:cs="Times New Roman"/>
          <w:color w:val="000000" w:themeColor="text1"/>
          <w:sz w:val="24"/>
          <w:szCs w:val="24"/>
        </w:rPr>
        <w:t xml:space="preserve"> where it crimi</w:t>
      </w:r>
      <w:r w:rsidR="0001026F" w:rsidRPr="00853F1E">
        <w:rPr>
          <w:rFonts w:ascii="Times New Roman" w:hAnsi="Times New Roman" w:cs="Times New Roman"/>
          <w:color w:val="000000" w:themeColor="text1"/>
          <w:sz w:val="24"/>
          <w:szCs w:val="24"/>
        </w:rPr>
        <w:t>nalized</w:t>
      </w:r>
      <w:r w:rsidR="00EC50B1" w:rsidRPr="00853F1E">
        <w:rPr>
          <w:rFonts w:ascii="Times New Roman" w:hAnsi="Times New Roman" w:cs="Times New Roman"/>
          <w:color w:val="000000" w:themeColor="text1"/>
          <w:sz w:val="24"/>
          <w:szCs w:val="24"/>
        </w:rPr>
        <w:t xml:space="preserve"> </w:t>
      </w:r>
      <w:r w:rsidR="00707943" w:rsidRPr="00853F1E">
        <w:rPr>
          <w:rFonts w:ascii="Times New Roman" w:hAnsi="Times New Roman" w:cs="Times New Roman"/>
          <w:color w:val="000000" w:themeColor="text1"/>
          <w:sz w:val="24"/>
          <w:szCs w:val="24"/>
        </w:rPr>
        <w:t>“</w:t>
      </w:r>
      <w:r w:rsidR="007314E0" w:rsidRPr="00853F1E">
        <w:rPr>
          <w:rFonts w:ascii="Times New Roman" w:hAnsi="Times New Roman" w:cs="Times New Roman"/>
          <w:color w:val="000000" w:themeColor="text1"/>
          <w:sz w:val="24"/>
          <w:szCs w:val="24"/>
        </w:rPr>
        <w:t>carnal</w:t>
      </w:r>
      <w:r w:rsidR="0001026F" w:rsidRPr="00853F1E">
        <w:rPr>
          <w:rFonts w:ascii="Times New Roman" w:hAnsi="Times New Roman" w:cs="Times New Roman"/>
          <w:color w:val="000000" w:themeColor="text1"/>
          <w:sz w:val="24"/>
          <w:szCs w:val="24"/>
        </w:rPr>
        <w:t xml:space="preserve"> intercourse”</w:t>
      </w:r>
      <w:r w:rsidR="00EC50B1" w:rsidRPr="00853F1E">
        <w:rPr>
          <w:rFonts w:ascii="Times New Roman" w:hAnsi="Times New Roman" w:cs="Times New Roman"/>
          <w:color w:val="000000" w:themeColor="text1"/>
          <w:sz w:val="24"/>
          <w:szCs w:val="24"/>
        </w:rPr>
        <w:t xml:space="preserve"> </w:t>
      </w:r>
      <w:r w:rsidR="007314E0" w:rsidRPr="00853F1E">
        <w:rPr>
          <w:rFonts w:ascii="Times New Roman" w:hAnsi="Times New Roman" w:cs="Times New Roman"/>
          <w:color w:val="000000" w:themeColor="text1"/>
          <w:sz w:val="24"/>
          <w:szCs w:val="24"/>
        </w:rPr>
        <w:t>This</w:t>
      </w:r>
      <w:r w:rsidR="00EC50B1" w:rsidRPr="00853F1E">
        <w:rPr>
          <w:rFonts w:ascii="Times New Roman" w:hAnsi="Times New Roman" w:cs="Times New Roman"/>
          <w:color w:val="000000" w:themeColor="text1"/>
          <w:sz w:val="24"/>
          <w:szCs w:val="24"/>
        </w:rPr>
        <w:t xml:space="preserve"> provision </w:t>
      </w:r>
      <w:r w:rsidR="007314E0" w:rsidRPr="00853F1E">
        <w:rPr>
          <w:rFonts w:ascii="Times New Roman" w:hAnsi="Times New Roman" w:cs="Times New Roman"/>
          <w:color w:val="000000" w:themeColor="text1"/>
          <w:sz w:val="24"/>
          <w:szCs w:val="24"/>
        </w:rPr>
        <w:t xml:space="preserve">was used against </w:t>
      </w:r>
      <w:r w:rsidR="003F032E" w:rsidRPr="00853F1E">
        <w:rPr>
          <w:rFonts w:ascii="Times New Roman" w:hAnsi="Times New Roman" w:cs="Times New Roman"/>
          <w:color w:val="000000" w:themeColor="text1"/>
          <w:sz w:val="24"/>
          <w:szCs w:val="24"/>
        </w:rPr>
        <w:t>sexual intercourse with any person</w:t>
      </w:r>
      <w:r w:rsidR="00A031CE" w:rsidRPr="00853F1E">
        <w:rPr>
          <w:rFonts w:ascii="Times New Roman" w:hAnsi="Times New Roman" w:cs="Times New Roman"/>
          <w:color w:val="000000" w:themeColor="text1"/>
          <w:sz w:val="24"/>
          <w:szCs w:val="24"/>
        </w:rPr>
        <w:t xml:space="preserve"> which is against the order of nature.</w:t>
      </w:r>
      <w:r w:rsidR="006053E1" w:rsidRPr="00853F1E">
        <w:rPr>
          <w:rFonts w:ascii="Times New Roman" w:hAnsi="Times New Roman" w:cs="Times New Roman"/>
          <w:color w:val="000000" w:themeColor="text1"/>
          <w:sz w:val="24"/>
          <w:szCs w:val="24"/>
        </w:rPr>
        <w:t xml:space="preserve"> T</w:t>
      </w:r>
      <w:r w:rsidR="004127D6" w:rsidRPr="00853F1E">
        <w:rPr>
          <w:rFonts w:ascii="Times New Roman" w:hAnsi="Times New Roman" w:cs="Times New Roman"/>
          <w:color w:val="000000" w:themeColor="text1"/>
          <w:sz w:val="24"/>
          <w:szCs w:val="24"/>
        </w:rPr>
        <w:t xml:space="preserve">his </w:t>
      </w:r>
      <w:r w:rsidR="00BE5B24" w:rsidRPr="00853F1E">
        <w:rPr>
          <w:rFonts w:ascii="Times New Roman" w:hAnsi="Times New Roman" w:cs="Times New Roman"/>
          <w:color w:val="000000" w:themeColor="text1"/>
          <w:sz w:val="24"/>
          <w:szCs w:val="24"/>
        </w:rPr>
        <w:t xml:space="preserve">article talks about natural </w:t>
      </w:r>
      <w:r w:rsidR="00AA4412" w:rsidRPr="00853F1E">
        <w:rPr>
          <w:rFonts w:ascii="Times New Roman" w:hAnsi="Times New Roman" w:cs="Times New Roman"/>
          <w:color w:val="000000" w:themeColor="text1"/>
          <w:sz w:val="24"/>
          <w:szCs w:val="24"/>
        </w:rPr>
        <w:t>offense</w:t>
      </w:r>
      <w:r w:rsidR="00BE5B24" w:rsidRPr="00853F1E">
        <w:rPr>
          <w:rFonts w:ascii="Times New Roman" w:hAnsi="Times New Roman" w:cs="Times New Roman"/>
          <w:color w:val="000000" w:themeColor="text1"/>
          <w:sz w:val="24"/>
          <w:szCs w:val="24"/>
        </w:rPr>
        <w:t xml:space="preserve"> and how its status has been </w:t>
      </w:r>
      <w:r w:rsidR="00AA4412" w:rsidRPr="00853F1E">
        <w:rPr>
          <w:rFonts w:ascii="Times New Roman" w:hAnsi="Times New Roman" w:cs="Times New Roman"/>
          <w:color w:val="000000" w:themeColor="text1"/>
          <w:sz w:val="24"/>
          <w:szCs w:val="24"/>
        </w:rPr>
        <w:t xml:space="preserve">evolving </w:t>
      </w:r>
      <w:r w:rsidR="00621AF9" w:rsidRPr="00853F1E">
        <w:rPr>
          <w:rFonts w:ascii="Times New Roman" w:hAnsi="Times New Roman" w:cs="Times New Roman"/>
          <w:color w:val="000000" w:themeColor="text1"/>
          <w:sz w:val="24"/>
          <w:szCs w:val="24"/>
        </w:rPr>
        <w:t xml:space="preserve">from </w:t>
      </w:r>
      <w:r w:rsidR="00AA4412" w:rsidRPr="00853F1E">
        <w:rPr>
          <w:rFonts w:ascii="Times New Roman" w:hAnsi="Times New Roman" w:cs="Times New Roman"/>
          <w:color w:val="000000" w:themeColor="text1"/>
          <w:sz w:val="24"/>
          <w:szCs w:val="24"/>
        </w:rPr>
        <w:t xml:space="preserve">time to time in our Indian </w:t>
      </w:r>
      <w:r w:rsidR="00621AF9" w:rsidRPr="00853F1E">
        <w:rPr>
          <w:rFonts w:ascii="Times New Roman" w:hAnsi="Times New Roman" w:cs="Times New Roman"/>
          <w:color w:val="000000" w:themeColor="text1"/>
          <w:sz w:val="24"/>
          <w:szCs w:val="24"/>
        </w:rPr>
        <w:t xml:space="preserve">society through various </w:t>
      </w:r>
      <w:r w:rsidR="00D27421" w:rsidRPr="00853F1E">
        <w:rPr>
          <w:rFonts w:ascii="Times New Roman" w:hAnsi="Times New Roman" w:cs="Times New Roman"/>
          <w:color w:val="000000" w:themeColor="text1"/>
          <w:sz w:val="24"/>
          <w:szCs w:val="24"/>
        </w:rPr>
        <w:t>judgments</w:t>
      </w:r>
      <w:r w:rsidR="00B76483" w:rsidRPr="00853F1E">
        <w:rPr>
          <w:rFonts w:ascii="Times New Roman" w:hAnsi="Times New Roman" w:cs="Times New Roman"/>
          <w:color w:val="000000" w:themeColor="text1"/>
          <w:sz w:val="24"/>
          <w:szCs w:val="24"/>
        </w:rPr>
        <w:t xml:space="preserve">. </w:t>
      </w:r>
      <w:r w:rsidR="00145F81" w:rsidRPr="00853F1E">
        <w:rPr>
          <w:rFonts w:ascii="Times New Roman" w:hAnsi="Times New Roman" w:cs="Times New Roman"/>
          <w:color w:val="000000" w:themeColor="text1"/>
          <w:sz w:val="24"/>
          <w:szCs w:val="24"/>
        </w:rPr>
        <w:t>In 2018, the Supreme Court revisited the constitutionality of Section 377 in the case of Navtej Singh Johar v. Union of India. In a landmark judgment, the Supreme Court unanimously struck down Section 377 to the extent that it criminalized same-sex relations between consenting adults. The Court found that Section 377 violated the fundamental rights to equality (Article 14), non-discrimination (Article 15), and privacy (Article 21) of LGBT individuals.</w:t>
      </w:r>
      <w:r w:rsidR="00BB009A" w:rsidRPr="00853F1E">
        <w:rPr>
          <w:rFonts w:ascii="Times New Roman" w:hAnsi="Times New Roman" w:cs="Times New Roman"/>
          <w:color w:val="000000" w:themeColor="text1"/>
          <w:sz w:val="24"/>
          <w:szCs w:val="24"/>
        </w:rPr>
        <w:t xml:space="preserve"> The Supreme Court's judgment in Navtej Singh Johar was a major victory for the LGBT rights movement in India. It marked the end of a long and discriminatory legal regime that criminalized same-sex sexual activity. The judgment also sent a strong message that India is committed to protecting the fundamental rights of all its citizens, regardless of their sexual orientation or gender identity.</w:t>
      </w:r>
    </w:p>
    <w:p w14:paraId="10FB339F" w14:textId="4CB7C880" w:rsidR="006424AA" w:rsidRPr="00853F1E" w:rsidRDefault="00BE69D8"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Keywords- </w:t>
      </w:r>
      <w:r w:rsidR="00882190" w:rsidRPr="00853F1E">
        <w:rPr>
          <w:rFonts w:ascii="Times New Roman" w:hAnsi="Times New Roman" w:cs="Times New Roman"/>
          <w:color w:val="000000" w:themeColor="text1"/>
          <w:sz w:val="24"/>
          <w:szCs w:val="24"/>
        </w:rPr>
        <w:t>U</w:t>
      </w:r>
      <w:r w:rsidR="004A3A5E" w:rsidRPr="00853F1E">
        <w:rPr>
          <w:rFonts w:ascii="Times New Roman" w:hAnsi="Times New Roman" w:cs="Times New Roman"/>
          <w:color w:val="000000" w:themeColor="text1"/>
          <w:sz w:val="24"/>
          <w:szCs w:val="24"/>
        </w:rPr>
        <w:t xml:space="preserve">nnatural </w:t>
      </w:r>
      <w:r w:rsidR="00F8351B" w:rsidRPr="00853F1E">
        <w:rPr>
          <w:rFonts w:ascii="Times New Roman" w:hAnsi="Times New Roman" w:cs="Times New Roman"/>
          <w:color w:val="000000" w:themeColor="text1"/>
          <w:sz w:val="24"/>
          <w:szCs w:val="24"/>
        </w:rPr>
        <w:t>O</w:t>
      </w:r>
      <w:r w:rsidR="00882190" w:rsidRPr="00853F1E">
        <w:rPr>
          <w:rFonts w:ascii="Times New Roman" w:hAnsi="Times New Roman" w:cs="Times New Roman"/>
          <w:color w:val="000000" w:themeColor="text1"/>
          <w:sz w:val="24"/>
          <w:szCs w:val="24"/>
        </w:rPr>
        <w:t>ffenses</w:t>
      </w:r>
      <w:r w:rsidR="004A3A5E" w:rsidRPr="00853F1E">
        <w:rPr>
          <w:rFonts w:ascii="Times New Roman" w:hAnsi="Times New Roman" w:cs="Times New Roman"/>
          <w:color w:val="000000" w:themeColor="text1"/>
          <w:sz w:val="24"/>
          <w:szCs w:val="24"/>
        </w:rPr>
        <w:t>, LGBT</w:t>
      </w:r>
      <w:r w:rsidR="00590E51" w:rsidRPr="00853F1E">
        <w:rPr>
          <w:rFonts w:ascii="Times New Roman" w:hAnsi="Times New Roman" w:cs="Times New Roman"/>
          <w:color w:val="000000" w:themeColor="text1"/>
          <w:sz w:val="24"/>
          <w:szCs w:val="24"/>
        </w:rPr>
        <w:t xml:space="preserve">, </w:t>
      </w:r>
      <w:r w:rsidR="00882190" w:rsidRPr="00853F1E">
        <w:rPr>
          <w:rFonts w:ascii="Times New Roman" w:hAnsi="Times New Roman" w:cs="Times New Roman"/>
          <w:color w:val="000000" w:themeColor="text1"/>
          <w:sz w:val="24"/>
          <w:szCs w:val="24"/>
        </w:rPr>
        <w:t>H</w:t>
      </w:r>
      <w:r w:rsidR="00590E51" w:rsidRPr="00853F1E">
        <w:rPr>
          <w:rFonts w:ascii="Times New Roman" w:hAnsi="Times New Roman" w:cs="Times New Roman"/>
          <w:color w:val="000000" w:themeColor="text1"/>
          <w:sz w:val="24"/>
          <w:szCs w:val="24"/>
        </w:rPr>
        <w:t xml:space="preserve">omosexual, </w:t>
      </w:r>
      <w:r w:rsidR="00882190" w:rsidRPr="00853F1E">
        <w:rPr>
          <w:rFonts w:ascii="Times New Roman" w:hAnsi="Times New Roman" w:cs="Times New Roman"/>
          <w:color w:val="000000" w:themeColor="text1"/>
          <w:sz w:val="24"/>
          <w:szCs w:val="24"/>
        </w:rPr>
        <w:t>Discrimination, Equality</w:t>
      </w:r>
      <w:r w:rsidR="00853F1E">
        <w:rPr>
          <w:rFonts w:ascii="Times New Roman" w:hAnsi="Times New Roman" w:cs="Times New Roman"/>
          <w:color w:val="000000" w:themeColor="text1"/>
          <w:sz w:val="24"/>
          <w:szCs w:val="24"/>
        </w:rPr>
        <w:t>.</w:t>
      </w:r>
    </w:p>
    <w:p w14:paraId="61F3DF4C" w14:textId="665B70CB" w:rsidR="00D27421" w:rsidRPr="00853F1E" w:rsidRDefault="00D27421" w:rsidP="00853F1E">
      <w:pPr>
        <w:spacing w:line="360" w:lineRule="auto"/>
        <w:jc w:val="both"/>
        <w:rPr>
          <w:rFonts w:ascii="Times New Roman" w:hAnsi="Times New Roman" w:cs="Times New Roman"/>
          <w:b/>
          <w:bCs/>
          <w:sz w:val="24"/>
          <w:szCs w:val="24"/>
        </w:rPr>
      </w:pPr>
      <w:r w:rsidRPr="00853F1E">
        <w:rPr>
          <w:rFonts w:ascii="Times New Roman" w:hAnsi="Times New Roman" w:cs="Times New Roman"/>
          <w:b/>
          <w:bCs/>
          <w:sz w:val="24"/>
          <w:szCs w:val="24"/>
        </w:rPr>
        <w:t>Introduction</w:t>
      </w:r>
    </w:p>
    <w:p w14:paraId="24D4C39F" w14:textId="1BBE5D11" w:rsidR="002064F8" w:rsidRPr="00853F1E" w:rsidRDefault="004A4582" w:rsidP="00853F1E">
      <w:pPr>
        <w:spacing w:line="360" w:lineRule="auto"/>
        <w:jc w:val="both"/>
        <w:rPr>
          <w:rFonts w:ascii="Times New Roman" w:hAnsi="Times New Roman" w:cs="Times New Roman"/>
          <w:sz w:val="24"/>
          <w:szCs w:val="24"/>
          <w:u w:val="single"/>
        </w:rPr>
      </w:pPr>
      <w:r w:rsidRPr="00853F1E">
        <w:rPr>
          <w:rFonts w:ascii="Times New Roman" w:hAnsi="Times New Roman" w:cs="Times New Roman"/>
          <w:sz w:val="24"/>
          <w:szCs w:val="24"/>
        </w:rPr>
        <w:t xml:space="preserve">The history of Section 377 of the Indian Penal Code (IPC) </w:t>
      </w:r>
      <w:r w:rsidR="00853F1E" w:rsidRPr="00853F1E">
        <w:rPr>
          <w:rFonts w:ascii="Times New Roman" w:hAnsi="Times New Roman" w:cs="Times New Roman"/>
          <w:sz w:val="24"/>
          <w:szCs w:val="24"/>
        </w:rPr>
        <w:t>dates to</w:t>
      </w:r>
      <w:r w:rsidRPr="00853F1E">
        <w:rPr>
          <w:rFonts w:ascii="Times New Roman" w:hAnsi="Times New Roman" w:cs="Times New Roman"/>
          <w:sz w:val="24"/>
          <w:szCs w:val="24"/>
        </w:rPr>
        <w:t xml:space="preserve"> the time of British colonial rule in India. This law, which was first passed in the Victorian era in 1861, made "carnal intercourse against the order of nature" illegal. The purpose of its absorption was to impose the diverse and complicated Indian society with the moral and cultural standards of the British rulers.</w:t>
      </w:r>
      <w:r w:rsidR="00D27421" w:rsidRPr="00853F1E">
        <w:rPr>
          <w:rFonts w:ascii="Times New Roman" w:hAnsi="Times New Roman" w:cs="Times New Roman"/>
          <w:sz w:val="24"/>
          <w:szCs w:val="24"/>
        </w:rPr>
        <w:t xml:space="preserve"> </w:t>
      </w:r>
      <w:r w:rsidR="00806238" w:rsidRPr="00853F1E">
        <w:rPr>
          <w:rFonts w:ascii="Times New Roman" w:hAnsi="Times New Roman" w:cs="Times New Roman"/>
          <w:sz w:val="24"/>
          <w:szCs w:val="24"/>
        </w:rPr>
        <w:t xml:space="preserve">The Indian Penal Code was drafted by Lord Macaulay and was introduced in 1861 during the British time. Thus, it has been largely influenced by British laws. What was considered </w:t>
      </w:r>
      <w:r w:rsidR="00A34DED" w:rsidRPr="00853F1E">
        <w:rPr>
          <w:rFonts w:ascii="Times New Roman" w:hAnsi="Times New Roman" w:cs="Times New Roman"/>
          <w:sz w:val="24"/>
          <w:szCs w:val="24"/>
        </w:rPr>
        <w:t xml:space="preserve">a </w:t>
      </w:r>
      <w:r w:rsidR="00806238" w:rsidRPr="00853F1E">
        <w:rPr>
          <w:rFonts w:ascii="Times New Roman" w:hAnsi="Times New Roman" w:cs="Times New Roman"/>
          <w:sz w:val="24"/>
          <w:szCs w:val="24"/>
        </w:rPr>
        <w:t xml:space="preserve">crime in Britain at that time was also been made </w:t>
      </w:r>
      <w:r w:rsidR="00872D89" w:rsidRPr="00853F1E">
        <w:rPr>
          <w:rFonts w:ascii="Times New Roman" w:hAnsi="Times New Roman" w:cs="Times New Roman"/>
          <w:sz w:val="24"/>
          <w:szCs w:val="24"/>
        </w:rPr>
        <w:t xml:space="preserve">a </w:t>
      </w:r>
      <w:r w:rsidR="00806238" w:rsidRPr="00853F1E">
        <w:rPr>
          <w:rFonts w:ascii="Times New Roman" w:hAnsi="Times New Roman" w:cs="Times New Roman"/>
          <w:sz w:val="24"/>
          <w:szCs w:val="24"/>
        </w:rPr>
        <w:t xml:space="preserve">crime under IPC to a large extent. “Acts of sodomy were penalized by hanging under the Buggery </w:t>
      </w:r>
      <w:r w:rsidR="00872D89" w:rsidRPr="00853F1E">
        <w:rPr>
          <w:rFonts w:ascii="Times New Roman" w:hAnsi="Times New Roman" w:cs="Times New Roman"/>
          <w:sz w:val="24"/>
          <w:szCs w:val="24"/>
        </w:rPr>
        <w:t>Act of 1533,</w:t>
      </w:r>
      <w:r w:rsidR="00806238" w:rsidRPr="00853F1E">
        <w:rPr>
          <w:rFonts w:ascii="Times New Roman" w:hAnsi="Times New Roman" w:cs="Times New Roman"/>
          <w:sz w:val="24"/>
          <w:szCs w:val="24"/>
        </w:rPr>
        <w:t xml:space="preserve"> which was re-enacted in 1563 by Queen Elizabeth I, after </w:t>
      </w:r>
      <w:r w:rsidR="00806238" w:rsidRPr="00853F1E">
        <w:rPr>
          <w:rFonts w:ascii="Times New Roman" w:hAnsi="Times New Roman" w:cs="Times New Roman"/>
          <w:sz w:val="24"/>
          <w:szCs w:val="24"/>
        </w:rPr>
        <w:lastRenderedPageBreak/>
        <w:t xml:space="preserve">which it became the charter for the subsequent </w:t>
      </w:r>
      <w:r w:rsidR="00872D89" w:rsidRPr="00853F1E">
        <w:rPr>
          <w:rFonts w:ascii="Times New Roman" w:hAnsi="Times New Roman" w:cs="Times New Roman"/>
          <w:sz w:val="24"/>
          <w:szCs w:val="24"/>
        </w:rPr>
        <w:t>criminalization</w:t>
      </w:r>
      <w:r w:rsidR="00806238" w:rsidRPr="00853F1E">
        <w:rPr>
          <w:rFonts w:ascii="Times New Roman" w:hAnsi="Times New Roman" w:cs="Times New Roman"/>
          <w:sz w:val="24"/>
          <w:szCs w:val="24"/>
        </w:rPr>
        <w:t xml:space="preserve"> of sodomy in the British colonies”</w:t>
      </w:r>
      <w:r w:rsidR="00A74EEC" w:rsidRPr="00853F1E">
        <w:rPr>
          <w:rStyle w:val="FootnoteReference"/>
          <w:rFonts w:ascii="Times New Roman" w:hAnsi="Times New Roman" w:cs="Times New Roman"/>
          <w:sz w:val="24"/>
          <w:szCs w:val="24"/>
        </w:rPr>
        <w:footnoteReference w:id="1"/>
      </w:r>
      <w:r w:rsidR="00806238" w:rsidRPr="00853F1E">
        <w:rPr>
          <w:rFonts w:ascii="Times New Roman" w:hAnsi="Times New Roman" w:cs="Times New Roman"/>
          <w:sz w:val="24"/>
          <w:szCs w:val="24"/>
        </w:rPr>
        <w:t xml:space="preserve">.  Thus, Section 377 of </w:t>
      </w:r>
      <w:r w:rsidR="00872D89" w:rsidRPr="00853F1E">
        <w:rPr>
          <w:rFonts w:ascii="Times New Roman" w:hAnsi="Times New Roman" w:cs="Times New Roman"/>
          <w:sz w:val="24"/>
          <w:szCs w:val="24"/>
        </w:rPr>
        <w:t xml:space="preserve">the </w:t>
      </w:r>
      <w:r w:rsidR="00806238" w:rsidRPr="00853F1E">
        <w:rPr>
          <w:rFonts w:ascii="Times New Roman" w:hAnsi="Times New Roman" w:cs="Times New Roman"/>
          <w:sz w:val="24"/>
          <w:szCs w:val="24"/>
        </w:rPr>
        <w:t xml:space="preserve">Indian Penal Code derives its origin from the </w:t>
      </w:r>
      <w:proofErr w:type="gramStart"/>
      <w:r w:rsidR="00806238" w:rsidRPr="00853F1E">
        <w:rPr>
          <w:rFonts w:ascii="Times New Roman" w:hAnsi="Times New Roman" w:cs="Times New Roman"/>
          <w:sz w:val="24"/>
          <w:szCs w:val="24"/>
        </w:rPr>
        <w:t>Buggery</w:t>
      </w:r>
      <w:proofErr w:type="gramEnd"/>
      <w:r w:rsidR="00806238" w:rsidRPr="00853F1E">
        <w:rPr>
          <w:rFonts w:ascii="Times New Roman" w:hAnsi="Times New Roman" w:cs="Times New Roman"/>
          <w:sz w:val="24"/>
          <w:szCs w:val="24"/>
        </w:rPr>
        <w:t xml:space="preserve"> Act of 1533. It is important to note here that this law has not been amended by Parliament ever since its enactment. This law is based on Judeo-Christian moral and ethical standards which conceive of sex on purely functional terms, that is, for procreation</w:t>
      </w:r>
      <w:r w:rsidR="00D27421" w:rsidRPr="00853F1E">
        <w:rPr>
          <w:rFonts w:ascii="Times New Roman" w:hAnsi="Times New Roman" w:cs="Times New Roman"/>
          <w:sz w:val="24"/>
          <w:szCs w:val="24"/>
        </w:rPr>
        <w:t>,</w:t>
      </w:r>
      <w:r w:rsidR="00806238" w:rsidRPr="00853F1E">
        <w:rPr>
          <w:rFonts w:ascii="Times New Roman" w:hAnsi="Times New Roman" w:cs="Times New Roman"/>
          <w:sz w:val="24"/>
          <w:szCs w:val="24"/>
        </w:rPr>
        <w:t xml:space="preserve"> and on this </w:t>
      </w:r>
      <w:r w:rsidR="0063652C" w:rsidRPr="00853F1E">
        <w:rPr>
          <w:rFonts w:ascii="Times New Roman" w:hAnsi="Times New Roman" w:cs="Times New Roman"/>
          <w:sz w:val="24"/>
          <w:szCs w:val="24"/>
        </w:rPr>
        <w:t>basis,</w:t>
      </w:r>
      <w:r w:rsidR="00806238" w:rsidRPr="00853F1E">
        <w:rPr>
          <w:rFonts w:ascii="Times New Roman" w:hAnsi="Times New Roman" w:cs="Times New Roman"/>
          <w:sz w:val="24"/>
          <w:szCs w:val="24"/>
        </w:rPr>
        <w:t xml:space="preserve"> homosexuality is considered as unnatural and against the order of nature</w:t>
      </w:r>
      <w:r w:rsidR="003A1771" w:rsidRPr="00853F1E">
        <w:rPr>
          <w:rStyle w:val="FootnoteReference"/>
          <w:rFonts w:ascii="Times New Roman" w:hAnsi="Times New Roman" w:cs="Times New Roman"/>
          <w:sz w:val="24"/>
          <w:szCs w:val="24"/>
        </w:rPr>
        <w:footnoteReference w:id="2"/>
      </w:r>
      <w:r w:rsidR="00806238" w:rsidRPr="00853F1E">
        <w:rPr>
          <w:rFonts w:ascii="Times New Roman" w:hAnsi="Times New Roman" w:cs="Times New Roman"/>
          <w:sz w:val="24"/>
          <w:szCs w:val="24"/>
        </w:rPr>
        <w:t>.</w:t>
      </w:r>
      <w:r w:rsidR="002064F8" w:rsidRPr="00853F1E">
        <w:rPr>
          <w:rFonts w:ascii="Times New Roman" w:hAnsi="Times New Roman" w:cs="Times New Roman"/>
          <w:sz w:val="24"/>
          <w:szCs w:val="24"/>
        </w:rPr>
        <w:t xml:space="preserve"> Voices of opposition emerged throughout the post-independence period as Indian society started to consider its colonial past. Human rights advocates, legal experts, and supporters of LGBTQ+ rights have started to challenge the justification for criminalizing consenting same-sex relationships.</w:t>
      </w:r>
      <w:r w:rsidR="002064F8" w:rsidRPr="00853F1E">
        <w:rPr>
          <w:rFonts w:ascii="Times New Roman" w:hAnsi="Times New Roman" w:cs="Times New Roman"/>
          <w:sz w:val="24"/>
          <w:szCs w:val="24"/>
          <w:u w:val="single"/>
        </w:rPr>
        <w:t xml:space="preserve"> </w:t>
      </w:r>
    </w:p>
    <w:p w14:paraId="689D0B0F" w14:textId="22B7CE61" w:rsidR="00DC76D9" w:rsidRPr="00853F1E" w:rsidRDefault="00DC76D9"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One of the main justifications </w:t>
      </w:r>
      <w:r w:rsidR="00217A90" w:rsidRPr="00853F1E">
        <w:rPr>
          <w:rFonts w:ascii="Times New Roman" w:hAnsi="Times New Roman" w:cs="Times New Roman"/>
          <w:sz w:val="24"/>
          <w:szCs w:val="24"/>
        </w:rPr>
        <w:t>for</w:t>
      </w:r>
      <w:r w:rsidRPr="00853F1E">
        <w:rPr>
          <w:rFonts w:ascii="Times New Roman" w:hAnsi="Times New Roman" w:cs="Times New Roman"/>
          <w:sz w:val="24"/>
          <w:szCs w:val="24"/>
        </w:rPr>
        <w:t xml:space="preserve"> Section 377 </w:t>
      </w:r>
      <w:r w:rsidR="00217A90" w:rsidRPr="00853F1E">
        <w:rPr>
          <w:rFonts w:ascii="Times New Roman" w:hAnsi="Times New Roman" w:cs="Times New Roman"/>
          <w:sz w:val="24"/>
          <w:szCs w:val="24"/>
        </w:rPr>
        <w:t>centers</w:t>
      </w:r>
      <w:r w:rsidRPr="00853F1E">
        <w:rPr>
          <w:rFonts w:ascii="Times New Roman" w:hAnsi="Times New Roman" w:cs="Times New Roman"/>
          <w:sz w:val="24"/>
          <w:szCs w:val="24"/>
        </w:rPr>
        <w:t xml:space="preserve"> on the fact that it violates Article 14 of the Indian Constitution, which upholds the right to equality. The clause </w:t>
      </w:r>
      <w:r w:rsidR="00217A90" w:rsidRPr="00853F1E">
        <w:rPr>
          <w:rFonts w:ascii="Times New Roman" w:hAnsi="Times New Roman" w:cs="Times New Roman"/>
          <w:sz w:val="24"/>
          <w:szCs w:val="24"/>
        </w:rPr>
        <w:t>categorizes</w:t>
      </w:r>
      <w:r w:rsidRPr="00853F1E">
        <w:rPr>
          <w:rFonts w:ascii="Times New Roman" w:hAnsi="Times New Roman" w:cs="Times New Roman"/>
          <w:sz w:val="24"/>
          <w:szCs w:val="24"/>
        </w:rPr>
        <w:t xml:space="preserve"> people who are in</w:t>
      </w:r>
      <w:r w:rsidR="00464271" w:rsidRPr="00853F1E">
        <w:rPr>
          <w:rFonts w:ascii="Times New Roman" w:hAnsi="Times New Roman" w:cs="Times New Roman"/>
          <w:sz w:val="24"/>
          <w:szCs w:val="24"/>
        </w:rPr>
        <w:t xml:space="preserve"> </w:t>
      </w:r>
      <w:r w:rsidRPr="00853F1E">
        <w:rPr>
          <w:rFonts w:ascii="Times New Roman" w:hAnsi="Times New Roman" w:cs="Times New Roman"/>
          <w:sz w:val="24"/>
          <w:szCs w:val="24"/>
        </w:rPr>
        <w:t>same-sex relationships as criminals</w:t>
      </w:r>
      <w:r w:rsidR="00217A90" w:rsidRPr="00853F1E">
        <w:rPr>
          <w:rFonts w:ascii="Times New Roman" w:hAnsi="Times New Roman" w:cs="Times New Roman"/>
          <w:sz w:val="24"/>
          <w:szCs w:val="24"/>
        </w:rPr>
        <w:t>,</w:t>
      </w:r>
      <w:r w:rsidRPr="00853F1E">
        <w:rPr>
          <w:rFonts w:ascii="Times New Roman" w:hAnsi="Times New Roman" w:cs="Times New Roman"/>
          <w:sz w:val="24"/>
          <w:szCs w:val="24"/>
        </w:rPr>
        <w:t xml:space="preserve"> purely </w:t>
      </w:r>
      <w:proofErr w:type="gramStart"/>
      <w:r w:rsidRPr="00853F1E">
        <w:rPr>
          <w:rFonts w:ascii="Times New Roman" w:hAnsi="Times New Roman" w:cs="Times New Roman"/>
          <w:sz w:val="24"/>
          <w:szCs w:val="24"/>
        </w:rPr>
        <w:t>on the basis of</w:t>
      </w:r>
      <w:proofErr w:type="gramEnd"/>
      <w:r w:rsidRPr="00853F1E">
        <w:rPr>
          <w:rFonts w:ascii="Times New Roman" w:hAnsi="Times New Roman" w:cs="Times New Roman"/>
          <w:sz w:val="24"/>
          <w:szCs w:val="24"/>
        </w:rPr>
        <w:t xml:space="preserve"> their sexual orientation. The idea of equal protection under the law is directly at odds with this unequal treatment.</w:t>
      </w:r>
    </w:p>
    <w:p w14:paraId="7755C3F7" w14:textId="12B42BE4" w:rsidR="00DC76D9" w:rsidRPr="00853F1E" w:rsidRDefault="00DC76D9"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Discrimination </w:t>
      </w:r>
      <w:r w:rsidR="00C7635C" w:rsidRPr="00853F1E">
        <w:rPr>
          <w:rFonts w:ascii="Times New Roman" w:hAnsi="Times New Roman" w:cs="Times New Roman"/>
          <w:sz w:val="24"/>
          <w:szCs w:val="24"/>
        </w:rPr>
        <w:t>based on</w:t>
      </w:r>
      <w:r w:rsidRPr="00853F1E">
        <w:rPr>
          <w:rFonts w:ascii="Times New Roman" w:hAnsi="Times New Roman" w:cs="Times New Roman"/>
          <w:sz w:val="24"/>
          <w:szCs w:val="24"/>
        </w:rPr>
        <w:t xml:space="preserve"> sex is illegal according to Article 15 of the Constitution, among other things as well. The application of Section 377 violates the LGBTQ+ community's right to live without discrimination because it targets them based on their sexual orientation.</w:t>
      </w:r>
    </w:p>
    <w:p w14:paraId="4BD2E1CB" w14:textId="137F9447" w:rsidR="000A779E" w:rsidRPr="00853F1E" w:rsidRDefault="000614BF"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Article 19 safeguards the freedom of expression, which extends beyond mere speech to encompass personal autonomy and intimate relationships. </w:t>
      </w:r>
      <w:r w:rsidR="007520CD" w:rsidRPr="00853F1E">
        <w:rPr>
          <w:rFonts w:ascii="Times New Roman" w:hAnsi="Times New Roman" w:cs="Times New Roman"/>
          <w:sz w:val="24"/>
          <w:szCs w:val="24"/>
        </w:rPr>
        <w:t>These rights are violated by Section 377, which makes it illegal for adults to engage in consensual sexual activity in enclosed areas. It limits people's freedom to develop intimate relationships and express their sexual identity without worrying about legal penalties.</w:t>
      </w:r>
    </w:p>
    <w:p w14:paraId="2780548B" w14:textId="3353682D" w:rsidR="00310FD0" w:rsidRPr="00853F1E" w:rsidRDefault="006E05EF"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Article 21 guarantees the right to life and personal liberty, which encompasses the right to make choices about one's own body and sexual preferences. Section 377 infringes upon this right by </w:t>
      </w:r>
      <w:r w:rsidRPr="00853F1E">
        <w:rPr>
          <w:rFonts w:ascii="Times New Roman" w:hAnsi="Times New Roman" w:cs="Times New Roman"/>
          <w:sz w:val="24"/>
          <w:szCs w:val="24"/>
        </w:rPr>
        <w:lastRenderedPageBreak/>
        <w:t>criminalizing private consensual acts between adults, impinging on personal autonomy and the ability to make intimate decisions.</w:t>
      </w:r>
    </w:p>
    <w:p w14:paraId="1F04CF3B" w14:textId="62EAFA33" w:rsidR="00DD10C6" w:rsidRPr="00853F1E" w:rsidRDefault="00DD10C6" w:rsidP="00853F1E">
      <w:pPr>
        <w:spacing w:line="360" w:lineRule="auto"/>
        <w:jc w:val="both"/>
        <w:rPr>
          <w:rFonts w:ascii="Times New Roman" w:hAnsi="Times New Roman" w:cs="Times New Roman"/>
          <w:sz w:val="24"/>
          <w:szCs w:val="24"/>
        </w:rPr>
      </w:pPr>
      <w:r w:rsidRPr="00853F1E">
        <w:rPr>
          <w:rFonts w:ascii="Times New Roman" w:hAnsi="Times New Roman" w:cs="Times New Roman"/>
          <w:b/>
          <w:bCs/>
          <w:sz w:val="24"/>
          <w:szCs w:val="24"/>
        </w:rPr>
        <w:t>Legal Precedents and Judicial Interpretations:</w:t>
      </w:r>
    </w:p>
    <w:p w14:paraId="2E365E7E" w14:textId="4F3C68CC" w:rsidR="00814F45" w:rsidRPr="00853F1E" w:rsidRDefault="00814F45"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Section 377 of the Indian Penal Code (IPC) was subject to </w:t>
      </w:r>
      <w:r w:rsidR="004346CE" w:rsidRPr="00853F1E">
        <w:rPr>
          <w:rFonts w:ascii="Times New Roman" w:hAnsi="Times New Roman" w:cs="Times New Roman"/>
          <w:sz w:val="24"/>
          <w:szCs w:val="24"/>
        </w:rPr>
        <w:t>several</w:t>
      </w:r>
      <w:r w:rsidRPr="00853F1E">
        <w:rPr>
          <w:rFonts w:ascii="Times New Roman" w:hAnsi="Times New Roman" w:cs="Times New Roman"/>
          <w:sz w:val="24"/>
          <w:szCs w:val="24"/>
        </w:rPr>
        <w:t xml:space="preserve"> judicial challenges prior to the historic ruling in Navtej Singh Johar v. Union of India in 2018, which revealed the judiciary's divergent views on constitutional rights. These difficulties offer insight </w:t>
      </w:r>
      <w:r w:rsidR="0078190B" w:rsidRPr="00853F1E">
        <w:rPr>
          <w:rFonts w:ascii="Times New Roman" w:hAnsi="Times New Roman" w:cs="Times New Roman"/>
          <w:sz w:val="24"/>
          <w:szCs w:val="24"/>
        </w:rPr>
        <w:t>into</w:t>
      </w:r>
      <w:r w:rsidRPr="00853F1E">
        <w:rPr>
          <w:rFonts w:ascii="Times New Roman" w:hAnsi="Times New Roman" w:cs="Times New Roman"/>
          <w:sz w:val="24"/>
          <w:szCs w:val="24"/>
        </w:rPr>
        <w:t xml:space="preserve"> the difficult path taken by LGBTQ+ people in India to gain legal recognition.</w:t>
      </w:r>
    </w:p>
    <w:p w14:paraId="5057A0CD" w14:textId="191300FB" w:rsidR="00D55600" w:rsidRPr="00853F1E" w:rsidRDefault="003B3599"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Naz Foundation</w:t>
      </w:r>
      <w:r w:rsidR="00AB21EF" w:rsidRPr="00853F1E">
        <w:rPr>
          <w:rFonts w:ascii="Times New Roman" w:hAnsi="Times New Roman" w:cs="Times New Roman"/>
          <w:sz w:val="24"/>
          <w:szCs w:val="24"/>
        </w:rPr>
        <w:t xml:space="preserve"> v. </w:t>
      </w:r>
      <w:r w:rsidR="00CA6152" w:rsidRPr="00853F1E">
        <w:rPr>
          <w:rFonts w:ascii="Times New Roman" w:hAnsi="Times New Roman" w:cs="Times New Roman"/>
          <w:sz w:val="24"/>
          <w:szCs w:val="24"/>
        </w:rPr>
        <w:t>Government of the NCT of Delhi</w:t>
      </w:r>
      <w:r w:rsidR="006F1563" w:rsidRPr="00853F1E">
        <w:rPr>
          <w:rStyle w:val="FootnoteReference"/>
          <w:rFonts w:ascii="Times New Roman" w:hAnsi="Times New Roman" w:cs="Times New Roman"/>
          <w:sz w:val="24"/>
          <w:szCs w:val="24"/>
        </w:rPr>
        <w:footnoteReference w:id="3"/>
      </w:r>
      <w:r w:rsidR="006F1563" w:rsidRPr="00853F1E">
        <w:rPr>
          <w:rFonts w:ascii="Times New Roman" w:hAnsi="Times New Roman" w:cs="Times New Roman"/>
          <w:sz w:val="24"/>
          <w:szCs w:val="24"/>
        </w:rPr>
        <w:t>-</w:t>
      </w:r>
      <w:r w:rsidR="009031A5" w:rsidRPr="00853F1E">
        <w:rPr>
          <w:rFonts w:ascii="Times New Roman" w:hAnsi="Times New Roman" w:cs="Times New Roman"/>
          <w:sz w:val="24"/>
          <w:szCs w:val="24"/>
        </w:rPr>
        <w:t xml:space="preserve"> </w:t>
      </w:r>
      <w:r w:rsidRPr="00853F1E">
        <w:rPr>
          <w:rFonts w:ascii="Times New Roman" w:hAnsi="Times New Roman" w:cs="Times New Roman"/>
          <w:sz w:val="24"/>
          <w:szCs w:val="24"/>
        </w:rPr>
        <w:t xml:space="preserve">An important turning point in the legal conflict against Section 377 was highlighted by this case. A Public Interest Litigation (PIL) was brought by the non-governmental Naz Foundation to contest the legitimacy of the clause. Consensual homosexual actions between adults were </w:t>
      </w:r>
      <w:r w:rsidR="0078190B" w:rsidRPr="00853F1E">
        <w:rPr>
          <w:rFonts w:ascii="Times New Roman" w:hAnsi="Times New Roman" w:cs="Times New Roman"/>
          <w:sz w:val="24"/>
          <w:szCs w:val="24"/>
        </w:rPr>
        <w:t>decriminalized</w:t>
      </w:r>
      <w:r w:rsidRPr="00853F1E">
        <w:rPr>
          <w:rFonts w:ascii="Times New Roman" w:hAnsi="Times New Roman" w:cs="Times New Roman"/>
          <w:sz w:val="24"/>
          <w:szCs w:val="24"/>
        </w:rPr>
        <w:t xml:space="preserve"> by the Delhi High Court in a landmark decision. The Indian Constitution's fundamental rights, such as the right to equality, the right to life, and the right to personal liberty, were deemed to have been breached by Section 377, according to the court. This ruling offered promise for a more inclusive legal system by being the first time a court in India </w:t>
      </w:r>
      <w:r w:rsidR="0078190B" w:rsidRPr="00853F1E">
        <w:rPr>
          <w:rFonts w:ascii="Times New Roman" w:hAnsi="Times New Roman" w:cs="Times New Roman"/>
          <w:sz w:val="24"/>
          <w:szCs w:val="24"/>
        </w:rPr>
        <w:t>recognized</w:t>
      </w:r>
      <w:r w:rsidRPr="00853F1E">
        <w:rPr>
          <w:rFonts w:ascii="Times New Roman" w:hAnsi="Times New Roman" w:cs="Times New Roman"/>
          <w:sz w:val="24"/>
          <w:szCs w:val="24"/>
        </w:rPr>
        <w:t xml:space="preserve"> the rights of LGBTQ+ people.</w:t>
      </w:r>
    </w:p>
    <w:p w14:paraId="179C77B4" w14:textId="78F35551" w:rsidR="00D55600" w:rsidRPr="00853F1E" w:rsidRDefault="00D02448"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Suresh Kumar Koushal &amp; Anr vs Naz Foundation &amp; </w:t>
      </w:r>
      <w:proofErr w:type="spellStart"/>
      <w:r w:rsidRPr="00853F1E">
        <w:rPr>
          <w:rFonts w:ascii="Times New Roman" w:hAnsi="Times New Roman" w:cs="Times New Roman"/>
          <w:sz w:val="24"/>
          <w:szCs w:val="24"/>
        </w:rPr>
        <w:t>Ors</w:t>
      </w:r>
      <w:proofErr w:type="spellEnd"/>
      <w:r w:rsidRPr="00853F1E">
        <w:rPr>
          <w:rStyle w:val="FootnoteReference"/>
          <w:rFonts w:ascii="Times New Roman" w:hAnsi="Times New Roman" w:cs="Times New Roman"/>
          <w:sz w:val="24"/>
          <w:szCs w:val="24"/>
        </w:rPr>
        <w:footnoteReference w:id="4"/>
      </w:r>
      <w:r w:rsidR="00D55600" w:rsidRPr="00853F1E">
        <w:rPr>
          <w:rFonts w:ascii="Times New Roman" w:hAnsi="Times New Roman" w:cs="Times New Roman"/>
          <w:sz w:val="24"/>
          <w:szCs w:val="24"/>
        </w:rPr>
        <w:t xml:space="preserve">: This development was transient. The Supreme Court of India reversed the Delhi High Court's decision in Suresh Kumar Koushal v. Naz Foundation, marking a step </w:t>
      </w:r>
      <w:r w:rsidR="00337583" w:rsidRPr="00853F1E">
        <w:rPr>
          <w:rFonts w:ascii="Times New Roman" w:hAnsi="Times New Roman" w:cs="Times New Roman"/>
          <w:sz w:val="24"/>
          <w:szCs w:val="24"/>
        </w:rPr>
        <w:t>backward</w:t>
      </w:r>
      <w:r w:rsidR="00D55600" w:rsidRPr="00853F1E">
        <w:rPr>
          <w:rFonts w:ascii="Times New Roman" w:hAnsi="Times New Roman" w:cs="Times New Roman"/>
          <w:sz w:val="24"/>
          <w:szCs w:val="24"/>
        </w:rPr>
        <w:t xml:space="preserve"> in the legal system. The supreme court reinstated the prohibition of </w:t>
      </w:r>
      <w:r w:rsidR="00337583" w:rsidRPr="00853F1E">
        <w:rPr>
          <w:rFonts w:ascii="Times New Roman" w:hAnsi="Times New Roman" w:cs="Times New Roman"/>
          <w:sz w:val="24"/>
          <w:szCs w:val="24"/>
        </w:rPr>
        <w:t xml:space="preserve">unnatural </w:t>
      </w:r>
      <w:r w:rsidR="00563367" w:rsidRPr="00853F1E">
        <w:rPr>
          <w:rFonts w:ascii="Times New Roman" w:hAnsi="Times New Roman" w:cs="Times New Roman"/>
          <w:sz w:val="24"/>
          <w:szCs w:val="24"/>
        </w:rPr>
        <w:t>offenses</w:t>
      </w:r>
      <w:r w:rsidR="0078190B" w:rsidRPr="00853F1E">
        <w:rPr>
          <w:rFonts w:ascii="Times New Roman" w:hAnsi="Times New Roman" w:cs="Times New Roman"/>
          <w:sz w:val="24"/>
          <w:szCs w:val="24"/>
        </w:rPr>
        <w:t xml:space="preserve"> </w:t>
      </w:r>
      <w:r w:rsidR="00A14A69" w:rsidRPr="00853F1E">
        <w:rPr>
          <w:rFonts w:ascii="Times New Roman" w:hAnsi="Times New Roman" w:cs="Times New Roman"/>
          <w:sz w:val="24"/>
          <w:szCs w:val="24"/>
        </w:rPr>
        <w:t xml:space="preserve">and </w:t>
      </w:r>
      <w:r w:rsidR="00316AA1" w:rsidRPr="00853F1E">
        <w:rPr>
          <w:rFonts w:ascii="Times New Roman" w:hAnsi="Times New Roman" w:cs="Times New Roman"/>
          <w:sz w:val="24"/>
          <w:szCs w:val="24"/>
        </w:rPr>
        <w:t xml:space="preserve">criminalized homosexuality once again </w:t>
      </w:r>
      <w:r w:rsidR="00D55600" w:rsidRPr="00853F1E">
        <w:rPr>
          <w:rFonts w:ascii="Times New Roman" w:hAnsi="Times New Roman" w:cs="Times New Roman"/>
          <w:sz w:val="24"/>
          <w:szCs w:val="24"/>
        </w:rPr>
        <w:t xml:space="preserve">and declared that it was up to the legislature to decide whether Section 377 was constitutional. Human rights groups and the LGBTQ+ community expressed fury at this decision, which was widely </w:t>
      </w:r>
      <w:r w:rsidR="00337583" w:rsidRPr="00853F1E">
        <w:rPr>
          <w:rFonts w:ascii="Times New Roman" w:hAnsi="Times New Roman" w:cs="Times New Roman"/>
          <w:sz w:val="24"/>
          <w:szCs w:val="24"/>
        </w:rPr>
        <w:t>criticized</w:t>
      </w:r>
      <w:r w:rsidR="00D55600" w:rsidRPr="00853F1E">
        <w:rPr>
          <w:rFonts w:ascii="Times New Roman" w:hAnsi="Times New Roman" w:cs="Times New Roman"/>
          <w:sz w:val="24"/>
          <w:szCs w:val="24"/>
        </w:rPr>
        <w:t>.</w:t>
      </w:r>
    </w:p>
    <w:p w14:paraId="4D67016E" w14:textId="13794474" w:rsidR="00CA2A08" w:rsidRPr="00853F1E" w:rsidRDefault="006E15DF"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lastRenderedPageBreak/>
        <w:t>The Navtej Singh Johar</w:t>
      </w:r>
      <w:r w:rsidR="00845095" w:rsidRPr="00853F1E">
        <w:rPr>
          <w:rStyle w:val="FootnoteReference"/>
          <w:rFonts w:ascii="Times New Roman" w:hAnsi="Times New Roman" w:cs="Times New Roman"/>
          <w:sz w:val="24"/>
          <w:szCs w:val="24"/>
        </w:rPr>
        <w:footnoteReference w:id="5"/>
      </w:r>
      <w:r w:rsidRPr="00853F1E">
        <w:rPr>
          <w:rFonts w:ascii="Times New Roman" w:hAnsi="Times New Roman" w:cs="Times New Roman"/>
          <w:sz w:val="24"/>
          <w:szCs w:val="24"/>
        </w:rPr>
        <w:t xml:space="preserve"> ruling, handed down by a Supreme Court Constitution Bench in 2018, was a turning point for LGBTQ+ rights in India. The court's ruling was a decisive victory for equality and human rights, departing from the earlier narrow reading of Section 377.</w:t>
      </w:r>
      <w:r w:rsidR="00F61AF4" w:rsidRPr="00853F1E">
        <w:rPr>
          <w:rFonts w:ascii="Times New Roman" w:hAnsi="Times New Roman" w:cs="Times New Roman"/>
          <w:sz w:val="24"/>
          <w:szCs w:val="24"/>
        </w:rPr>
        <w:t xml:space="preserve"> The bench held that criminalization of sexual </w:t>
      </w:r>
      <w:r w:rsidR="00563367" w:rsidRPr="00853F1E">
        <w:rPr>
          <w:rFonts w:ascii="Times New Roman" w:hAnsi="Times New Roman" w:cs="Times New Roman"/>
          <w:sz w:val="24"/>
          <w:szCs w:val="24"/>
        </w:rPr>
        <w:t>acts</w:t>
      </w:r>
      <w:r w:rsidR="00F61AF4" w:rsidRPr="00853F1E">
        <w:rPr>
          <w:rFonts w:ascii="Times New Roman" w:hAnsi="Times New Roman" w:cs="Times New Roman"/>
          <w:sz w:val="24"/>
          <w:szCs w:val="24"/>
        </w:rPr>
        <w:t xml:space="preserve"> between consenting </w:t>
      </w:r>
      <w:r w:rsidR="00B92AA6" w:rsidRPr="00853F1E">
        <w:rPr>
          <w:rFonts w:ascii="Times New Roman" w:hAnsi="Times New Roman" w:cs="Times New Roman"/>
          <w:sz w:val="24"/>
          <w:szCs w:val="24"/>
        </w:rPr>
        <w:t xml:space="preserve">adults </w:t>
      </w:r>
      <w:r w:rsidR="00563367" w:rsidRPr="00853F1E">
        <w:rPr>
          <w:rFonts w:ascii="Times New Roman" w:hAnsi="Times New Roman" w:cs="Times New Roman"/>
          <w:sz w:val="24"/>
          <w:szCs w:val="24"/>
        </w:rPr>
        <w:t>is</w:t>
      </w:r>
      <w:r w:rsidR="00B92AA6" w:rsidRPr="00853F1E">
        <w:rPr>
          <w:rFonts w:ascii="Times New Roman" w:hAnsi="Times New Roman" w:cs="Times New Roman"/>
          <w:sz w:val="24"/>
          <w:szCs w:val="24"/>
        </w:rPr>
        <w:t xml:space="preserve"> </w:t>
      </w:r>
      <w:r w:rsidR="00563367" w:rsidRPr="00853F1E">
        <w:rPr>
          <w:rFonts w:ascii="Times New Roman" w:hAnsi="Times New Roman" w:cs="Times New Roman"/>
          <w:sz w:val="24"/>
          <w:szCs w:val="24"/>
        </w:rPr>
        <w:t xml:space="preserve">a </w:t>
      </w:r>
      <w:r w:rsidR="00B92AA6" w:rsidRPr="00853F1E">
        <w:rPr>
          <w:rFonts w:ascii="Times New Roman" w:hAnsi="Times New Roman" w:cs="Times New Roman"/>
          <w:sz w:val="24"/>
          <w:szCs w:val="24"/>
        </w:rPr>
        <w:t xml:space="preserve">violation of </w:t>
      </w:r>
      <w:r w:rsidR="00602FF0">
        <w:rPr>
          <w:rFonts w:ascii="Times New Roman" w:hAnsi="Times New Roman" w:cs="Times New Roman"/>
          <w:sz w:val="24"/>
          <w:szCs w:val="24"/>
        </w:rPr>
        <w:t>Article</w:t>
      </w:r>
      <w:r w:rsidR="00B92AA6" w:rsidRPr="00853F1E">
        <w:rPr>
          <w:rFonts w:ascii="Times New Roman" w:hAnsi="Times New Roman" w:cs="Times New Roman"/>
          <w:sz w:val="24"/>
          <w:szCs w:val="24"/>
        </w:rPr>
        <w:t xml:space="preserve"> 14,</w:t>
      </w:r>
      <w:r w:rsidR="00563367" w:rsidRPr="00853F1E">
        <w:rPr>
          <w:rFonts w:ascii="Times New Roman" w:hAnsi="Times New Roman" w:cs="Times New Roman"/>
          <w:sz w:val="24"/>
          <w:szCs w:val="24"/>
        </w:rPr>
        <w:t xml:space="preserve"> 15, 19, and 21 of the Indian constitution.</w:t>
      </w:r>
    </w:p>
    <w:p w14:paraId="4DDE9C51" w14:textId="5ED1D2F2" w:rsidR="00C5246D" w:rsidRPr="00853F1E" w:rsidRDefault="00D559B6"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The Navtej Singh Johar ruling had a significant impact on LGBTQ+ rights as well as Indian society </w:t>
      </w:r>
      <w:proofErr w:type="gramStart"/>
      <w:r w:rsidRPr="00853F1E">
        <w:rPr>
          <w:rFonts w:ascii="Times New Roman" w:hAnsi="Times New Roman" w:cs="Times New Roman"/>
          <w:sz w:val="24"/>
          <w:szCs w:val="24"/>
        </w:rPr>
        <w:t xml:space="preserve">as a whole </w:t>
      </w:r>
      <w:r w:rsidR="00E3088A" w:rsidRPr="00853F1E">
        <w:rPr>
          <w:rFonts w:ascii="Times New Roman" w:hAnsi="Times New Roman" w:cs="Times New Roman"/>
          <w:sz w:val="24"/>
          <w:szCs w:val="24"/>
        </w:rPr>
        <w:t>b</w:t>
      </w:r>
      <w:r w:rsidRPr="00853F1E">
        <w:rPr>
          <w:rFonts w:ascii="Times New Roman" w:hAnsi="Times New Roman" w:cs="Times New Roman"/>
          <w:sz w:val="24"/>
          <w:szCs w:val="24"/>
        </w:rPr>
        <w:t>y</w:t>
      </w:r>
      <w:proofErr w:type="gramEnd"/>
      <w:r w:rsidRPr="00853F1E">
        <w:rPr>
          <w:rFonts w:ascii="Times New Roman" w:hAnsi="Times New Roman" w:cs="Times New Roman"/>
          <w:sz w:val="24"/>
          <w:szCs w:val="24"/>
        </w:rPr>
        <w:t xml:space="preserve"> </w:t>
      </w:r>
      <w:r w:rsidR="0048517B" w:rsidRPr="00853F1E">
        <w:rPr>
          <w:rFonts w:ascii="Times New Roman" w:hAnsi="Times New Roman" w:cs="Times New Roman"/>
          <w:sz w:val="24"/>
          <w:szCs w:val="24"/>
        </w:rPr>
        <w:t>decriminalizing</w:t>
      </w:r>
      <w:r w:rsidRPr="00853F1E">
        <w:rPr>
          <w:rFonts w:ascii="Times New Roman" w:hAnsi="Times New Roman" w:cs="Times New Roman"/>
          <w:sz w:val="24"/>
          <w:szCs w:val="24"/>
        </w:rPr>
        <w:t xml:space="preserve"> consenting gay conduct, </w:t>
      </w:r>
      <w:r w:rsidR="00602FF0">
        <w:rPr>
          <w:rFonts w:ascii="Times New Roman" w:hAnsi="Times New Roman" w:cs="Times New Roman"/>
          <w:sz w:val="24"/>
          <w:szCs w:val="24"/>
        </w:rPr>
        <w:t>The</w:t>
      </w:r>
      <w:r w:rsidRPr="00853F1E">
        <w:rPr>
          <w:rFonts w:ascii="Times New Roman" w:hAnsi="Times New Roman" w:cs="Times New Roman"/>
          <w:sz w:val="24"/>
          <w:szCs w:val="24"/>
        </w:rPr>
        <w:t xml:space="preserve"> rights and dignity of LGBTQ+ people were </w:t>
      </w:r>
      <w:r w:rsidR="00BC0A6E" w:rsidRPr="00853F1E">
        <w:rPr>
          <w:rFonts w:ascii="Times New Roman" w:hAnsi="Times New Roman" w:cs="Times New Roman"/>
          <w:sz w:val="24"/>
          <w:szCs w:val="24"/>
        </w:rPr>
        <w:t>recognized</w:t>
      </w:r>
      <w:r w:rsidRPr="00853F1E">
        <w:rPr>
          <w:rFonts w:ascii="Times New Roman" w:hAnsi="Times New Roman" w:cs="Times New Roman"/>
          <w:sz w:val="24"/>
          <w:szCs w:val="24"/>
        </w:rPr>
        <w:t>, and they were given legal protection from prejudice and retaliation</w:t>
      </w:r>
      <w:r w:rsidR="00E3088A" w:rsidRPr="00853F1E">
        <w:rPr>
          <w:rFonts w:ascii="Times New Roman" w:hAnsi="Times New Roman" w:cs="Times New Roman"/>
          <w:sz w:val="24"/>
          <w:szCs w:val="24"/>
        </w:rPr>
        <w:t xml:space="preserve">. </w:t>
      </w:r>
      <w:r w:rsidRPr="00853F1E">
        <w:rPr>
          <w:rFonts w:ascii="Times New Roman" w:hAnsi="Times New Roman" w:cs="Times New Roman"/>
          <w:sz w:val="24"/>
          <w:szCs w:val="24"/>
        </w:rPr>
        <w:t>The ruling generated a national dialogue on LGBTQ+ rights, which enhanced people's knowledge of various sexual orientations and gender identities</w:t>
      </w:r>
      <w:r w:rsidR="00E3088A" w:rsidRPr="00853F1E">
        <w:rPr>
          <w:rFonts w:ascii="Times New Roman" w:hAnsi="Times New Roman" w:cs="Times New Roman"/>
          <w:sz w:val="24"/>
          <w:szCs w:val="24"/>
        </w:rPr>
        <w:t xml:space="preserve">. </w:t>
      </w:r>
      <w:r w:rsidRPr="00853F1E">
        <w:rPr>
          <w:rFonts w:ascii="Times New Roman" w:hAnsi="Times New Roman" w:cs="Times New Roman"/>
          <w:sz w:val="24"/>
          <w:szCs w:val="24"/>
        </w:rPr>
        <w:t xml:space="preserve">The ruling </w:t>
      </w:r>
      <w:r w:rsidR="00154F91" w:rsidRPr="00853F1E">
        <w:rPr>
          <w:rFonts w:ascii="Times New Roman" w:hAnsi="Times New Roman" w:cs="Times New Roman"/>
          <w:sz w:val="24"/>
          <w:szCs w:val="24"/>
        </w:rPr>
        <w:t>emphasized</w:t>
      </w:r>
      <w:r w:rsidRPr="00853F1E">
        <w:rPr>
          <w:rFonts w:ascii="Times New Roman" w:hAnsi="Times New Roman" w:cs="Times New Roman"/>
          <w:sz w:val="24"/>
          <w:szCs w:val="24"/>
        </w:rPr>
        <w:t xml:space="preserve"> the significance of respecting constitutional values and human rights principles </w:t>
      </w:r>
      <w:r w:rsidR="00BA11EC" w:rsidRPr="00853F1E">
        <w:rPr>
          <w:rFonts w:ascii="Times New Roman" w:hAnsi="Times New Roman" w:cs="Times New Roman"/>
          <w:sz w:val="24"/>
          <w:szCs w:val="24"/>
        </w:rPr>
        <w:t>to</w:t>
      </w:r>
      <w:r w:rsidRPr="00853F1E">
        <w:rPr>
          <w:rFonts w:ascii="Times New Roman" w:hAnsi="Times New Roman" w:cs="Times New Roman"/>
          <w:sz w:val="24"/>
          <w:szCs w:val="24"/>
        </w:rPr>
        <w:t xml:space="preserve"> promote a more inclusive and just society.</w:t>
      </w:r>
      <w:r w:rsidR="00F32C75" w:rsidRPr="00853F1E">
        <w:rPr>
          <w:rFonts w:ascii="Times New Roman" w:hAnsi="Times New Roman" w:cs="Times New Roman"/>
          <w:sz w:val="24"/>
          <w:szCs w:val="24"/>
        </w:rPr>
        <w:t xml:space="preserve"> </w:t>
      </w:r>
      <w:r w:rsidRPr="00853F1E">
        <w:rPr>
          <w:rFonts w:ascii="Times New Roman" w:hAnsi="Times New Roman" w:cs="Times New Roman"/>
          <w:sz w:val="24"/>
          <w:szCs w:val="24"/>
        </w:rPr>
        <w:t>The ruling had an impact on laws governing healthcare, education, and employment, encouraging equality for LGBTQ+ people.</w:t>
      </w:r>
    </w:p>
    <w:p w14:paraId="6039D175" w14:textId="77777777" w:rsidR="00D27421" w:rsidRPr="00853F1E" w:rsidRDefault="00DD10C6" w:rsidP="00853F1E">
      <w:pPr>
        <w:spacing w:line="360" w:lineRule="auto"/>
        <w:jc w:val="both"/>
        <w:rPr>
          <w:rFonts w:ascii="Times New Roman" w:hAnsi="Times New Roman" w:cs="Times New Roman"/>
          <w:color w:val="FF0000"/>
          <w:sz w:val="24"/>
          <w:szCs w:val="24"/>
        </w:rPr>
      </w:pPr>
      <w:r w:rsidRPr="00853F1E">
        <w:rPr>
          <w:rFonts w:ascii="Times New Roman" w:hAnsi="Times New Roman" w:cs="Times New Roman"/>
          <w:b/>
          <w:bCs/>
          <w:sz w:val="24"/>
          <w:szCs w:val="24"/>
        </w:rPr>
        <w:t>Socio-Cultural Dynamics</w:t>
      </w:r>
      <w:r w:rsidR="00750776" w:rsidRPr="00853F1E">
        <w:rPr>
          <w:rFonts w:ascii="Times New Roman" w:hAnsi="Times New Roman" w:cs="Times New Roman"/>
          <w:b/>
          <w:bCs/>
          <w:sz w:val="24"/>
          <w:szCs w:val="24"/>
        </w:rPr>
        <w:t xml:space="preserve"> and Post-Judgment Developments:</w:t>
      </w:r>
    </w:p>
    <w:p w14:paraId="1EC3536C" w14:textId="1575B8A8" w:rsidR="0073347B" w:rsidRPr="00853F1E" w:rsidRDefault="00B939D5" w:rsidP="00853F1E">
      <w:pPr>
        <w:spacing w:line="360" w:lineRule="auto"/>
        <w:jc w:val="both"/>
        <w:rPr>
          <w:rFonts w:ascii="Times New Roman" w:hAnsi="Times New Roman" w:cs="Times New Roman"/>
          <w:color w:val="FF0000"/>
          <w:sz w:val="24"/>
          <w:szCs w:val="24"/>
        </w:rPr>
      </w:pPr>
      <w:r w:rsidRPr="00853F1E">
        <w:rPr>
          <w:rFonts w:ascii="Times New Roman" w:hAnsi="Times New Roman" w:cs="Times New Roman"/>
          <w:sz w:val="24"/>
          <w:szCs w:val="24"/>
        </w:rPr>
        <w:t xml:space="preserve">The discussion of whether LGBTQ+ rights are constitutionally protected is intricately tied to social and cultural norms. Cultural norms and cultural values have historically had a big impact on how laws are interpreted and how legal discourse is shaped. These cultural and social ideas have played a significant role in both stifling progress and spurring change </w:t>
      </w:r>
      <w:proofErr w:type="gramStart"/>
      <w:r w:rsidRPr="00853F1E">
        <w:rPr>
          <w:rFonts w:ascii="Times New Roman" w:hAnsi="Times New Roman" w:cs="Times New Roman"/>
          <w:sz w:val="24"/>
          <w:szCs w:val="24"/>
        </w:rPr>
        <w:t>in the area of</w:t>
      </w:r>
      <w:proofErr w:type="gramEnd"/>
      <w:r w:rsidRPr="00853F1E">
        <w:rPr>
          <w:rFonts w:ascii="Times New Roman" w:hAnsi="Times New Roman" w:cs="Times New Roman"/>
          <w:sz w:val="24"/>
          <w:szCs w:val="24"/>
        </w:rPr>
        <w:t xml:space="preserve"> LGBTQ+ rights.</w:t>
      </w:r>
    </w:p>
    <w:p w14:paraId="730B6769" w14:textId="28ABE665" w:rsidR="00334DC9" w:rsidRPr="00853F1E" w:rsidRDefault="00F345B9"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u w:val="single"/>
        </w:rPr>
        <w:t>Social norms</w:t>
      </w:r>
      <w:r w:rsidRPr="00853F1E">
        <w:rPr>
          <w:rFonts w:ascii="Times New Roman" w:hAnsi="Times New Roman" w:cs="Times New Roman"/>
          <w:sz w:val="24"/>
          <w:szCs w:val="24"/>
        </w:rPr>
        <w:t>: Social norms have an impact on how LGBTQ+ people are viewed and treated by the general population. People frequently worry about social isolation or ostracization if they actively support LGBTQ+ rights in societies where LGBTQ+ identities are stigmatized. This anxiety fosters a culture of quiet and change resistance. On the other hand, in more advanced societies, where LGBTQ+ individuals are embraced, the constitutionality debate is often framed in terms of equal rights and human dignity</w:t>
      </w:r>
      <w:r w:rsidR="00646EB4" w:rsidRPr="00853F1E">
        <w:rPr>
          <w:rFonts w:ascii="Times New Roman" w:hAnsi="Times New Roman" w:cs="Times New Roman"/>
          <w:sz w:val="24"/>
          <w:szCs w:val="24"/>
        </w:rPr>
        <w:t>.</w:t>
      </w:r>
      <w:r w:rsidR="00B46B95" w:rsidRPr="00853F1E">
        <w:rPr>
          <w:rFonts w:ascii="Times New Roman" w:hAnsi="Times New Roman" w:cs="Times New Roman"/>
          <w:sz w:val="24"/>
          <w:szCs w:val="24"/>
        </w:rPr>
        <w:t xml:space="preserve"> </w:t>
      </w:r>
      <w:r w:rsidR="005906AB" w:rsidRPr="00853F1E">
        <w:rPr>
          <w:rFonts w:ascii="Times New Roman" w:hAnsi="Times New Roman" w:cs="Times New Roman"/>
          <w:sz w:val="24"/>
          <w:szCs w:val="24"/>
          <w:u w:val="single"/>
        </w:rPr>
        <w:t>Cultural influences</w:t>
      </w:r>
      <w:r w:rsidR="005906AB" w:rsidRPr="00853F1E">
        <w:rPr>
          <w:rFonts w:ascii="Times New Roman" w:hAnsi="Times New Roman" w:cs="Times New Roman"/>
          <w:sz w:val="24"/>
          <w:szCs w:val="24"/>
        </w:rPr>
        <w:t xml:space="preserve">: Cultural beliefs frequently mirror the existing social standards, which can be rigid and resistant to change. Traditional ideas of family, marriage, and gender roles are strongly embedded in many cultures. Due to the apparent threat to </w:t>
      </w:r>
      <w:r w:rsidR="005906AB" w:rsidRPr="00853F1E">
        <w:rPr>
          <w:rFonts w:ascii="Times New Roman" w:hAnsi="Times New Roman" w:cs="Times New Roman"/>
          <w:sz w:val="24"/>
          <w:szCs w:val="24"/>
        </w:rPr>
        <w:lastRenderedPageBreak/>
        <w:t xml:space="preserve">cultural legacy, deviations from these standards, such as same-sex relationships, have encountered pushback. These cultural factors may lead to resistance to defending and </w:t>
      </w:r>
      <w:r w:rsidR="00323CDE" w:rsidRPr="00853F1E">
        <w:rPr>
          <w:rFonts w:ascii="Times New Roman" w:hAnsi="Times New Roman" w:cs="Times New Roman"/>
          <w:sz w:val="24"/>
          <w:szCs w:val="24"/>
        </w:rPr>
        <w:t>recognizing</w:t>
      </w:r>
      <w:r w:rsidR="005906AB" w:rsidRPr="00853F1E">
        <w:rPr>
          <w:rFonts w:ascii="Times New Roman" w:hAnsi="Times New Roman" w:cs="Times New Roman"/>
          <w:sz w:val="24"/>
          <w:szCs w:val="24"/>
        </w:rPr>
        <w:t xml:space="preserve"> LGBTQ+ rights, which fuels the argument about their constitutionality.</w:t>
      </w:r>
      <w:r w:rsidR="00334DC9" w:rsidRPr="00853F1E">
        <w:rPr>
          <w:rFonts w:ascii="Times New Roman" w:hAnsi="Times New Roman" w:cs="Times New Roman"/>
          <w:sz w:val="24"/>
          <w:szCs w:val="24"/>
        </w:rPr>
        <w:t xml:space="preserve"> </w:t>
      </w:r>
    </w:p>
    <w:p w14:paraId="24F42289" w14:textId="226EE390" w:rsidR="00D27421" w:rsidRPr="00853F1E" w:rsidRDefault="00323CDE"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Unfortunate realities that many LGBTQ+ people must deal with include stigmatization and discrimination, which are frequently the result of deeply rooted preconceptions. The following ways </w:t>
      </w:r>
      <w:r w:rsidR="00602FF0" w:rsidRPr="00853F1E">
        <w:rPr>
          <w:rFonts w:ascii="Times New Roman" w:hAnsi="Times New Roman" w:cs="Times New Roman"/>
          <w:sz w:val="24"/>
          <w:szCs w:val="24"/>
        </w:rPr>
        <w:t>are that</w:t>
      </w:r>
      <w:r w:rsidRPr="00853F1E">
        <w:rPr>
          <w:rFonts w:ascii="Times New Roman" w:hAnsi="Times New Roman" w:cs="Times New Roman"/>
          <w:sz w:val="24"/>
          <w:szCs w:val="24"/>
        </w:rPr>
        <w:t xml:space="preserve"> these unfavorable perceptions may have an impact on the constitutionality discussion</w:t>
      </w:r>
      <w:r w:rsidR="00A51449" w:rsidRPr="00853F1E">
        <w:rPr>
          <w:rFonts w:ascii="Times New Roman" w:hAnsi="Times New Roman" w:cs="Times New Roman"/>
          <w:sz w:val="24"/>
          <w:szCs w:val="24"/>
        </w:rPr>
        <w:t>.</w:t>
      </w:r>
      <w:r w:rsidRPr="00853F1E">
        <w:rPr>
          <w:rFonts w:ascii="Times New Roman" w:hAnsi="Times New Roman" w:cs="Times New Roman"/>
          <w:sz w:val="24"/>
          <w:szCs w:val="24"/>
        </w:rPr>
        <w:t xml:space="preserve"> Legal changes aimed at defending LGBTQ+ people's rights may face opposition if society views LGBTQ+ people through the prism of stigma and discrimination. Even when progressive legislation adheres to constitutional norms, public opinion may influence parliamentarians' willingness to support it</w:t>
      </w:r>
      <w:r w:rsidR="00D7304B" w:rsidRPr="00853F1E">
        <w:rPr>
          <w:rFonts w:ascii="Times New Roman" w:hAnsi="Times New Roman" w:cs="Times New Roman"/>
          <w:sz w:val="24"/>
          <w:szCs w:val="24"/>
        </w:rPr>
        <w:t xml:space="preserve">. </w:t>
      </w:r>
      <w:r w:rsidRPr="00853F1E">
        <w:rPr>
          <w:rFonts w:ascii="Times New Roman" w:hAnsi="Times New Roman" w:cs="Times New Roman"/>
          <w:sz w:val="24"/>
          <w:szCs w:val="24"/>
        </w:rPr>
        <w:t>Skewed public discourse might result from the stigmatization of LGBTQ+ people. It might be difficult to have sensible discussions regarding constitutional rights when stereotypes and preconceptions are present.</w:t>
      </w:r>
    </w:p>
    <w:p w14:paraId="092864B6" w14:textId="77777777" w:rsidR="00D27421" w:rsidRPr="00853F1E" w:rsidRDefault="00D27421" w:rsidP="00853F1E">
      <w:pPr>
        <w:spacing w:line="360" w:lineRule="auto"/>
        <w:jc w:val="both"/>
        <w:rPr>
          <w:rFonts w:ascii="Times New Roman" w:hAnsi="Times New Roman" w:cs="Times New Roman"/>
          <w:b/>
          <w:bCs/>
          <w:sz w:val="24"/>
          <w:szCs w:val="24"/>
        </w:rPr>
      </w:pPr>
    </w:p>
    <w:p w14:paraId="51551927" w14:textId="44DDB9A9" w:rsidR="007567B8" w:rsidRPr="00853F1E" w:rsidRDefault="007567B8" w:rsidP="00853F1E">
      <w:pPr>
        <w:spacing w:line="360" w:lineRule="auto"/>
        <w:jc w:val="both"/>
        <w:rPr>
          <w:rFonts w:ascii="Times New Roman" w:hAnsi="Times New Roman" w:cs="Times New Roman"/>
          <w:b/>
          <w:bCs/>
          <w:sz w:val="24"/>
          <w:szCs w:val="24"/>
        </w:rPr>
      </w:pPr>
      <w:r w:rsidRPr="00853F1E">
        <w:rPr>
          <w:rFonts w:ascii="Times New Roman" w:hAnsi="Times New Roman" w:cs="Times New Roman"/>
          <w:b/>
          <w:bCs/>
          <w:sz w:val="24"/>
          <w:szCs w:val="24"/>
        </w:rPr>
        <w:t>Legal Arguments and Decisions Influenced by Social Attitudes</w:t>
      </w:r>
    </w:p>
    <w:p w14:paraId="48B2DADD" w14:textId="77777777" w:rsidR="007567B8" w:rsidRPr="00853F1E" w:rsidRDefault="007567B8"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Legal arguments and judicial rulings in situations concerning LGBTQ+ rights are significantly influenced by societal attitudes:</w:t>
      </w:r>
    </w:p>
    <w:p w14:paraId="10832721" w14:textId="0F670595" w:rsidR="007567B8" w:rsidRPr="00853F1E" w:rsidRDefault="007567B8"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Conservative Interpretations: Since judges are members of society, they may be influenced by the sentiments that are now prevalent. Judges may interpret constitutional rights narrowly in circumstances when they have conservative views on sexual orientation and gender identity, which results in </w:t>
      </w:r>
      <w:r w:rsidR="00D27421" w:rsidRPr="00853F1E">
        <w:rPr>
          <w:rFonts w:ascii="Times New Roman" w:hAnsi="Times New Roman" w:cs="Times New Roman"/>
          <w:sz w:val="24"/>
          <w:szCs w:val="24"/>
        </w:rPr>
        <w:t>judgments</w:t>
      </w:r>
      <w:r w:rsidRPr="00853F1E">
        <w:rPr>
          <w:rFonts w:ascii="Times New Roman" w:hAnsi="Times New Roman" w:cs="Times New Roman"/>
          <w:sz w:val="24"/>
          <w:szCs w:val="24"/>
        </w:rPr>
        <w:t xml:space="preserve"> that fall short of providing proper protection for LGBTQ+ rights.</w:t>
      </w:r>
    </w:p>
    <w:p w14:paraId="1280E479" w14:textId="77777777" w:rsidR="007567B8" w:rsidRPr="00853F1E" w:rsidRDefault="007567B8"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Developing Interpretations: On the other hand, societal advancement and changing attitudes can also affect judicial rulings. As a result of the shifting social climate, courts in more progressive cultures are more likely to interpret constitutional concepts in ways that protect LGBTQ+ rights.</w:t>
      </w:r>
    </w:p>
    <w:p w14:paraId="6B2817D1" w14:textId="3B3B0EC7" w:rsidR="00636960" w:rsidRPr="00853F1E" w:rsidRDefault="007567B8"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Public Interest: When rendering decisions, courts frequently take the public interest into account.</w:t>
      </w:r>
      <w:r w:rsidR="004A18AF" w:rsidRPr="00853F1E">
        <w:rPr>
          <w:rFonts w:ascii="Times New Roman" w:hAnsi="Times New Roman" w:cs="Times New Roman"/>
          <w:sz w:val="24"/>
          <w:szCs w:val="24"/>
        </w:rPr>
        <w:t xml:space="preserve"> If societal attitudes are moving towards greater acceptance of LGBTQ+ individuals, courts might be more inclined to make decisions that reflect this shift.</w:t>
      </w:r>
    </w:p>
    <w:p w14:paraId="09AC71F6" w14:textId="291BEE0B" w:rsidR="00DD10C6" w:rsidRPr="00853F1E" w:rsidRDefault="00A362C3" w:rsidP="00853F1E">
      <w:pPr>
        <w:spacing w:line="360" w:lineRule="auto"/>
        <w:jc w:val="both"/>
        <w:rPr>
          <w:rFonts w:ascii="Times New Roman" w:hAnsi="Times New Roman" w:cs="Times New Roman"/>
          <w:sz w:val="24"/>
          <w:szCs w:val="24"/>
        </w:rPr>
      </w:pPr>
      <w:r w:rsidRPr="00853F1E">
        <w:rPr>
          <w:rFonts w:ascii="Times New Roman" w:hAnsi="Times New Roman" w:cs="Times New Roman"/>
          <w:sz w:val="24"/>
          <w:szCs w:val="24"/>
        </w:rPr>
        <w:t xml:space="preserve">The constitutionality discussion surrounding LGBTQ+ rights is significantly influenced by cultural and societal ideas. They have an impact on judicial </w:t>
      </w:r>
      <w:r w:rsidR="00D27421" w:rsidRPr="00853F1E">
        <w:rPr>
          <w:rFonts w:ascii="Times New Roman" w:hAnsi="Times New Roman" w:cs="Times New Roman"/>
          <w:sz w:val="24"/>
          <w:szCs w:val="24"/>
        </w:rPr>
        <w:t>judgments</w:t>
      </w:r>
      <w:r w:rsidRPr="00853F1E">
        <w:rPr>
          <w:rFonts w:ascii="Times New Roman" w:hAnsi="Times New Roman" w:cs="Times New Roman"/>
          <w:sz w:val="24"/>
          <w:szCs w:val="24"/>
        </w:rPr>
        <w:t xml:space="preserve">, legal arguments, and public </w:t>
      </w:r>
      <w:r w:rsidRPr="00853F1E">
        <w:rPr>
          <w:rFonts w:ascii="Times New Roman" w:hAnsi="Times New Roman" w:cs="Times New Roman"/>
          <w:sz w:val="24"/>
          <w:szCs w:val="24"/>
        </w:rPr>
        <w:lastRenderedPageBreak/>
        <w:t>views. Legal protections for LGBTQ+ people are more likely to be acknowledged and upheld as societies develop and become more inclusive. The difficulty is in ensuring that constitutional values prevail over societal and cultural prejudices, creating a legal system that genuinely defends equal rights for all.</w:t>
      </w:r>
    </w:p>
    <w:p w14:paraId="68306D64" w14:textId="0633D0EC" w:rsidR="00DD10C6" w:rsidRPr="00853F1E" w:rsidRDefault="00DD10C6" w:rsidP="00853F1E">
      <w:pPr>
        <w:spacing w:line="360" w:lineRule="auto"/>
        <w:jc w:val="both"/>
        <w:rPr>
          <w:rFonts w:ascii="Times New Roman" w:hAnsi="Times New Roman" w:cs="Times New Roman"/>
          <w:sz w:val="24"/>
          <w:szCs w:val="24"/>
        </w:rPr>
      </w:pPr>
      <w:r w:rsidRPr="00853F1E">
        <w:rPr>
          <w:rFonts w:ascii="Times New Roman" w:hAnsi="Times New Roman" w:cs="Times New Roman"/>
          <w:b/>
          <w:bCs/>
          <w:sz w:val="24"/>
          <w:szCs w:val="24"/>
        </w:rPr>
        <w:t>Conclusion</w:t>
      </w:r>
    </w:p>
    <w:p w14:paraId="2FB26C4A" w14:textId="0600B283" w:rsidR="002E1C9C" w:rsidRPr="00853F1E" w:rsidRDefault="00C710F1"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The discussion over whether Section 377 of the Indian Penal Code is constitutional has been a voyage of contrasts, reflecting public perceptions, judicial interpretations, and the battle for LGBTQ+ rights.</w:t>
      </w:r>
      <w:r w:rsidR="00602FF0">
        <w:rPr>
          <w:rFonts w:ascii="Times New Roman" w:hAnsi="Times New Roman" w:cs="Times New Roman"/>
          <w:color w:val="000000" w:themeColor="text1"/>
          <w:sz w:val="24"/>
          <w:szCs w:val="24"/>
        </w:rPr>
        <w:t xml:space="preserve"> </w:t>
      </w:r>
      <w:r w:rsidR="00602FF0" w:rsidRPr="00853F1E">
        <w:rPr>
          <w:rFonts w:ascii="Times New Roman" w:hAnsi="Times New Roman" w:cs="Times New Roman"/>
          <w:color w:val="000000" w:themeColor="text1"/>
          <w:sz w:val="24"/>
          <w:szCs w:val="24"/>
        </w:rPr>
        <w:t>the</w:t>
      </w:r>
      <w:r w:rsidRPr="00853F1E">
        <w:rPr>
          <w:rFonts w:ascii="Times New Roman" w:hAnsi="Times New Roman" w:cs="Times New Roman"/>
          <w:color w:val="000000" w:themeColor="text1"/>
          <w:sz w:val="24"/>
          <w:szCs w:val="24"/>
        </w:rPr>
        <w:t xml:space="preserve"> fight for equal rights for everyone, irrespective of sexual orientation or gender identity, continues to be a major issue in the constitutional discourse of contemporary India.</w:t>
      </w:r>
    </w:p>
    <w:p w14:paraId="5D6B2498" w14:textId="77777777" w:rsidR="00363A92" w:rsidRPr="00853F1E" w:rsidRDefault="009D0EC0"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The intricacy of LGBTQ+ rights has been vividly depicted in the arguments for and against the constitutionality of Section 377:</w:t>
      </w:r>
    </w:p>
    <w:p w14:paraId="16DE95EE" w14:textId="4D555358" w:rsidR="009D0EC0" w:rsidRPr="00853F1E" w:rsidRDefault="009D0EC0"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For: Some Section 377 supporters frequently point to cultural and religious convictions as justification for retaining the clause. They contend that making same-sex partnerships illegal upholds moral standards and established social mores. The abolition of Section 377, according to supporters, would have an adverse impact on public morality.</w:t>
      </w:r>
    </w:p>
    <w:p w14:paraId="75D7113D" w14:textId="1DB64A77" w:rsidR="007633A6" w:rsidRPr="00853F1E" w:rsidRDefault="009D0EC0"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In opposition: Those who are against Section 377 stress the basic values established in the Indian Constitution. They draw attention to how the clause discriminates against LGBTQ+ people by violating their fundamental rights to privacy, equality, and individual liberty. They argue that Section 377 must be repealed </w:t>
      </w:r>
      <w:proofErr w:type="gramStart"/>
      <w:r w:rsidRPr="00853F1E">
        <w:rPr>
          <w:rFonts w:ascii="Times New Roman" w:hAnsi="Times New Roman" w:cs="Times New Roman"/>
          <w:color w:val="000000" w:themeColor="text1"/>
          <w:sz w:val="24"/>
          <w:szCs w:val="24"/>
        </w:rPr>
        <w:t>in order to</w:t>
      </w:r>
      <w:proofErr w:type="gramEnd"/>
      <w:r w:rsidRPr="00853F1E">
        <w:rPr>
          <w:rFonts w:ascii="Times New Roman" w:hAnsi="Times New Roman" w:cs="Times New Roman"/>
          <w:color w:val="000000" w:themeColor="text1"/>
          <w:sz w:val="24"/>
          <w:szCs w:val="24"/>
        </w:rPr>
        <w:t xml:space="preserve"> create a society that is fair and inclusive.</w:t>
      </w:r>
    </w:p>
    <w:p w14:paraId="7179B6D8" w14:textId="77777777" w:rsidR="00A11F7E" w:rsidRPr="00853F1E" w:rsidRDefault="00A11F7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Reviewing the Navtej Singh Johar Decision</w:t>
      </w:r>
    </w:p>
    <w:p w14:paraId="65685EB3" w14:textId="4C96B336" w:rsidR="00A11F7E" w:rsidRPr="00853F1E" w:rsidRDefault="00A11F7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A significant turning point in the battle for LGBTQ+ rights was the Supreme Court's 2018 Navtej Singh Johar ruling. It </w:t>
      </w:r>
      <w:r w:rsidR="001A6351" w:rsidRPr="00853F1E">
        <w:rPr>
          <w:rFonts w:ascii="Times New Roman" w:hAnsi="Times New Roman" w:cs="Times New Roman"/>
          <w:color w:val="000000" w:themeColor="text1"/>
          <w:sz w:val="24"/>
          <w:szCs w:val="24"/>
        </w:rPr>
        <w:t>signaled</w:t>
      </w:r>
      <w:r w:rsidRPr="00853F1E">
        <w:rPr>
          <w:rFonts w:ascii="Times New Roman" w:hAnsi="Times New Roman" w:cs="Times New Roman"/>
          <w:color w:val="000000" w:themeColor="text1"/>
          <w:sz w:val="24"/>
          <w:szCs w:val="24"/>
        </w:rPr>
        <w:t xml:space="preserve"> a break </w:t>
      </w:r>
      <w:r w:rsidR="00D27421" w:rsidRPr="00853F1E">
        <w:rPr>
          <w:rFonts w:ascii="Times New Roman" w:hAnsi="Times New Roman" w:cs="Times New Roman"/>
          <w:color w:val="000000" w:themeColor="text1"/>
          <w:sz w:val="24"/>
          <w:szCs w:val="24"/>
        </w:rPr>
        <w:t>from</w:t>
      </w:r>
      <w:r w:rsidRPr="00853F1E">
        <w:rPr>
          <w:rFonts w:ascii="Times New Roman" w:hAnsi="Times New Roman" w:cs="Times New Roman"/>
          <w:color w:val="000000" w:themeColor="text1"/>
          <w:sz w:val="24"/>
          <w:szCs w:val="24"/>
        </w:rPr>
        <w:t xml:space="preserve"> the past's discriminatory </w:t>
      </w:r>
      <w:r w:rsidR="001A6351" w:rsidRPr="00853F1E">
        <w:rPr>
          <w:rFonts w:ascii="Times New Roman" w:hAnsi="Times New Roman" w:cs="Times New Roman"/>
          <w:color w:val="000000" w:themeColor="text1"/>
          <w:sz w:val="24"/>
          <w:szCs w:val="24"/>
        </w:rPr>
        <w:t>practices</w:t>
      </w:r>
      <w:r w:rsidRPr="00853F1E">
        <w:rPr>
          <w:rFonts w:ascii="Times New Roman" w:hAnsi="Times New Roman" w:cs="Times New Roman"/>
          <w:color w:val="000000" w:themeColor="text1"/>
          <w:sz w:val="24"/>
          <w:szCs w:val="24"/>
        </w:rPr>
        <w:t xml:space="preserve"> and welcomed a future of respect and equality. For </w:t>
      </w:r>
      <w:r w:rsidR="002C431E" w:rsidRPr="00853F1E">
        <w:rPr>
          <w:rFonts w:ascii="Times New Roman" w:hAnsi="Times New Roman" w:cs="Times New Roman"/>
          <w:color w:val="000000" w:themeColor="text1"/>
          <w:sz w:val="24"/>
          <w:szCs w:val="24"/>
        </w:rPr>
        <w:t>several</w:t>
      </w:r>
      <w:r w:rsidRPr="00853F1E">
        <w:rPr>
          <w:rFonts w:ascii="Times New Roman" w:hAnsi="Times New Roman" w:cs="Times New Roman"/>
          <w:color w:val="000000" w:themeColor="text1"/>
          <w:sz w:val="24"/>
          <w:szCs w:val="24"/>
        </w:rPr>
        <w:t xml:space="preserve"> reasons, this </w:t>
      </w:r>
      <w:r w:rsidR="00D27421" w:rsidRPr="00853F1E">
        <w:rPr>
          <w:rFonts w:ascii="Times New Roman" w:hAnsi="Times New Roman" w:cs="Times New Roman"/>
          <w:color w:val="000000" w:themeColor="text1"/>
          <w:sz w:val="24"/>
          <w:szCs w:val="24"/>
        </w:rPr>
        <w:t>judgment</w:t>
      </w:r>
      <w:r w:rsidRPr="00853F1E">
        <w:rPr>
          <w:rFonts w:ascii="Times New Roman" w:hAnsi="Times New Roman" w:cs="Times New Roman"/>
          <w:color w:val="000000" w:themeColor="text1"/>
          <w:sz w:val="24"/>
          <w:szCs w:val="24"/>
        </w:rPr>
        <w:t xml:space="preserve"> had a significant impact on Indian constitutional law:</w:t>
      </w:r>
    </w:p>
    <w:p w14:paraId="1BD2F869" w14:textId="065F15A0" w:rsidR="00BE3BBC" w:rsidRPr="00853F1E" w:rsidRDefault="00A11F7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Fundamental Rights </w:t>
      </w:r>
      <w:r w:rsidR="001A6351" w:rsidRPr="00853F1E">
        <w:rPr>
          <w:rFonts w:ascii="Times New Roman" w:hAnsi="Times New Roman" w:cs="Times New Roman"/>
          <w:color w:val="000000" w:themeColor="text1"/>
          <w:sz w:val="24"/>
          <w:szCs w:val="24"/>
        </w:rPr>
        <w:t>Recognized</w:t>
      </w:r>
      <w:r w:rsidRPr="00853F1E">
        <w:rPr>
          <w:rFonts w:ascii="Times New Roman" w:hAnsi="Times New Roman" w:cs="Times New Roman"/>
          <w:color w:val="000000" w:themeColor="text1"/>
          <w:sz w:val="24"/>
          <w:szCs w:val="24"/>
        </w:rPr>
        <w:t xml:space="preserve">: The decision affirmed the primacy of fundamental rights and </w:t>
      </w:r>
      <w:r w:rsidR="001A6351" w:rsidRPr="00853F1E">
        <w:rPr>
          <w:rFonts w:ascii="Times New Roman" w:hAnsi="Times New Roman" w:cs="Times New Roman"/>
          <w:color w:val="000000" w:themeColor="text1"/>
          <w:sz w:val="24"/>
          <w:szCs w:val="24"/>
        </w:rPr>
        <w:t>emphasized</w:t>
      </w:r>
      <w:r w:rsidRPr="00853F1E">
        <w:rPr>
          <w:rFonts w:ascii="Times New Roman" w:hAnsi="Times New Roman" w:cs="Times New Roman"/>
          <w:color w:val="000000" w:themeColor="text1"/>
          <w:sz w:val="24"/>
          <w:szCs w:val="24"/>
        </w:rPr>
        <w:t xml:space="preserve"> the significance of equality, privacy, and individual autonomy. It acknowledged that </w:t>
      </w:r>
      <w:r w:rsidR="001A6351" w:rsidRPr="00853F1E">
        <w:rPr>
          <w:rFonts w:ascii="Times New Roman" w:hAnsi="Times New Roman" w:cs="Times New Roman"/>
          <w:color w:val="000000" w:themeColor="text1"/>
          <w:sz w:val="24"/>
          <w:szCs w:val="24"/>
        </w:rPr>
        <w:t>societal</w:t>
      </w:r>
      <w:r w:rsidRPr="00853F1E">
        <w:rPr>
          <w:rFonts w:ascii="Times New Roman" w:hAnsi="Times New Roman" w:cs="Times New Roman"/>
          <w:color w:val="000000" w:themeColor="text1"/>
          <w:sz w:val="24"/>
          <w:szCs w:val="24"/>
        </w:rPr>
        <w:t xml:space="preserve"> standards were changing and reflected how constitutional concepts were becoming better understood.</w:t>
      </w:r>
    </w:p>
    <w:p w14:paraId="66E6E849" w14:textId="053B0332" w:rsidR="001A6351" w:rsidRPr="00853F1E" w:rsidRDefault="001A6351"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lastRenderedPageBreak/>
        <w:t xml:space="preserve">Discrimination against LGBTQ+ people </w:t>
      </w:r>
      <w:r w:rsidR="002C431E" w:rsidRPr="00853F1E">
        <w:rPr>
          <w:rFonts w:ascii="Times New Roman" w:hAnsi="Times New Roman" w:cs="Times New Roman"/>
          <w:color w:val="000000" w:themeColor="text1"/>
          <w:sz w:val="24"/>
          <w:szCs w:val="24"/>
        </w:rPr>
        <w:t>have</w:t>
      </w:r>
      <w:r w:rsidRPr="00853F1E">
        <w:rPr>
          <w:rFonts w:ascii="Times New Roman" w:hAnsi="Times New Roman" w:cs="Times New Roman"/>
          <w:color w:val="000000" w:themeColor="text1"/>
          <w:sz w:val="24"/>
          <w:szCs w:val="24"/>
        </w:rPr>
        <w:t xml:space="preserve"> been sustained by deeply rooted cultural and social assumptions that the </w:t>
      </w:r>
      <w:r w:rsidR="00D27421" w:rsidRPr="00853F1E">
        <w:rPr>
          <w:rFonts w:ascii="Times New Roman" w:hAnsi="Times New Roman" w:cs="Times New Roman"/>
          <w:color w:val="000000" w:themeColor="text1"/>
          <w:sz w:val="24"/>
          <w:szCs w:val="24"/>
        </w:rPr>
        <w:t>judgment</w:t>
      </w:r>
      <w:r w:rsidRPr="00853F1E">
        <w:rPr>
          <w:rFonts w:ascii="Times New Roman" w:hAnsi="Times New Roman" w:cs="Times New Roman"/>
          <w:color w:val="000000" w:themeColor="text1"/>
          <w:sz w:val="24"/>
          <w:szCs w:val="24"/>
        </w:rPr>
        <w:t xml:space="preserve"> called into question. It denoted a turn away from colonial-era rules and constrictive norms and towards a more progressive and inclusive India.</w:t>
      </w:r>
    </w:p>
    <w:p w14:paraId="59828BBF" w14:textId="01F8A6E0" w:rsidR="001A6351" w:rsidRPr="00853F1E" w:rsidRDefault="001A6351"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Respecting Human Dignity: Regardless of a person's sexual orientation or gender identity, the Navtej Singh Johar ruling upheld that person's dignity. It established a precedent for similar instances and served as a reminder to the legal system that upholding human dignity is a fundamental principle of the </w:t>
      </w:r>
      <w:r w:rsidR="00C3610B" w:rsidRPr="00853F1E">
        <w:rPr>
          <w:rFonts w:ascii="Times New Roman" w:hAnsi="Times New Roman" w:cs="Times New Roman"/>
          <w:color w:val="000000" w:themeColor="text1"/>
          <w:sz w:val="24"/>
          <w:szCs w:val="24"/>
        </w:rPr>
        <w:t>Constitution</w:t>
      </w:r>
      <w:r w:rsidRPr="00853F1E">
        <w:rPr>
          <w:rFonts w:ascii="Times New Roman" w:hAnsi="Times New Roman" w:cs="Times New Roman"/>
          <w:color w:val="000000" w:themeColor="text1"/>
          <w:sz w:val="24"/>
          <w:szCs w:val="24"/>
        </w:rPr>
        <w:t>.</w:t>
      </w:r>
    </w:p>
    <w:p w14:paraId="22752295" w14:textId="53BE2AB4" w:rsidR="006B5D83" w:rsidRPr="00853F1E" w:rsidRDefault="001A6351"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While the Navtej Singh Johar ruling was a huge step forward, it is essential </w:t>
      </w:r>
      <w:r w:rsidR="00D27421" w:rsidRPr="00853F1E">
        <w:rPr>
          <w:rFonts w:ascii="Times New Roman" w:hAnsi="Times New Roman" w:cs="Times New Roman"/>
          <w:color w:val="000000" w:themeColor="text1"/>
          <w:sz w:val="24"/>
          <w:szCs w:val="24"/>
        </w:rPr>
        <w:t xml:space="preserve">to work to end prejudice and guarantee that </w:t>
      </w:r>
      <w:r w:rsidRPr="00853F1E">
        <w:rPr>
          <w:rFonts w:ascii="Times New Roman" w:hAnsi="Times New Roman" w:cs="Times New Roman"/>
          <w:color w:val="000000" w:themeColor="text1"/>
          <w:sz w:val="24"/>
          <w:szCs w:val="24"/>
        </w:rPr>
        <w:t xml:space="preserve">the full realization of LGBTQ+ rights </w:t>
      </w:r>
      <w:proofErr w:type="gramStart"/>
      <w:r w:rsidR="002C431E">
        <w:rPr>
          <w:rFonts w:ascii="Times New Roman" w:hAnsi="Times New Roman" w:cs="Times New Roman"/>
          <w:color w:val="000000" w:themeColor="text1"/>
          <w:sz w:val="24"/>
          <w:szCs w:val="24"/>
        </w:rPr>
        <w:t>continues</w:t>
      </w:r>
      <w:proofErr w:type="gramEnd"/>
      <w:r w:rsidRPr="00853F1E">
        <w:rPr>
          <w:rFonts w:ascii="Times New Roman" w:hAnsi="Times New Roman" w:cs="Times New Roman"/>
          <w:color w:val="000000" w:themeColor="text1"/>
          <w:sz w:val="24"/>
          <w:szCs w:val="24"/>
        </w:rPr>
        <w:t xml:space="preserve"> unabatedly.</w:t>
      </w:r>
    </w:p>
    <w:p w14:paraId="0140E8C8" w14:textId="787AFDDB" w:rsidR="00DD23EE" w:rsidRPr="00853F1E" w:rsidRDefault="00DD23E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Legal Reforms: </w:t>
      </w:r>
      <w:r w:rsidR="002C431E" w:rsidRPr="00853F1E">
        <w:rPr>
          <w:rFonts w:ascii="Times New Roman" w:hAnsi="Times New Roman" w:cs="Times New Roman"/>
          <w:color w:val="000000" w:themeColor="text1"/>
          <w:sz w:val="24"/>
          <w:szCs w:val="24"/>
        </w:rPr>
        <w:t>To</w:t>
      </w:r>
      <w:r w:rsidRPr="00853F1E">
        <w:rPr>
          <w:rFonts w:ascii="Times New Roman" w:hAnsi="Times New Roman" w:cs="Times New Roman"/>
          <w:color w:val="000000" w:themeColor="text1"/>
          <w:sz w:val="24"/>
          <w:szCs w:val="24"/>
        </w:rPr>
        <w:t xml:space="preserve"> achieve the abolition of discriminatory legislation and the establishment of extensive legal safeguards for LGBTQ+ people, advocates, legislators, and legal professionals must continue to collaborate.</w:t>
      </w:r>
    </w:p>
    <w:p w14:paraId="41EA96F5" w14:textId="77777777" w:rsidR="000F6C91" w:rsidRPr="00853F1E" w:rsidRDefault="00DD23E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Social Awareness: Through debate, education, and awareness campaigns, society's perceptions and attitudes must change. Persistent efforts are needed at every level of society to eradicate deeply ingrained biases.</w:t>
      </w:r>
    </w:p>
    <w:p w14:paraId="19124353" w14:textId="33182FB2" w:rsidR="00711F22" w:rsidRPr="00853F1E" w:rsidRDefault="00DD23E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Policies that actively promote diversity and inclusivity must be adopted and upheld by the government and other institutions </w:t>
      </w:r>
      <w:proofErr w:type="gramStart"/>
      <w:r w:rsidRPr="00853F1E">
        <w:rPr>
          <w:rFonts w:ascii="Times New Roman" w:hAnsi="Times New Roman" w:cs="Times New Roman"/>
          <w:color w:val="000000" w:themeColor="text1"/>
          <w:sz w:val="24"/>
          <w:szCs w:val="24"/>
        </w:rPr>
        <w:t>in order to</w:t>
      </w:r>
      <w:proofErr w:type="gramEnd"/>
      <w:r w:rsidRPr="00853F1E">
        <w:rPr>
          <w:rFonts w:ascii="Times New Roman" w:hAnsi="Times New Roman" w:cs="Times New Roman"/>
          <w:color w:val="000000" w:themeColor="text1"/>
          <w:sz w:val="24"/>
          <w:szCs w:val="24"/>
        </w:rPr>
        <w:t xml:space="preserve"> create a climate in which LGBTQ+ people can live freely without worrying about prejudice.</w:t>
      </w:r>
      <w:r w:rsidR="00711F22" w:rsidRPr="00853F1E">
        <w:rPr>
          <w:rFonts w:ascii="Times New Roman" w:hAnsi="Times New Roman" w:cs="Times New Roman"/>
          <w:color w:val="000000" w:themeColor="text1"/>
          <w:sz w:val="24"/>
          <w:szCs w:val="24"/>
        </w:rPr>
        <w:t xml:space="preserve"> </w:t>
      </w:r>
    </w:p>
    <w:p w14:paraId="538FC966" w14:textId="7C55DDB1" w:rsidR="00341CA1" w:rsidRPr="00853F1E" w:rsidRDefault="00DD23EE"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 xml:space="preserve">Solidarity and advocacy: </w:t>
      </w:r>
      <w:r w:rsidR="002C431E" w:rsidRPr="00853F1E">
        <w:rPr>
          <w:rFonts w:ascii="Times New Roman" w:hAnsi="Times New Roman" w:cs="Times New Roman"/>
          <w:color w:val="000000" w:themeColor="text1"/>
          <w:sz w:val="24"/>
          <w:szCs w:val="24"/>
        </w:rPr>
        <w:t>To</w:t>
      </w:r>
      <w:r w:rsidRPr="00853F1E">
        <w:rPr>
          <w:rFonts w:ascii="Times New Roman" w:hAnsi="Times New Roman" w:cs="Times New Roman"/>
          <w:color w:val="000000" w:themeColor="text1"/>
          <w:sz w:val="24"/>
          <w:szCs w:val="24"/>
        </w:rPr>
        <w:t xml:space="preserve"> magnify the voices of the LGBTQ+ community, allies</w:t>
      </w:r>
      <w:r w:rsidR="000F6C91" w:rsidRPr="00853F1E">
        <w:rPr>
          <w:rFonts w:ascii="Times New Roman" w:hAnsi="Times New Roman" w:cs="Times New Roman"/>
          <w:color w:val="000000" w:themeColor="text1"/>
          <w:sz w:val="24"/>
          <w:szCs w:val="24"/>
        </w:rPr>
        <w:t>,</w:t>
      </w:r>
      <w:r w:rsidRPr="00853F1E">
        <w:rPr>
          <w:rFonts w:ascii="Times New Roman" w:hAnsi="Times New Roman" w:cs="Times New Roman"/>
          <w:color w:val="000000" w:themeColor="text1"/>
          <w:sz w:val="24"/>
          <w:szCs w:val="24"/>
        </w:rPr>
        <w:t xml:space="preserve"> and activists are essential. Maintaining momentum and enacting long-lasting change</w:t>
      </w:r>
      <w:r w:rsidR="00D27421" w:rsidRPr="00853F1E">
        <w:rPr>
          <w:rFonts w:ascii="Times New Roman" w:hAnsi="Times New Roman" w:cs="Times New Roman"/>
          <w:color w:val="000000" w:themeColor="text1"/>
          <w:sz w:val="24"/>
          <w:szCs w:val="24"/>
        </w:rPr>
        <w:t xml:space="preserve"> </w:t>
      </w:r>
      <w:r w:rsidRPr="00853F1E">
        <w:rPr>
          <w:rFonts w:ascii="Times New Roman" w:hAnsi="Times New Roman" w:cs="Times New Roman"/>
          <w:color w:val="000000" w:themeColor="text1"/>
          <w:sz w:val="24"/>
          <w:szCs w:val="24"/>
        </w:rPr>
        <w:t>depend on ongoing assistance.</w:t>
      </w:r>
    </w:p>
    <w:p w14:paraId="012C123D" w14:textId="3562E66E" w:rsidR="00530625" w:rsidRPr="00853F1E" w:rsidRDefault="00DF5478" w:rsidP="00853F1E">
      <w:pPr>
        <w:spacing w:line="360" w:lineRule="auto"/>
        <w:jc w:val="both"/>
        <w:rPr>
          <w:rFonts w:ascii="Times New Roman" w:hAnsi="Times New Roman" w:cs="Times New Roman"/>
          <w:color w:val="000000" w:themeColor="text1"/>
          <w:sz w:val="24"/>
          <w:szCs w:val="24"/>
        </w:rPr>
      </w:pPr>
      <w:r w:rsidRPr="00853F1E">
        <w:rPr>
          <w:rFonts w:ascii="Times New Roman" w:hAnsi="Times New Roman" w:cs="Times New Roman"/>
          <w:color w:val="000000" w:themeColor="text1"/>
          <w:sz w:val="24"/>
          <w:szCs w:val="24"/>
        </w:rPr>
        <w:t>The process of determining whether Section 377 is constitutional is evidence of the complex interactions between law, culture, and society. The Navtej Singh Johar ruling acts as a lighthouse, showing the way to a more equitable and just India. As we go, it is up to us all to make sure that the spirit of this ruling is upheld, paving the path for a society where LGBTQ+ people may live with dignity and without fear of prejudice or discrimination.</w:t>
      </w:r>
    </w:p>
    <w:p w14:paraId="39E779B8" w14:textId="77777777" w:rsidR="00C710F1" w:rsidRPr="00853F1E" w:rsidRDefault="00C710F1" w:rsidP="00853F1E">
      <w:pPr>
        <w:spacing w:line="360" w:lineRule="auto"/>
        <w:ind w:left="720"/>
        <w:jc w:val="both"/>
        <w:rPr>
          <w:rFonts w:ascii="Times New Roman" w:hAnsi="Times New Roman" w:cs="Times New Roman"/>
          <w:color w:val="000000" w:themeColor="text1"/>
          <w:sz w:val="24"/>
          <w:szCs w:val="24"/>
        </w:rPr>
      </w:pPr>
    </w:p>
    <w:p w14:paraId="014BD22C" w14:textId="77777777" w:rsidR="00DD10C6" w:rsidRPr="00853F1E" w:rsidRDefault="00DD10C6" w:rsidP="00853F1E">
      <w:pPr>
        <w:spacing w:line="360" w:lineRule="auto"/>
        <w:jc w:val="both"/>
        <w:rPr>
          <w:rFonts w:ascii="Times New Roman" w:hAnsi="Times New Roman" w:cs="Times New Roman"/>
          <w:vanish/>
          <w:color w:val="000000" w:themeColor="text1"/>
          <w:sz w:val="24"/>
          <w:szCs w:val="24"/>
        </w:rPr>
      </w:pPr>
      <w:r w:rsidRPr="00853F1E">
        <w:rPr>
          <w:rFonts w:ascii="Times New Roman" w:hAnsi="Times New Roman" w:cs="Times New Roman"/>
          <w:vanish/>
          <w:color w:val="000000" w:themeColor="text1"/>
          <w:sz w:val="24"/>
          <w:szCs w:val="24"/>
        </w:rPr>
        <w:t>Top of Form</w:t>
      </w:r>
    </w:p>
    <w:p w14:paraId="5C9729E7" w14:textId="77777777" w:rsidR="00C251BF" w:rsidRPr="00853F1E" w:rsidRDefault="00C251BF" w:rsidP="00853F1E">
      <w:pPr>
        <w:spacing w:line="360" w:lineRule="auto"/>
        <w:jc w:val="both"/>
        <w:rPr>
          <w:rFonts w:ascii="Times New Roman" w:hAnsi="Times New Roman" w:cs="Times New Roman"/>
          <w:color w:val="000000" w:themeColor="text1"/>
          <w:sz w:val="24"/>
          <w:szCs w:val="24"/>
        </w:rPr>
      </w:pPr>
    </w:p>
    <w:sectPr w:rsidR="00C251BF" w:rsidRPr="00853F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C3DDC" w14:textId="77777777" w:rsidR="009A1813" w:rsidRDefault="009A1813" w:rsidP="006F1563">
      <w:pPr>
        <w:spacing w:after="0" w:line="240" w:lineRule="auto"/>
      </w:pPr>
      <w:r>
        <w:separator/>
      </w:r>
    </w:p>
  </w:endnote>
  <w:endnote w:type="continuationSeparator" w:id="0">
    <w:p w14:paraId="3D6AFAB4" w14:textId="77777777" w:rsidR="009A1813" w:rsidRDefault="009A1813" w:rsidP="006F1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E253B" w14:textId="77777777" w:rsidR="009A1813" w:rsidRDefault="009A1813" w:rsidP="006F1563">
      <w:pPr>
        <w:spacing w:after="0" w:line="240" w:lineRule="auto"/>
      </w:pPr>
      <w:r>
        <w:separator/>
      </w:r>
    </w:p>
  </w:footnote>
  <w:footnote w:type="continuationSeparator" w:id="0">
    <w:p w14:paraId="303C64B5" w14:textId="77777777" w:rsidR="009A1813" w:rsidRDefault="009A1813" w:rsidP="006F1563">
      <w:pPr>
        <w:spacing w:after="0" w:line="240" w:lineRule="auto"/>
      </w:pPr>
      <w:r>
        <w:continuationSeparator/>
      </w:r>
    </w:p>
  </w:footnote>
  <w:footnote w:id="1">
    <w:p w14:paraId="19BC19CE" w14:textId="03920C3D" w:rsidR="00FB645B" w:rsidRDefault="00A74EEC" w:rsidP="00FB645B">
      <w:pPr>
        <w:pStyle w:val="NormalWeb"/>
        <w:ind w:left="567" w:hanging="567"/>
      </w:pPr>
      <w:r>
        <w:rPr>
          <w:rStyle w:val="FootnoteReference"/>
        </w:rPr>
        <w:footnoteRef/>
      </w:r>
      <w:r w:rsidR="00FB645B">
        <w:t xml:space="preserve"> </w:t>
      </w:r>
      <w:r w:rsidR="00FB645B">
        <w:rPr>
          <w:i/>
          <w:iCs/>
        </w:rPr>
        <w:t xml:space="preserve">Naz Foundation vs government of NCT of Delhi and ... on 2 </w:t>
      </w:r>
      <w:proofErr w:type="gramStart"/>
      <w:r w:rsidR="00FB645B">
        <w:rPr>
          <w:i/>
          <w:iCs/>
        </w:rPr>
        <w:t>July,</w:t>
      </w:r>
      <w:proofErr w:type="gramEnd"/>
      <w:r w:rsidR="00FB645B">
        <w:rPr>
          <w:i/>
          <w:iCs/>
        </w:rPr>
        <w:t xml:space="preserve"> 2009</w:t>
      </w:r>
      <w:r w:rsidR="00FB645B">
        <w:t xml:space="preserve">. Available at: https://indiankanoon.org/doc/100472805/ (Accessed: 18 August 2023). </w:t>
      </w:r>
    </w:p>
    <w:p w14:paraId="3C91DAA1" w14:textId="6036B0E7" w:rsidR="00A74EEC" w:rsidRDefault="00A74EEC">
      <w:pPr>
        <w:pStyle w:val="FootnoteText"/>
      </w:pPr>
    </w:p>
  </w:footnote>
  <w:footnote w:id="2">
    <w:p w14:paraId="2025F298" w14:textId="66E0BF22" w:rsidR="0071723D" w:rsidRPr="00BD6EA9" w:rsidRDefault="003A1771" w:rsidP="0071723D">
      <w:pPr>
        <w:pStyle w:val="FootnoteText"/>
        <w:rPr>
          <w:rFonts w:ascii="Times New Roman" w:hAnsi="Times New Roman" w:cs="Times New Roman"/>
          <w:sz w:val="24"/>
          <w:szCs w:val="24"/>
        </w:rPr>
      </w:pPr>
      <w:r>
        <w:rPr>
          <w:rStyle w:val="FootnoteReference"/>
        </w:rPr>
        <w:footnoteRef/>
      </w:r>
      <w:r>
        <w:t xml:space="preserve"> </w:t>
      </w:r>
      <w:r w:rsidR="0071723D" w:rsidRPr="00BD6EA9">
        <w:rPr>
          <w:rFonts w:ascii="Times New Roman" w:hAnsi="Times New Roman" w:cs="Times New Roman"/>
          <w:i/>
          <w:iCs/>
          <w:sz w:val="24"/>
          <w:szCs w:val="24"/>
        </w:rPr>
        <w:t xml:space="preserve">Neerja Gurnami, “Unnatural </w:t>
      </w:r>
      <w:r w:rsidR="00D73AA4" w:rsidRPr="00BD6EA9">
        <w:rPr>
          <w:rFonts w:ascii="Times New Roman" w:hAnsi="Times New Roman" w:cs="Times New Roman"/>
          <w:i/>
          <w:iCs/>
          <w:sz w:val="24"/>
          <w:szCs w:val="24"/>
        </w:rPr>
        <w:t>offenses</w:t>
      </w:r>
      <w:r w:rsidR="0071723D" w:rsidRPr="00BD6EA9">
        <w:rPr>
          <w:rFonts w:ascii="Times New Roman" w:hAnsi="Times New Roman" w:cs="Times New Roman"/>
          <w:sz w:val="24"/>
          <w:szCs w:val="24"/>
        </w:rPr>
        <w:t xml:space="preserve"> under the IPC,” available at </w:t>
      </w:r>
    </w:p>
    <w:p w14:paraId="1E0CA8C4" w14:textId="0C13FE30" w:rsidR="003A1771" w:rsidRPr="00BD6EA9" w:rsidRDefault="00000000" w:rsidP="0071723D">
      <w:pPr>
        <w:pStyle w:val="FootnoteText"/>
        <w:rPr>
          <w:rFonts w:ascii="Times New Roman" w:hAnsi="Times New Roman" w:cs="Times New Roman"/>
          <w:sz w:val="24"/>
          <w:szCs w:val="24"/>
        </w:rPr>
      </w:pPr>
      <w:hyperlink r:id="rId1" w:history="1">
        <w:r w:rsidR="00536604" w:rsidRPr="00BD6EA9">
          <w:rPr>
            <w:rStyle w:val="Hyperlink"/>
            <w:rFonts w:ascii="Times New Roman" w:hAnsi="Times New Roman" w:cs="Times New Roman"/>
            <w:sz w:val="24"/>
            <w:szCs w:val="24"/>
          </w:rPr>
          <w:t>https://www.lawctopus.com/academike/unnatural-offences-under-the-ipc/</w:t>
        </w:r>
      </w:hyperlink>
      <w:r w:rsidR="00BD6EA9">
        <w:rPr>
          <w:rFonts w:ascii="Times New Roman" w:hAnsi="Times New Roman" w:cs="Times New Roman"/>
          <w:sz w:val="24"/>
          <w:szCs w:val="24"/>
        </w:rPr>
        <w:t xml:space="preserve"> (Accessed: 19 August 2023</w:t>
      </w:r>
      <w:r w:rsidR="00536604" w:rsidRPr="00BD6EA9">
        <w:rPr>
          <w:rFonts w:ascii="Times New Roman" w:hAnsi="Times New Roman" w:cs="Times New Roman"/>
          <w:sz w:val="24"/>
          <w:szCs w:val="24"/>
        </w:rPr>
        <w:t>)</w:t>
      </w:r>
    </w:p>
  </w:footnote>
  <w:footnote w:id="3">
    <w:p w14:paraId="50FB7303" w14:textId="03221F28" w:rsidR="006F1563" w:rsidRDefault="006F1563" w:rsidP="00BD6EA9">
      <w:pPr>
        <w:pStyle w:val="NormalWeb"/>
        <w:spacing w:line="360" w:lineRule="auto"/>
        <w:ind w:left="567" w:hanging="567"/>
      </w:pPr>
      <w:r>
        <w:rPr>
          <w:rStyle w:val="FootnoteReference"/>
        </w:rPr>
        <w:footnoteRef/>
      </w:r>
      <w:r w:rsidR="00BD6EA9">
        <w:t xml:space="preserve"> </w:t>
      </w:r>
      <w:r w:rsidR="00BD6EA9">
        <w:rPr>
          <w:i/>
          <w:iCs/>
        </w:rPr>
        <w:t xml:space="preserve">Naz Foundation vs government of NCT of Delhi and ... on 2 </w:t>
      </w:r>
      <w:r w:rsidR="00BD6EA9">
        <w:rPr>
          <w:i/>
          <w:iCs/>
        </w:rPr>
        <w:t>July</w:t>
      </w:r>
      <w:r w:rsidR="00BD6EA9">
        <w:rPr>
          <w:i/>
          <w:iCs/>
        </w:rPr>
        <w:t xml:space="preserve"> 2009</w:t>
      </w:r>
      <w:r w:rsidR="00BD6EA9">
        <w:t xml:space="preserve">. Available at: https://indiankanoon.org/doc/100472805/ (Accessed: 18 August 2023). </w:t>
      </w:r>
    </w:p>
  </w:footnote>
  <w:footnote w:id="4">
    <w:p w14:paraId="481F9640" w14:textId="7FFA7441" w:rsidR="00BD6EA9" w:rsidRDefault="00D02448" w:rsidP="00BD6EA9">
      <w:pPr>
        <w:pStyle w:val="NormalWeb"/>
        <w:spacing w:line="360" w:lineRule="auto"/>
        <w:ind w:left="567" w:hanging="567"/>
      </w:pPr>
      <w:r>
        <w:rPr>
          <w:rStyle w:val="FootnoteReference"/>
        </w:rPr>
        <w:footnoteRef/>
      </w:r>
      <w:r>
        <w:t xml:space="preserve"> </w:t>
      </w:r>
      <w:r w:rsidR="00BD6EA9">
        <w:t xml:space="preserve"> </w:t>
      </w:r>
      <w:r w:rsidR="00BD6EA9">
        <w:rPr>
          <w:i/>
          <w:iCs/>
        </w:rPr>
        <w:t xml:space="preserve">Suresh Kumar </w:t>
      </w:r>
      <w:proofErr w:type="spellStart"/>
      <w:r w:rsidR="00BD6EA9">
        <w:rPr>
          <w:i/>
          <w:iCs/>
        </w:rPr>
        <w:t>Koushal</w:t>
      </w:r>
      <w:proofErr w:type="spellEnd"/>
      <w:r w:rsidR="00BD6EA9">
        <w:rPr>
          <w:i/>
          <w:iCs/>
        </w:rPr>
        <w:t xml:space="preserve"> &amp; </w:t>
      </w:r>
      <w:proofErr w:type="spellStart"/>
      <w:r w:rsidR="00BD6EA9">
        <w:rPr>
          <w:i/>
          <w:iCs/>
        </w:rPr>
        <w:t>Anr</w:t>
      </w:r>
      <w:proofErr w:type="spellEnd"/>
      <w:r w:rsidR="00BD6EA9">
        <w:rPr>
          <w:i/>
          <w:iCs/>
        </w:rPr>
        <w:t xml:space="preserve"> vs Naz Foundation &amp; </w:t>
      </w:r>
      <w:proofErr w:type="spellStart"/>
      <w:r w:rsidR="00BD6EA9">
        <w:rPr>
          <w:i/>
          <w:iCs/>
        </w:rPr>
        <w:t>Ors</w:t>
      </w:r>
      <w:proofErr w:type="spellEnd"/>
      <w:r w:rsidR="00BD6EA9">
        <w:rPr>
          <w:i/>
          <w:iCs/>
        </w:rPr>
        <w:t xml:space="preserve"> on 11 December 2013</w:t>
      </w:r>
      <w:r w:rsidR="00BD6EA9">
        <w:t>. Available at: https://indiankanoon.org/doc/100472805/ (Accessed: 1</w:t>
      </w:r>
      <w:r w:rsidR="00BD6EA9">
        <w:t>9</w:t>
      </w:r>
      <w:r w:rsidR="00BD6EA9">
        <w:t xml:space="preserve"> August 2023). </w:t>
      </w:r>
    </w:p>
    <w:p w14:paraId="3A86E54B" w14:textId="7ED3EF9C" w:rsidR="00D02448" w:rsidRDefault="00D02448" w:rsidP="00BD6EA9">
      <w:pPr>
        <w:pStyle w:val="FootnoteText"/>
        <w:spacing w:line="360" w:lineRule="auto"/>
      </w:pPr>
    </w:p>
  </w:footnote>
  <w:footnote w:id="5">
    <w:p w14:paraId="2545966F" w14:textId="35611135" w:rsidR="00845095" w:rsidRDefault="00845095" w:rsidP="00BD6EA9">
      <w:pPr>
        <w:pStyle w:val="NormalWeb"/>
        <w:ind w:left="567" w:hanging="567"/>
      </w:pPr>
      <w:r>
        <w:rPr>
          <w:rStyle w:val="FootnoteReference"/>
        </w:rPr>
        <w:footnoteRef/>
      </w:r>
      <w:r>
        <w:t xml:space="preserve"> </w:t>
      </w:r>
      <w:r w:rsidR="00BD6EA9">
        <w:t xml:space="preserve"> </w:t>
      </w:r>
      <w:r w:rsidR="00BD6EA9">
        <w:rPr>
          <w:i/>
          <w:iCs/>
        </w:rPr>
        <w:t xml:space="preserve">Navtej Singh Johar &amp; </w:t>
      </w:r>
      <w:proofErr w:type="spellStart"/>
      <w:r w:rsidR="00BD6EA9">
        <w:rPr>
          <w:i/>
          <w:iCs/>
        </w:rPr>
        <w:t>Ors</w:t>
      </w:r>
      <w:proofErr w:type="spellEnd"/>
      <w:r w:rsidR="00BD6EA9">
        <w:rPr>
          <w:i/>
          <w:iCs/>
        </w:rPr>
        <w:t xml:space="preserve">. v. Union of India </w:t>
      </w:r>
      <w:proofErr w:type="spellStart"/>
      <w:r w:rsidR="00BD6EA9">
        <w:rPr>
          <w:i/>
          <w:iCs/>
        </w:rPr>
        <w:t>thr</w:t>
      </w:r>
      <w:proofErr w:type="spellEnd"/>
      <w:r w:rsidR="00BD6EA9">
        <w:rPr>
          <w:i/>
          <w:iCs/>
        </w:rPr>
        <w:t>. Secretary Ministry of Law and Justice,2018</w:t>
      </w:r>
      <w:r w:rsidR="00BD6EA9">
        <w:t xml:space="preserve">. Available at: https://indiankanoon.org/doc/100472805/ (Accessed: 19 August 2023).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E12F8"/>
    <w:multiLevelType w:val="multilevel"/>
    <w:tmpl w:val="E228B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511BDD"/>
    <w:multiLevelType w:val="multilevel"/>
    <w:tmpl w:val="2B2E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966DAE"/>
    <w:multiLevelType w:val="multilevel"/>
    <w:tmpl w:val="D42086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863CB3"/>
    <w:multiLevelType w:val="multilevel"/>
    <w:tmpl w:val="DE2E3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C8316A"/>
    <w:multiLevelType w:val="multilevel"/>
    <w:tmpl w:val="CE343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22D5BA3"/>
    <w:multiLevelType w:val="multilevel"/>
    <w:tmpl w:val="996E8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77748B3"/>
    <w:multiLevelType w:val="hybridMultilevel"/>
    <w:tmpl w:val="6ABE9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B66114"/>
    <w:multiLevelType w:val="multilevel"/>
    <w:tmpl w:val="0450C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61C7C0B"/>
    <w:multiLevelType w:val="multilevel"/>
    <w:tmpl w:val="2E6E9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F646EDF"/>
    <w:multiLevelType w:val="multilevel"/>
    <w:tmpl w:val="56E4E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2490866">
    <w:abstractNumId w:val="3"/>
  </w:num>
  <w:num w:numId="2" w16cid:durableId="876702774">
    <w:abstractNumId w:val="7"/>
  </w:num>
  <w:num w:numId="3" w16cid:durableId="577833280">
    <w:abstractNumId w:val="2"/>
  </w:num>
  <w:num w:numId="4" w16cid:durableId="320669324">
    <w:abstractNumId w:val="5"/>
  </w:num>
  <w:num w:numId="5" w16cid:durableId="1250887252">
    <w:abstractNumId w:val="0"/>
  </w:num>
  <w:num w:numId="6" w16cid:durableId="1676877062">
    <w:abstractNumId w:val="9"/>
  </w:num>
  <w:num w:numId="7" w16cid:durableId="622156511">
    <w:abstractNumId w:val="1"/>
  </w:num>
  <w:num w:numId="8" w16cid:durableId="1675954784">
    <w:abstractNumId w:val="4"/>
  </w:num>
  <w:num w:numId="9" w16cid:durableId="589512368">
    <w:abstractNumId w:val="8"/>
  </w:num>
  <w:num w:numId="10" w16cid:durableId="8430832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0C6"/>
    <w:rsid w:val="0001026F"/>
    <w:rsid w:val="00025F40"/>
    <w:rsid w:val="000614BF"/>
    <w:rsid w:val="000910F5"/>
    <w:rsid w:val="000A779E"/>
    <w:rsid w:val="000D2ECB"/>
    <w:rsid w:val="000D35A1"/>
    <w:rsid w:val="000F6C91"/>
    <w:rsid w:val="00102B62"/>
    <w:rsid w:val="0010680C"/>
    <w:rsid w:val="00145F81"/>
    <w:rsid w:val="001462D4"/>
    <w:rsid w:val="00154F91"/>
    <w:rsid w:val="0017530E"/>
    <w:rsid w:val="001A6351"/>
    <w:rsid w:val="002064F8"/>
    <w:rsid w:val="00217A90"/>
    <w:rsid w:val="00254821"/>
    <w:rsid w:val="00280681"/>
    <w:rsid w:val="002B0C79"/>
    <w:rsid w:val="002C431E"/>
    <w:rsid w:val="002E1C9C"/>
    <w:rsid w:val="00310FD0"/>
    <w:rsid w:val="00316AA1"/>
    <w:rsid w:val="00323CDE"/>
    <w:rsid w:val="00331053"/>
    <w:rsid w:val="00334DC9"/>
    <w:rsid w:val="00335802"/>
    <w:rsid w:val="00337583"/>
    <w:rsid w:val="00341CA1"/>
    <w:rsid w:val="00363A92"/>
    <w:rsid w:val="003A1771"/>
    <w:rsid w:val="003B3599"/>
    <w:rsid w:val="003D6B20"/>
    <w:rsid w:val="003F032E"/>
    <w:rsid w:val="004127D6"/>
    <w:rsid w:val="00417E5C"/>
    <w:rsid w:val="004346CE"/>
    <w:rsid w:val="00464271"/>
    <w:rsid w:val="0048517B"/>
    <w:rsid w:val="00485D4D"/>
    <w:rsid w:val="004A18AF"/>
    <w:rsid w:val="004A3A5E"/>
    <w:rsid w:val="004A4582"/>
    <w:rsid w:val="004B3101"/>
    <w:rsid w:val="004E5FB3"/>
    <w:rsid w:val="00503328"/>
    <w:rsid w:val="00530625"/>
    <w:rsid w:val="00536604"/>
    <w:rsid w:val="00561929"/>
    <w:rsid w:val="00563367"/>
    <w:rsid w:val="005906AB"/>
    <w:rsid w:val="00590E51"/>
    <w:rsid w:val="005B475E"/>
    <w:rsid w:val="005F5ACC"/>
    <w:rsid w:val="00602FF0"/>
    <w:rsid w:val="006053E1"/>
    <w:rsid w:val="00621AF9"/>
    <w:rsid w:val="0063652C"/>
    <w:rsid w:val="00636960"/>
    <w:rsid w:val="006424AA"/>
    <w:rsid w:val="00646EB4"/>
    <w:rsid w:val="00657752"/>
    <w:rsid w:val="00666DFA"/>
    <w:rsid w:val="00670D98"/>
    <w:rsid w:val="006A34B9"/>
    <w:rsid w:val="006B5D83"/>
    <w:rsid w:val="006C282F"/>
    <w:rsid w:val="006E05EF"/>
    <w:rsid w:val="006E15DF"/>
    <w:rsid w:val="006F1563"/>
    <w:rsid w:val="00707943"/>
    <w:rsid w:val="00711F22"/>
    <w:rsid w:val="0071723D"/>
    <w:rsid w:val="007201B0"/>
    <w:rsid w:val="007314E0"/>
    <w:rsid w:val="00731785"/>
    <w:rsid w:val="0073347B"/>
    <w:rsid w:val="00750776"/>
    <w:rsid w:val="007520CD"/>
    <w:rsid w:val="007567B8"/>
    <w:rsid w:val="007633A6"/>
    <w:rsid w:val="0077286D"/>
    <w:rsid w:val="0078190B"/>
    <w:rsid w:val="007E44AD"/>
    <w:rsid w:val="008013E7"/>
    <w:rsid w:val="00806238"/>
    <w:rsid w:val="00814F45"/>
    <w:rsid w:val="008230CC"/>
    <w:rsid w:val="00845095"/>
    <w:rsid w:val="00853F1E"/>
    <w:rsid w:val="00872D89"/>
    <w:rsid w:val="00882190"/>
    <w:rsid w:val="0089742E"/>
    <w:rsid w:val="008A5A6A"/>
    <w:rsid w:val="0090234B"/>
    <w:rsid w:val="009031A5"/>
    <w:rsid w:val="0096119A"/>
    <w:rsid w:val="009A1813"/>
    <w:rsid w:val="009D0EC0"/>
    <w:rsid w:val="009D3A3A"/>
    <w:rsid w:val="009E76EF"/>
    <w:rsid w:val="00A031CE"/>
    <w:rsid w:val="00A11F7E"/>
    <w:rsid w:val="00A14A69"/>
    <w:rsid w:val="00A34DED"/>
    <w:rsid w:val="00A362C3"/>
    <w:rsid w:val="00A37451"/>
    <w:rsid w:val="00A51449"/>
    <w:rsid w:val="00A74EEC"/>
    <w:rsid w:val="00A80C59"/>
    <w:rsid w:val="00AA4412"/>
    <w:rsid w:val="00AB21EF"/>
    <w:rsid w:val="00AC4571"/>
    <w:rsid w:val="00AD25FD"/>
    <w:rsid w:val="00B26220"/>
    <w:rsid w:val="00B46B95"/>
    <w:rsid w:val="00B76483"/>
    <w:rsid w:val="00B82562"/>
    <w:rsid w:val="00B92AA6"/>
    <w:rsid w:val="00B939D5"/>
    <w:rsid w:val="00BA11EC"/>
    <w:rsid w:val="00BB009A"/>
    <w:rsid w:val="00BC0A6E"/>
    <w:rsid w:val="00BD6EA9"/>
    <w:rsid w:val="00BE3BBC"/>
    <w:rsid w:val="00BE5B24"/>
    <w:rsid w:val="00BE69D8"/>
    <w:rsid w:val="00C01D6D"/>
    <w:rsid w:val="00C15D1C"/>
    <w:rsid w:val="00C251BF"/>
    <w:rsid w:val="00C3610B"/>
    <w:rsid w:val="00C47345"/>
    <w:rsid w:val="00C5246D"/>
    <w:rsid w:val="00C710F1"/>
    <w:rsid w:val="00C7635C"/>
    <w:rsid w:val="00C76D26"/>
    <w:rsid w:val="00CA2A08"/>
    <w:rsid w:val="00CA6152"/>
    <w:rsid w:val="00D02448"/>
    <w:rsid w:val="00D05FA4"/>
    <w:rsid w:val="00D27421"/>
    <w:rsid w:val="00D37A57"/>
    <w:rsid w:val="00D55600"/>
    <w:rsid w:val="00D559B6"/>
    <w:rsid w:val="00D7304B"/>
    <w:rsid w:val="00D73AA4"/>
    <w:rsid w:val="00DC76D9"/>
    <w:rsid w:val="00DD10C6"/>
    <w:rsid w:val="00DD23EE"/>
    <w:rsid w:val="00DF5478"/>
    <w:rsid w:val="00E3088A"/>
    <w:rsid w:val="00E91B15"/>
    <w:rsid w:val="00E9540A"/>
    <w:rsid w:val="00EB0E9F"/>
    <w:rsid w:val="00EC50B1"/>
    <w:rsid w:val="00EE55DE"/>
    <w:rsid w:val="00F32C75"/>
    <w:rsid w:val="00F345B9"/>
    <w:rsid w:val="00F61AF4"/>
    <w:rsid w:val="00F8351B"/>
    <w:rsid w:val="00F93537"/>
    <w:rsid w:val="00FA5829"/>
    <w:rsid w:val="00FB645B"/>
    <w:rsid w:val="00FD6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F151E"/>
  <w15:chartTrackingRefBased/>
  <w15:docId w15:val="{C921F175-A805-4894-887D-3ABF5B3E0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0C6"/>
    <w:pPr>
      <w:ind w:left="720"/>
      <w:contextualSpacing/>
    </w:pPr>
  </w:style>
  <w:style w:type="paragraph" w:styleId="FootnoteText">
    <w:name w:val="footnote text"/>
    <w:basedOn w:val="Normal"/>
    <w:link w:val="FootnoteTextChar"/>
    <w:uiPriority w:val="99"/>
    <w:semiHidden/>
    <w:unhideWhenUsed/>
    <w:rsid w:val="006F156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1563"/>
    <w:rPr>
      <w:sz w:val="20"/>
      <w:szCs w:val="20"/>
    </w:rPr>
  </w:style>
  <w:style w:type="character" w:styleId="FootnoteReference">
    <w:name w:val="footnote reference"/>
    <w:basedOn w:val="DefaultParagraphFont"/>
    <w:uiPriority w:val="99"/>
    <w:semiHidden/>
    <w:unhideWhenUsed/>
    <w:rsid w:val="006F1563"/>
    <w:rPr>
      <w:vertAlign w:val="superscript"/>
    </w:rPr>
  </w:style>
  <w:style w:type="character" w:styleId="Hyperlink">
    <w:name w:val="Hyperlink"/>
    <w:basedOn w:val="DefaultParagraphFont"/>
    <w:uiPriority w:val="99"/>
    <w:unhideWhenUsed/>
    <w:rsid w:val="00536604"/>
    <w:rPr>
      <w:color w:val="0563C1" w:themeColor="hyperlink"/>
      <w:u w:val="single"/>
    </w:rPr>
  </w:style>
  <w:style w:type="character" w:styleId="UnresolvedMention">
    <w:name w:val="Unresolved Mention"/>
    <w:basedOn w:val="DefaultParagraphFont"/>
    <w:uiPriority w:val="99"/>
    <w:semiHidden/>
    <w:unhideWhenUsed/>
    <w:rsid w:val="00536604"/>
    <w:rPr>
      <w:color w:val="605E5C"/>
      <w:shd w:val="clear" w:color="auto" w:fill="E1DFDD"/>
    </w:rPr>
  </w:style>
  <w:style w:type="paragraph" w:styleId="NormalWeb">
    <w:name w:val="Normal (Web)"/>
    <w:basedOn w:val="Normal"/>
    <w:uiPriority w:val="99"/>
    <w:unhideWhenUsed/>
    <w:rsid w:val="00FB645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36816">
      <w:bodyDiv w:val="1"/>
      <w:marLeft w:val="0"/>
      <w:marRight w:val="0"/>
      <w:marTop w:val="0"/>
      <w:marBottom w:val="0"/>
      <w:divBdr>
        <w:top w:val="none" w:sz="0" w:space="0" w:color="auto"/>
        <w:left w:val="none" w:sz="0" w:space="0" w:color="auto"/>
        <w:bottom w:val="none" w:sz="0" w:space="0" w:color="auto"/>
        <w:right w:val="none" w:sz="0" w:space="0" w:color="auto"/>
      </w:divBdr>
      <w:divsChild>
        <w:div w:id="1310673725">
          <w:marLeft w:val="0"/>
          <w:marRight w:val="0"/>
          <w:marTop w:val="0"/>
          <w:marBottom w:val="0"/>
          <w:divBdr>
            <w:top w:val="single" w:sz="2" w:space="0" w:color="D9D9E3"/>
            <w:left w:val="single" w:sz="2" w:space="0" w:color="D9D9E3"/>
            <w:bottom w:val="single" w:sz="2" w:space="0" w:color="D9D9E3"/>
            <w:right w:val="single" w:sz="2" w:space="0" w:color="D9D9E3"/>
          </w:divBdr>
          <w:divsChild>
            <w:div w:id="78645981">
              <w:marLeft w:val="0"/>
              <w:marRight w:val="0"/>
              <w:marTop w:val="0"/>
              <w:marBottom w:val="0"/>
              <w:divBdr>
                <w:top w:val="single" w:sz="2" w:space="0" w:color="D9D9E3"/>
                <w:left w:val="single" w:sz="2" w:space="0" w:color="D9D9E3"/>
                <w:bottom w:val="single" w:sz="2" w:space="0" w:color="D9D9E3"/>
                <w:right w:val="single" w:sz="2" w:space="0" w:color="D9D9E3"/>
              </w:divBdr>
              <w:divsChild>
                <w:div w:id="682516600">
                  <w:marLeft w:val="0"/>
                  <w:marRight w:val="0"/>
                  <w:marTop w:val="0"/>
                  <w:marBottom w:val="0"/>
                  <w:divBdr>
                    <w:top w:val="single" w:sz="2" w:space="0" w:color="D9D9E3"/>
                    <w:left w:val="single" w:sz="2" w:space="0" w:color="D9D9E3"/>
                    <w:bottom w:val="single" w:sz="2" w:space="0" w:color="D9D9E3"/>
                    <w:right w:val="single" w:sz="2" w:space="0" w:color="D9D9E3"/>
                  </w:divBdr>
                  <w:divsChild>
                    <w:div w:id="1769811182">
                      <w:marLeft w:val="0"/>
                      <w:marRight w:val="0"/>
                      <w:marTop w:val="0"/>
                      <w:marBottom w:val="0"/>
                      <w:divBdr>
                        <w:top w:val="single" w:sz="2" w:space="0" w:color="D9D9E3"/>
                        <w:left w:val="single" w:sz="2" w:space="0" w:color="D9D9E3"/>
                        <w:bottom w:val="single" w:sz="2" w:space="0" w:color="D9D9E3"/>
                        <w:right w:val="single" w:sz="2" w:space="0" w:color="D9D9E3"/>
                      </w:divBdr>
                      <w:divsChild>
                        <w:div w:id="2087143699">
                          <w:marLeft w:val="0"/>
                          <w:marRight w:val="0"/>
                          <w:marTop w:val="0"/>
                          <w:marBottom w:val="0"/>
                          <w:divBdr>
                            <w:top w:val="single" w:sz="2" w:space="0" w:color="auto"/>
                            <w:left w:val="single" w:sz="2" w:space="0" w:color="auto"/>
                            <w:bottom w:val="single" w:sz="6" w:space="0" w:color="auto"/>
                            <w:right w:val="single" w:sz="2" w:space="0" w:color="auto"/>
                          </w:divBdr>
                          <w:divsChild>
                            <w:div w:id="777601052">
                              <w:marLeft w:val="0"/>
                              <w:marRight w:val="0"/>
                              <w:marTop w:val="100"/>
                              <w:marBottom w:val="100"/>
                              <w:divBdr>
                                <w:top w:val="single" w:sz="2" w:space="0" w:color="D9D9E3"/>
                                <w:left w:val="single" w:sz="2" w:space="0" w:color="D9D9E3"/>
                                <w:bottom w:val="single" w:sz="2" w:space="0" w:color="D9D9E3"/>
                                <w:right w:val="single" w:sz="2" w:space="0" w:color="D9D9E3"/>
                              </w:divBdr>
                              <w:divsChild>
                                <w:div w:id="238901676">
                                  <w:marLeft w:val="0"/>
                                  <w:marRight w:val="0"/>
                                  <w:marTop w:val="0"/>
                                  <w:marBottom w:val="0"/>
                                  <w:divBdr>
                                    <w:top w:val="single" w:sz="2" w:space="0" w:color="D9D9E3"/>
                                    <w:left w:val="single" w:sz="2" w:space="0" w:color="D9D9E3"/>
                                    <w:bottom w:val="single" w:sz="2" w:space="0" w:color="D9D9E3"/>
                                    <w:right w:val="single" w:sz="2" w:space="0" w:color="D9D9E3"/>
                                  </w:divBdr>
                                  <w:divsChild>
                                    <w:div w:id="478765323">
                                      <w:marLeft w:val="0"/>
                                      <w:marRight w:val="0"/>
                                      <w:marTop w:val="0"/>
                                      <w:marBottom w:val="0"/>
                                      <w:divBdr>
                                        <w:top w:val="single" w:sz="2" w:space="0" w:color="D9D9E3"/>
                                        <w:left w:val="single" w:sz="2" w:space="0" w:color="D9D9E3"/>
                                        <w:bottom w:val="single" w:sz="2" w:space="0" w:color="D9D9E3"/>
                                        <w:right w:val="single" w:sz="2" w:space="0" w:color="D9D9E3"/>
                                      </w:divBdr>
                                      <w:divsChild>
                                        <w:div w:id="592855699">
                                          <w:marLeft w:val="0"/>
                                          <w:marRight w:val="0"/>
                                          <w:marTop w:val="0"/>
                                          <w:marBottom w:val="0"/>
                                          <w:divBdr>
                                            <w:top w:val="single" w:sz="2" w:space="0" w:color="D9D9E3"/>
                                            <w:left w:val="single" w:sz="2" w:space="0" w:color="D9D9E3"/>
                                            <w:bottom w:val="single" w:sz="2" w:space="0" w:color="D9D9E3"/>
                                            <w:right w:val="single" w:sz="2" w:space="0" w:color="D9D9E3"/>
                                          </w:divBdr>
                                          <w:divsChild>
                                            <w:div w:id="16264971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622757742">
          <w:marLeft w:val="0"/>
          <w:marRight w:val="0"/>
          <w:marTop w:val="0"/>
          <w:marBottom w:val="0"/>
          <w:divBdr>
            <w:top w:val="none" w:sz="0" w:space="0" w:color="auto"/>
            <w:left w:val="none" w:sz="0" w:space="0" w:color="auto"/>
            <w:bottom w:val="none" w:sz="0" w:space="0" w:color="auto"/>
            <w:right w:val="none" w:sz="0" w:space="0" w:color="auto"/>
          </w:divBdr>
        </w:div>
      </w:divsChild>
    </w:div>
    <w:div w:id="90590476">
      <w:bodyDiv w:val="1"/>
      <w:marLeft w:val="0"/>
      <w:marRight w:val="0"/>
      <w:marTop w:val="0"/>
      <w:marBottom w:val="0"/>
      <w:divBdr>
        <w:top w:val="none" w:sz="0" w:space="0" w:color="auto"/>
        <w:left w:val="none" w:sz="0" w:space="0" w:color="auto"/>
        <w:bottom w:val="none" w:sz="0" w:space="0" w:color="auto"/>
        <w:right w:val="none" w:sz="0" w:space="0" w:color="auto"/>
      </w:divBdr>
      <w:divsChild>
        <w:div w:id="1465319470">
          <w:marLeft w:val="0"/>
          <w:marRight w:val="0"/>
          <w:marTop w:val="0"/>
          <w:marBottom w:val="0"/>
          <w:divBdr>
            <w:top w:val="single" w:sz="2" w:space="0" w:color="D9D9E3"/>
            <w:left w:val="single" w:sz="2" w:space="0" w:color="D9D9E3"/>
            <w:bottom w:val="single" w:sz="2" w:space="0" w:color="D9D9E3"/>
            <w:right w:val="single" w:sz="2" w:space="0" w:color="D9D9E3"/>
          </w:divBdr>
          <w:divsChild>
            <w:div w:id="1436287689">
              <w:marLeft w:val="0"/>
              <w:marRight w:val="0"/>
              <w:marTop w:val="0"/>
              <w:marBottom w:val="0"/>
              <w:divBdr>
                <w:top w:val="single" w:sz="2" w:space="0" w:color="D9D9E3"/>
                <w:left w:val="single" w:sz="2" w:space="0" w:color="D9D9E3"/>
                <w:bottom w:val="single" w:sz="2" w:space="0" w:color="D9D9E3"/>
                <w:right w:val="single" w:sz="2" w:space="0" w:color="D9D9E3"/>
              </w:divBdr>
              <w:divsChild>
                <w:div w:id="2086488408">
                  <w:marLeft w:val="0"/>
                  <w:marRight w:val="0"/>
                  <w:marTop w:val="0"/>
                  <w:marBottom w:val="0"/>
                  <w:divBdr>
                    <w:top w:val="single" w:sz="2" w:space="0" w:color="D9D9E3"/>
                    <w:left w:val="single" w:sz="2" w:space="0" w:color="D9D9E3"/>
                    <w:bottom w:val="single" w:sz="2" w:space="0" w:color="D9D9E3"/>
                    <w:right w:val="single" w:sz="2" w:space="0" w:color="D9D9E3"/>
                  </w:divBdr>
                  <w:divsChild>
                    <w:div w:id="309100236">
                      <w:marLeft w:val="0"/>
                      <w:marRight w:val="0"/>
                      <w:marTop w:val="0"/>
                      <w:marBottom w:val="0"/>
                      <w:divBdr>
                        <w:top w:val="single" w:sz="2" w:space="0" w:color="D9D9E3"/>
                        <w:left w:val="single" w:sz="2" w:space="0" w:color="D9D9E3"/>
                        <w:bottom w:val="single" w:sz="2" w:space="0" w:color="D9D9E3"/>
                        <w:right w:val="single" w:sz="2" w:space="0" w:color="D9D9E3"/>
                      </w:divBdr>
                      <w:divsChild>
                        <w:div w:id="1882594233">
                          <w:marLeft w:val="0"/>
                          <w:marRight w:val="0"/>
                          <w:marTop w:val="0"/>
                          <w:marBottom w:val="0"/>
                          <w:divBdr>
                            <w:top w:val="single" w:sz="2" w:space="0" w:color="auto"/>
                            <w:left w:val="single" w:sz="2" w:space="0" w:color="auto"/>
                            <w:bottom w:val="single" w:sz="6" w:space="0" w:color="auto"/>
                            <w:right w:val="single" w:sz="2" w:space="0" w:color="auto"/>
                          </w:divBdr>
                          <w:divsChild>
                            <w:div w:id="1970671443">
                              <w:marLeft w:val="0"/>
                              <w:marRight w:val="0"/>
                              <w:marTop w:val="100"/>
                              <w:marBottom w:val="100"/>
                              <w:divBdr>
                                <w:top w:val="single" w:sz="2" w:space="0" w:color="D9D9E3"/>
                                <w:left w:val="single" w:sz="2" w:space="0" w:color="D9D9E3"/>
                                <w:bottom w:val="single" w:sz="2" w:space="0" w:color="D9D9E3"/>
                                <w:right w:val="single" w:sz="2" w:space="0" w:color="D9D9E3"/>
                              </w:divBdr>
                              <w:divsChild>
                                <w:div w:id="1108542497">
                                  <w:marLeft w:val="0"/>
                                  <w:marRight w:val="0"/>
                                  <w:marTop w:val="0"/>
                                  <w:marBottom w:val="0"/>
                                  <w:divBdr>
                                    <w:top w:val="single" w:sz="2" w:space="0" w:color="D9D9E3"/>
                                    <w:left w:val="single" w:sz="2" w:space="0" w:color="D9D9E3"/>
                                    <w:bottom w:val="single" w:sz="2" w:space="0" w:color="D9D9E3"/>
                                    <w:right w:val="single" w:sz="2" w:space="0" w:color="D9D9E3"/>
                                  </w:divBdr>
                                  <w:divsChild>
                                    <w:div w:id="2141529369">
                                      <w:marLeft w:val="0"/>
                                      <w:marRight w:val="0"/>
                                      <w:marTop w:val="0"/>
                                      <w:marBottom w:val="0"/>
                                      <w:divBdr>
                                        <w:top w:val="single" w:sz="2" w:space="0" w:color="D9D9E3"/>
                                        <w:left w:val="single" w:sz="2" w:space="0" w:color="D9D9E3"/>
                                        <w:bottom w:val="single" w:sz="2" w:space="0" w:color="D9D9E3"/>
                                        <w:right w:val="single" w:sz="2" w:space="0" w:color="D9D9E3"/>
                                      </w:divBdr>
                                      <w:divsChild>
                                        <w:div w:id="1908147233">
                                          <w:marLeft w:val="0"/>
                                          <w:marRight w:val="0"/>
                                          <w:marTop w:val="0"/>
                                          <w:marBottom w:val="0"/>
                                          <w:divBdr>
                                            <w:top w:val="single" w:sz="2" w:space="0" w:color="D9D9E3"/>
                                            <w:left w:val="single" w:sz="2" w:space="0" w:color="D9D9E3"/>
                                            <w:bottom w:val="single" w:sz="2" w:space="0" w:color="D9D9E3"/>
                                            <w:right w:val="single" w:sz="2" w:space="0" w:color="D9D9E3"/>
                                          </w:divBdr>
                                          <w:divsChild>
                                            <w:div w:id="2908646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62039330">
          <w:marLeft w:val="0"/>
          <w:marRight w:val="0"/>
          <w:marTop w:val="0"/>
          <w:marBottom w:val="0"/>
          <w:divBdr>
            <w:top w:val="none" w:sz="0" w:space="0" w:color="auto"/>
            <w:left w:val="none" w:sz="0" w:space="0" w:color="auto"/>
            <w:bottom w:val="none" w:sz="0" w:space="0" w:color="auto"/>
            <w:right w:val="none" w:sz="0" w:space="0" w:color="auto"/>
          </w:divBdr>
        </w:div>
      </w:divsChild>
    </w:div>
    <w:div w:id="745148284">
      <w:bodyDiv w:val="1"/>
      <w:marLeft w:val="0"/>
      <w:marRight w:val="0"/>
      <w:marTop w:val="0"/>
      <w:marBottom w:val="0"/>
      <w:divBdr>
        <w:top w:val="none" w:sz="0" w:space="0" w:color="auto"/>
        <w:left w:val="none" w:sz="0" w:space="0" w:color="auto"/>
        <w:bottom w:val="none" w:sz="0" w:space="0" w:color="auto"/>
        <w:right w:val="none" w:sz="0" w:space="0" w:color="auto"/>
      </w:divBdr>
    </w:div>
    <w:div w:id="876310151">
      <w:bodyDiv w:val="1"/>
      <w:marLeft w:val="0"/>
      <w:marRight w:val="0"/>
      <w:marTop w:val="0"/>
      <w:marBottom w:val="0"/>
      <w:divBdr>
        <w:top w:val="none" w:sz="0" w:space="0" w:color="auto"/>
        <w:left w:val="none" w:sz="0" w:space="0" w:color="auto"/>
        <w:bottom w:val="none" w:sz="0" w:space="0" w:color="auto"/>
        <w:right w:val="none" w:sz="0" w:space="0" w:color="auto"/>
      </w:divBdr>
    </w:div>
    <w:div w:id="1001856369">
      <w:bodyDiv w:val="1"/>
      <w:marLeft w:val="0"/>
      <w:marRight w:val="0"/>
      <w:marTop w:val="0"/>
      <w:marBottom w:val="0"/>
      <w:divBdr>
        <w:top w:val="none" w:sz="0" w:space="0" w:color="auto"/>
        <w:left w:val="none" w:sz="0" w:space="0" w:color="auto"/>
        <w:bottom w:val="none" w:sz="0" w:space="0" w:color="auto"/>
        <w:right w:val="none" w:sz="0" w:space="0" w:color="auto"/>
      </w:divBdr>
    </w:div>
    <w:div w:id="121990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lawctopus.com/academike/unnatural-offences-under-the-ip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7472C2-E825-4959-864E-6E6B84930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2240</Words>
  <Characters>12768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ABHYUDAYA JOSHI</dc:creator>
  <cp:keywords/>
  <dc:description/>
  <cp:lastModifiedBy>ABHYUDAYA JOSHI</cp:lastModifiedBy>
  <cp:revision>5</cp:revision>
  <dcterms:created xsi:type="dcterms:W3CDTF">2023-08-19T14:02:00Z</dcterms:created>
  <dcterms:modified xsi:type="dcterms:W3CDTF">2023-08-24T14:41:00Z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c196aa91-b886-4a70-b3f9-db0cbcee056a</vt:lpwstr>
  </property>
</Properties>
</file>