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color w:val="4A66AC" w:themeColor="accent1"/>
        </w:rPr>
        <w:id w:val="-1624455959"/>
        <w:docPartObj>
          <w:docPartGallery w:val="Cover Pages"/>
          <w:docPartUnique/>
        </w:docPartObj>
      </w:sdtPr>
      <w:sdtEndPr>
        <w:rPr>
          <w:rFonts w:cstheme="majorHAnsi"/>
          <w:color w:val="auto"/>
          <w:sz w:val="28"/>
          <w:szCs w:val="28"/>
          <w:lang w:val="en-US"/>
        </w:rPr>
      </w:sdtEndPr>
      <w:sdtContent>
        <w:p w:rsidR="0087573A" w:rsidRDefault="003A7593">
          <w:pPr>
            <w:pStyle w:val="NoSpacing"/>
            <w:spacing w:before="1540" w:after="240"/>
            <w:jc w:val="center"/>
            <w:rPr>
              <w:color w:val="4A66AC" w:themeColor="accent1"/>
            </w:rPr>
          </w:pPr>
          <w:r>
            <w:rPr>
              <w:color w:val="4A66AC" w:themeColor="accent1"/>
            </w:rPr>
            <w:t xml:space="preserve"> </w:t>
          </w:r>
          <w:r w:rsidR="0087573A">
            <w:rPr>
              <w:noProof/>
              <w:color w:val="4A66AC" w:themeColor="accent1"/>
              <w:lang w:eastAsia="en-IN"/>
            </w:rPr>
            <w:drawing>
              <wp:inline distT="0" distB="0" distL="0" distR="0" wp14:anchorId="0B47A39E" wp14:editId="565C9FAA">
                <wp:extent cx="1417320" cy="750898"/>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9"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sdt>
          <w:sdtPr>
            <w:rPr>
              <w:rFonts w:asciiTheme="majorHAnsi" w:eastAsiaTheme="majorEastAsia" w:hAnsiTheme="majorHAnsi" w:cstheme="majorBidi"/>
              <w:caps/>
              <w:color w:val="4A66AC" w:themeColor="accent1"/>
              <w:sz w:val="72"/>
              <w:szCs w:val="72"/>
            </w:rPr>
            <w:alias w:val="Title"/>
            <w:tag w:val=""/>
            <w:id w:val="1735040861"/>
            <w:placeholder>
              <w:docPart w:val="56ABA791457945DB802312BBD5CF8928"/>
            </w:placeholder>
            <w:dataBinding w:prefixMappings="xmlns:ns0='http://purl.org/dc/elements/1.1/' xmlns:ns1='http://schemas.openxmlformats.org/package/2006/metadata/core-properties' " w:xpath="/ns1:coreProperties[1]/ns0:title[1]" w:storeItemID="{6C3C8BC8-F283-45AE-878A-BAB7291924A1}"/>
            <w:text/>
          </w:sdtPr>
          <w:sdtContent>
            <w:p w:rsidR="0087573A" w:rsidRDefault="00590B97">
              <w:pPr>
                <w:pStyle w:val="NoSpacing"/>
                <w:pBdr>
                  <w:top w:val="single" w:sz="6" w:space="6" w:color="4A66AC" w:themeColor="accent1"/>
                  <w:bottom w:val="single" w:sz="6" w:space="6" w:color="4A66AC" w:themeColor="accent1"/>
                </w:pBdr>
                <w:spacing w:after="240"/>
                <w:jc w:val="center"/>
                <w:rPr>
                  <w:rFonts w:asciiTheme="majorHAnsi" w:eastAsiaTheme="majorEastAsia" w:hAnsiTheme="majorHAnsi" w:cstheme="majorBidi"/>
                  <w:caps/>
                  <w:color w:val="4A66AC" w:themeColor="accent1"/>
                  <w:sz w:val="80"/>
                  <w:szCs w:val="80"/>
                </w:rPr>
              </w:pPr>
              <w:r>
                <w:rPr>
                  <w:rFonts w:asciiTheme="majorHAnsi" w:eastAsiaTheme="majorEastAsia" w:hAnsiTheme="majorHAnsi" w:cstheme="majorBidi"/>
                  <w:caps/>
                  <w:color w:val="4A66AC" w:themeColor="accent1"/>
                  <w:sz w:val="72"/>
                  <w:szCs w:val="72"/>
                </w:rPr>
                <w:t>Legislative Evolution of Insolvency and Bankruptcy in India</w:t>
              </w:r>
            </w:p>
          </w:sdtContent>
        </w:sdt>
        <w:sdt>
          <w:sdtPr>
            <w:rPr>
              <w:color w:val="4A66AC" w:themeColor="accent1"/>
              <w:sz w:val="28"/>
              <w:szCs w:val="28"/>
            </w:rPr>
            <w:alias w:val="Subtitle"/>
            <w:tag w:val=""/>
            <w:id w:val="328029620"/>
            <w:placeholder>
              <w:docPart w:val="3BDEBBE7C7294928857468B7DC02ED6A"/>
            </w:placeholder>
            <w:dataBinding w:prefixMappings="xmlns:ns0='http://purl.org/dc/elements/1.1/' xmlns:ns1='http://schemas.openxmlformats.org/package/2006/metadata/core-properties' " w:xpath="/ns1:coreProperties[1]/ns0:subject[1]" w:storeItemID="{6C3C8BC8-F283-45AE-878A-BAB7291924A1}"/>
            <w:text/>
          </w:sdtPr>
          <w:sdtContent>
            <w:p w:rsidR="0087573A" w:rsidRDefault="00590B97">
              <w:pPr>
                <w:pStyle w:val="NoSpacing"/>
                <w:jc w:val="center"/>
                <w:rPr>
                  <w:color w:val="4A66AC" w:themeColor="accent1"/>
                  <w:sz w:val="28"/>
                  <w:szCs w:val="28"/>
                </w:rPr>
              </w:pPr>
              <w:r>
                <w:rPr>
                  <w:color w:val="4A66AC" w:themeColor="accent1"/>
                  <w:sz w:val="28"/>
                  <w:szCs w:val="28"/>
                </w:rPr>
                <w:t>Research paper</w:t>
              </w:r>
            </w:p>
          </w:sdtContent>
        </w:sdt>
        <w:p w:rsidR="0087573A" w:rsidRDefault="0087573A">
          <w:pPr>
            <w:pStyle w:val="NoSpacing"/>
            <w:spacing w:before="480"/>
            <w:jc w:val="center"/>
            <w:rPr>
              <w:color w:val="4A66AC" w:themeColor="accent1"/>
            </w:rPr>
          </w:pPr>
          <w:r>
            <w:rPr>
              <w:noProof/>
              <w:color w:val="4A66AC" w:themeColor="accent1"/>
              <w:lang w:eastAsia="en-IN"/>
            </w:rPr>
            <mc:AlternateContent>
              <mc:Choice Requires="wps">
                <w:drawing>
                  <wp:anchor distT="0" distB="0" distL="114300" distR="114300" simplePos="0" relativeHeight="251659264" behindDoc="0" locked="0" layoutInCell="1" allowOverlap="1" wp14:anchorId="3A663099" wp14:editId="7D633060">
                    <wp:simplePos x="0" y="0"/>
                    <wp:positionH relativeFrom="margin">
                      <wp:align>center</wp:align>
                    </wp:positionH>
                    <mc:AlternateContent>
                      <mc:Choice Requires="wp14">
                        <wp:positionV relativeFrom="page">
                          <wp14:pctPosVOffset>85000</wp14:pctPosVOffset>
                        </wp:positionV>
                      </mc:Choice>
                      <mc:Fallback>
                        <wp:positionV relativeFrom="page">
                          <wp:posOffset>9088120</wp:posOffset>
                        </wp:positionV>
                      </mc:Fallback>
                    </mc:AlternateContent>
                    <wp:extent cx="6553200" cy="557784"/>
                    <wp:effectExtent l="0" t="0" r="0" b="12700"/>
                    <wp:wrapNone/>
                    <wp:docPr id="142" name="Text Box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4A66AC" w:themeColor="accent1"/>
                                    <w:sz w:val="28"/>
                                    <w:szCs w:val="28"/>
                                  </w:rPr>
                                  <w:alias w:val="Date"/>
                                  <w:tag w:val=""/>
                                  <w:id w:val="197127006"/>
                                  <w:dataBinding w:prefixMappings="xmlns:ns0='http://schemas.microsoft.com/office/2006/coverPageProps' " w:xpath="/ns0:CoverPageProperties[1]/ns0:PublishDate[1]" w:storeItemID="{55AF091B-3C7A-41E3-B477-F2FDAA23CFDA}"/>
                                  <w:date w:fullDate="2023-07-25T00:00:00Z">
                                    <w:dateFormat w:val="MMMM d, yyyy"/>
                                    <w:lid w:val="en-US"/>
                                    <w:storeMappedDataAs w:val="dateTime"/>
                                    <w:calendar w:val="gregorian"/>
                                  </w:date>
                                </w:sdtPr>
                                <w:sdtContent>
                                  <w:p w:rsidR="0087573A" w:rsidRDefault="007D7BBA">
                                    <w:pPr>
                                      <w:pStyle w:val="NoSpacing"/>
                                      <w:spacing w:after="40"/>
                                      <w:jc w:val="center"/>
                                      <w:rPr>
                                        <w:caps/>
                                        <w:color w:val="4A66AC" w:themeColor="accent1"/>
                                        <w:sz w:val="28"/>
                                        <w:szCs w:val="28"/>
                                      </w:rPr>
                                    </w:pPr>
                                    <w:r>
                                      <w:rPr>
                                        <w:caps/>
                                        <w:color w:val="4A66AC" w:themeColor="accent1"/>
                                        <w:sz w:val="28"/>
                                        <w:szCs w:val="28"/>
                                        <w:lang w:val="en-US"/>
                                      </w:rPr>
                                      <w:t>July 25, 2023</w:t>
                                    </w:r>
                                  </w:p>
                                </w:sdtContent>
                              </w:sdt>
                              <w:p w:rsidR="0087573A" w:rsidRDefault="0087573A">
                                <w:pPr>
                                  <w:pStyle w:val="NoSpacing"/>
                                  <w:jc w:val="center"/>
                                  <w:rPr>
                                    <w:color w:val="4A66AC" w:themeColor="accent1"/>
                                  </w:rPr>
                                </w:pPr>
                                <w:sdt>
                                  <w:sdtPr>
                                    <w:rPr>
                                      <w:caps/>
                                      <w:color w:val="4A66AC" w:themeColor="accent1"/>
                                    </w:rPr>
                                    <w:alias w:val="Company"/>
                                    <w:tag w:val=""/>
                                    <w:id w:val="1390145197"/>
                                    <w:dataBinding w:prefixMappings="xmlns:ns0='http://schemas.openxmlformats.org/officeDocument/2006/extended-properties' " w:xpath="/ns0:Properties[1]/ns0:Company[1]" w:storeItemID="{6668398D-A668-4E3E-A5EB-62B293D839F1}"/>
                                    <w:text/>
                                  </w:sdtPr>
                                  <w:sdtContent>
                                    <w:r w:rsidR="009725D8">
                                      <w:rPr>
                                        <w:caps/>
                                        <w:color w:val="4A66AC" w:themeColor="accent1"/>
                                      </w:rPr>
                                      <w:t>diya kulkarni</w:t>
                                    </w:r>
                                  </w:sdtContent>
                                </w:sdt>
                              </w:p>
                              <w:p w:rsidR="0087573A" w:rsidRDefault="0087573A">
                                <w:pPr>
                                  <w:pStyle w:val="NoSpacing"/>
                                  <w:jc w:val="center"/>
                                  <w:rPr>
                                    <w:color w:val="4A66AC" w:themeColor="accent1"/>
                                  </w:rPr>
                                </w:pPr>
                                <w:sdt>
                                  <w:sdtPr>
                                    <w:rPr>
                                      <w:color w:val="4A66AC" w:themeColor="accent1"/>
                                    </w:rPr>
                                    <w:alias w:val="Address"/>
                                    <w:tag w:val=""/>
                                    <w:id w:val="-726379553"/>
                                    <w:dataBinding w:prefixMappings="xmlns:ns0='http://schemas.microsoft.com/office/2006/coverPageProps' " w:xpath="/ns0:CoverPageProperties[1]/ns0:CompanyAddress[1]" w:storeItemID="{55AF091B-3C7A-41E3-B477-F2FDAA23CFDA}"/>
                                    <w:text/>
                                  </w:sdtPr>
                                  <w:sdtContent>
                                    <w:r w:rsidR="007D7BBA">
                                      <w:rPr>
                                        <w:color w:val="4A66AC" w:themeColor="accent1"/>
                                      </w:rPr>
                                      <w:t>From ~ UPES SCHOOL OF LAW, DEHRADUN.</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3A663099" id="_x0000_t202" coordsize="21600,21600" o:spt="202" path="m,l,21600r21600,l21600,xe">
                    <v:stroke joinstyle="miter"/>
                    <v:path gradientshapeok="t" o:connecttype="rect"/>
                  </v:shapetype>
                  <v:shape id="Text Box 142" o:spid="_x0000_s1026" type="#_x0000_t202" style="position:absolute;left:0;text-align:left;margin-left:0;margin-top:0;width:516pt;height:43.9pt;z-index:251659264;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" filled="f" stroked="f" strokeweight=".5pt">
                    <v:textbox style="mso-fit-shape-to-text:t" inset="0,0,0,0">
                      <w:txbxContent>
                        <w:sdt>
                          <w:sdtPr>
                            <w:rPr>
                              <w:caps/>
                              <w:color w:val="4A66AC" w:themeColor="accent1"/>
                              <w:sz w:val="28"/>
                              <w:szCs w:val="28"/>
                            </w:rPr>
                            <w:alias w:val="Date"/>
                            <w:tag w:val=""/>
                            <w:id w:val="197127006"/>
                            <w:dataBinding w:prefixMappings="xmlns:ns0='http://schemas.microsoft.com/office/2006/coverPageProps' " w:xpath="/ns0:CoverPageProperties[1]/ns0:PublishDate[1]" w:storeItemID="{55AF091B-3C7A-41E3-B477-F2FDAA23CFDA}"/>
                            <w:date w:fullDate="2023-07-25T00:00:00Z">
                              <w:dateFormat w:val="MMMM d, yyyy"/>
                              <w:lid w:val="en-US"/>
                              <w:storeMappedDataAs w:val="dateTime"/>
                              <w:calendar w:val="gregorian"/>
                            </w:date>
                          </w:sdtPr>
                          <w:sdtContent>
                            <w:p w:rsidR="0087573A" w:rsidRDefault="007D7BBA">
                              <w:pPr>
                                <w:pStyle w:val="NoSpacing"/>
                                <w:spacing w:after="40"/>
                                <w:jc w:val="center"/>
                                <w:rPr>
                                  <w:caps/>
                                  <w:color w:val="4A66AC" w:themeColor="accent1"/>
                                  <w:sz w:val="28"/>
                                  <w:szCs w:val="28"/>
                                </w:rPr>
                              </w:pPr>
                              <w:r>
                                <w:rPr>
                                  <w:caps/>
                                  <w:color w:val="4A66AC" w:themeColor="accent1"/>
                                  <w:sz w:val="28"/>
                                  <w:szCs w:val="28"/>
                                  <w:lang w:val="en-US"/>
                                </w:rPr>
                                <w:t>July 25, 2023</w:t>
                              </w:r>
                            </w:p>
                          </w:sdtContent>
                        </w:sdt>
                        <w:p w:rsidR="0087573A" w:rsidRDefault="0087573A">
                          <w:pPr>
                            <w:pStyle w:val="NoSpacing"/>
                            <w:jc w:val="center"/>
                            <w:rPr>
                              <w:color w:val="4A66AC" w:themeColor="accent1"/>
                            </w:rPr>
                          </w:pPr>
                          <w:sdt>
                            <w:sdtPr>
                              <w:rPr>
                                <w:caps/>
                                <w:color w:val="4A66AC" w:themeColor="accent1"/>
                              </w:rPr>
                              <w:alias w:val="Company"/>
                              <w:tag w:val=""/>
                              <w:id w:val="1390145197"/>
                              <w:dataBinding w:prefixMappings="xmlns:ns0='http://schemas.openxmlformats.org/officeDocument/2006/extended-properties' " w:xpath="/ns0:Properties[1]/ns0:Company[1]" w:storeItemID="{6668398D-A668-4E3E-A5EB-62B293D839F1}"/>
                              <w:text/>
                            </w:sdtPr>
                            <w:sdtContent>
                              <w:r w:rsidR="009725D8">
                                <w:rPr>
                                  <w:caps/>
                                  <w:color w:val="4A66AC" w:themeColor="accent1"/>
                                </w:rPr>
                                <w:t>diya kulkarni</w:t>
                              </w:r>
                            </w:sdtContent>
                          </w:sdt>
                        </w:p>
                        <w:p w:rsidR="0087573A" w:rsidRDefault="0087573A">
                          <w:pPr>
                            <w:pStyle w:val="NoSpacing"/>
                            <w:jc w:val="center"/>
                            <w:rPr>
                              <w:color w:val="4A66AC" w:themeColor="accent1"/>
                            </w:rPr>
                          </w:pPr>
                          <w:sdt>
                            <w:sdtPr>
                              <w:rPr>
                                <w:color w:val="4A66AC" w:themeColor="accent1"/>
                              </w:rPr>
                              <w:alias w:val="Address"/>
                              <w:tag w:val=""/>
                              <w:id w:val="-726379553"/>
                              <w:dataBinding w:prefixMappings="xmlns:ns0='http://schemas.microsoft.com/office/2006/coverPageProps' " w:xpath="/ns0:CoverPageProperties[1]/ns0:CompanyAddress[1]" w:storeItemID="{55AF091B-3C7A-41E3-B477-F2FDAA23CFDA}"/>
                              <w:text/>
                            </w:sdtPr>
                            <w:sdtContent>
                              <w:r w:rsidR="007D7BBA">
                                <w:rPr>
                                  <w:color w:val="4A66AC" w:themeColor="accent1"/>
                                </w:rPr>
                                <w:t>From ~ UPES SCHOOL OF LAW, DEHRADUN.</w:t>
                              </w:r>
                            </w:sdtContent>
                          </w:sdt>
                        </w:p>
                      </w:txbxContent>
                    </v:textbox>
                    <w10:wrap anchorx="margin" anchory="page"/>
                  </v:shape>
                </w:pict>
              </mc:Fallback>
            </mc:AlternateContent>
          </w:r>
          <w:r>
            <w:rPr>
              <w:noProof/>
              <w:color w:val="4A66AC" w:themeColor="accent1"/>
              <w:lang w:eastAsia="en-IN"/>
            </w:rPr>
            <w:drawing>
              <wp:inline distT="0" distB="0" distL="0" distR="0" wp14:anchorId="6143C810" wp14:editId="005EEAF4">
                <wp:extent cx="758952" cy="478932"/>
                <wp:effectExtent l="0" t="0" r="317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0"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rsidR="0087573A" w:rsidRDefault="0087573A">
          <w:pPr>
            <w:rPr>
              <w:rFonts w:asciiTheme="majorHAnsi" w:hAnsiTheme="majorHAnsi" w:cstheme="majorHAnsi"/>
              <w:sz w:val="28"/>
              <w:szCs w:val="28"/>
              <w:lang w:val="en-US"/>
            </w:rPr>
          </w:pPr>
          <w:r>
            <w:rPr>
              <w:rFonts w:cstheme="majorHAnsi"/>
              <w:sz w:val="28"/>
              <w:szCs w:val="28"/>
              <w:lang w:val="en-US"/>
            </w:rPr>
            <w:br w:type="page"/>
          </w:r>
        </w:p>
      </w:sdtContent>
    </w:sdt>
    <w:p w:rsidR="0087573A" w:rsidRDefault="0087573A" w:rsidP="00720688">
      <w:pPr>
        <w:jc w:val="center"/>
        <w:rPr>
          <w:rFonts w:asciiTheme="majorHAnsi" w:hAnsiTheme="majorHAnsi" w:cstheme="majorHAnsi"/>
          <w:sz w:val="28"/>
          <w:szCs w:val="28"/>
          <w:lang w:val="en-US"/>
        </w:rPr>
      </w:pPr>
      <w:r w:rsidRPr="0087573A">
        <w:rPr>
          <w:rFonts w:asciiTheme="majorHAnsi" w:hAnsiTheme="majorHAnsi" w:cstheme="majorHAnsi"/>
          <w:sz w:val="28"/>
          <w:szCs w:val="28"/>
          <w:lang w:val="en-US"/>
        </w:rPr>
        <w:lastRenderedPageBreak/>
        <w:t>ABSTRACT</w:t>
      </w:r>
    </w:p>
    <w:p w:rsidR="0087573A" w:rsidRPr="001E5E12" w:rsidRDefault="009725D8" w:rsidP="0087573A">
      <w:pPr>
        <w:rPr>
          <w:rFonts w:asciiTheme="majorHAnsi" w:hAnsiTheme="majorHAnsi" w:cstheme="majorHAnsi"/>
          <w:sz w:val="24"/>
          <w:szCs w:val="24"/>
          <w:lang w:val="en-US"/>
        </w:rPr>
      </w:pPr>
      <w:r>
        <w:rPr>
          <w:rFonts w:asciiTheme="majorHAnsi" w:hAnsiTheme="majorHAnsi" w:cstheme="majorHAnsi"/>
          <w:sz w:val="24"/>
          <w:szCs w:val="24"/>
          <w:lang w:val="en-US"/>
        </w:rPr>
        <w:t xml:space="preserve">In the present study </w:t>
      </w:r>
      <w:r w:rsidR="0087573A" w:rsidRPr="001E5E12">
        <w:rPr>
          <w:rFonts w:asciiTheme="majorHAnsi" w:hAnsiTheme="majorHAnsi" w:cstheme="majorHAnsi"/>
          <w:sz w:val="24"/>
          <w:szCs w:val="24"/>
          <w:lang w:val="en-US"/>
        </w:rPr>
        <w:t xml:space="preserve">Insolvency is the state of being unable to repay money borrowed by an individual or company within a specific time period. On the other hand, bankruptcy </w:t>
      </w:r>
      <w:r w:rsidR="003C6518" w:rsidRPr="001E5E12">
        <w:rPr>
          <w:rFonts w:asciiTheme="majorHAnsi" w:hAnsiTheme="majorHAnsi" w:cstheme="majorHAnsi"/>
          <w:sz w:val="24"/>
          <w:szCs w:val="24"/>
          <w:lang w:val="en-US"/>
        </w:rPr>
        <w:t>is a legal procedure that occurs when a person announces the fact that he or she will be unable to repay his or her debts.</w:t>
      </w:r>
      <w:r w:rsidR="001E5E12" w:rsidRPr="001E5E12">
        <w:rPr>
          <w:sz w:val="24"/>
          <w:szCs w:val="24"/>
        </w:rPr>
        <w:t xml:space="preserve"> </w:t>
      </w:r>
      <w:r w:rsidR="001E5E12" w:rsidRPr="001E5E12">
        <w:rPr>
          <w:rFonts w:asciiTheme="majorHAnsi" w:hAnsiTheme="majorHAnsi" w:cstheme="majorHAnsi"/>
          <w:sz w:val="24"/>
          <w:szCs w:val="24"/>
          <w:lang w:val="en-US"/>
        </w:rPr>
        <w:t>The Insolvency and Bankruptcy Code 2016 offers creditors a comprehensive alternative for collecting debts from intentional defaulters. Although the legislation in question has had initial challenges and discrepancies since its start, the government's proactive effort in revising this liquidation law on a regular basis has resulted in its major adoption. In this research paper we will be discussing the importance of Insolvency and Bankruptcy laws in India, secondly will discuss its evolution over changing period of time and lastly we will discuss the Landmark cases relating to this topic.</w:t>
      </w:r>
    </w:p>
    <w:p w:rsidR="001E5E12" w:rsidRPr="001E5E12" w:rsidRDefault="001E5E12" w:rsidP="0087573A">
      <w:pPr>
        <w:rPr>
          <w:rFonts w:asciiTheme="majorHAnsi" w:hAnsiTheme="majorHAnsi" w:cstheme="majorHAnsi"/>
          <w:sz w:val="24"/>
          <w:szCs w:val="24"/>
          <w:lang w:val="en-US"/>
        </w:rPr>
      </w:pPr>
      <w:r w:rsidRPr="001E5E12">
        <w:rPr>
          <w:rFonts w:asciiTheme="majorHAnsi" w:hAnsiTheme="majorHAnsi" w:cstheme="majorHAnsi"/>
          <w:i/>
          <w:sz w:val="24"/>
          <w:szCs w:val="24"/>
          <w:lang w:val="en-US"/>
        </w:rPr>
        <w:t>Keywords:</w:t>
      </w:r>
      <w:r w:rsidRPr="001E5E12">
        <w:rPr>
          <w:rFonts w:asciiTheme="majorHAnsi" w:hAnsiTheme="majorHAnsi" w:cstheme="majorHAnsi"/>
          <w:sz w:val="24"/>
          <w:szCs w:val="24"/>
          <w:lang w:val="en-US"/>
        </w:rPr>
        <w:t xml:space="preserve"> Insolvency and Bankruptcy code, legislative evolution, debts, creditors, India, etc.</w:t>
      </w:r>
    </w:p>
    <w:p w:rsidR="001E5E12" w:rsidRDefault="001E5E12" w:rsidP="0087573A">
      <w:pPr>
        <w:rPr>
          <w:rFonts w:asciiTheme="majorHAnsi" w:hAnsiTheme="majorHAnsi" w:cstheme="majorHAnsi"/>
          <w:sz w:val="28"/>
          <w:szCs w:val="28"/>
          <w:lang w:val="en-US"/>
        </w:rPr>
      </w:pPr>
    </w:p>
    <w:p w:rsidR="009725D8" w:rsidRDefault="001E5E12" w:rsidP="00720688">
      <w:pPr>
        <w:jc w:val="center"/>
        <w:rPr>
          <w:rFonts w:asciiTheme="majorHAnsi" w:hAnsiTheme="majorHAnsi" w:cstheme="majorHAnsi"/>
          <w:sz w:val="28"/>
          <w:szCs w:val="28"/>
          <w:lang w:val="en-US"/>
        </w:rPr>
      </w:pPr>
      <w:r>
        <w:rPr>
          <w:rFonts w:asciiTheme="majorHAnsi" w:hAnsiTheme="majorHAnsi" w:cstheme="majorHAnsi"/>
          <w:sz w:val="28"/>
          <w:szCs w:val="28"/>
          <w:lang w:val="en-US"/>
        </w:rPr>
        <w:t>INTRODUCTION</w:t>
      </w:r>
    </w:p>
    <w:p w:rsidR="009725D8" w:rsidRDefault="009725D8" w:rsidP="0087573A">
      <w:pPr>
        <w:rPr>
          <w:rFonts w:asciiTheme="majorHAnsi" w:hAnsiTheme="majorHAnsi" w:cstheme="majorHAnsi"/>
          <w:sz w:val="24"/>
          <w:szCs w:val="24"/>
          <w:lang w:val="en-US"/>
        </w:rPr>
      </w:pPr>
      <w:r>
        <w:rPr>
          <w:rFonts w:asciiTheme="majorHAnsi" w:hAnsiTheme="majorHAnsi" w:cstheme="majorHAnsi"/>
          <w:sz w:val="24"/>
          <w:szCs w:val="24"/>
          <w:lang w:val="en-US"/>
        </w:rPr>
        <w:t>The Insolvency and Bankruptcy laws have been evolved through years. The origin of insolvency law in India is primarily based on the English law. In the initial stage the legal framework was based in India’s three presidency states i.e. Bombay, Calcutta and Madras, where the British People engaged into trade businesses. Foremost insolvency courts were established in these Presidency towns by means of statue 9</w:t>
      </w:r>
      <w:r w:rsidR="0010211F">
        <w:rPr>
          <w:rStyle w:val="FootnoteReference"/>
          <w:rFonts w:asciiTheme="majorHAnsi" w:hAnsiTheme="majorHAnsi" w:cstheme="majorHAnsi"/>
          <w:sz w:val="24"/>
          <w:szCs w:val="24"/>
          <w:lang w:val="en-US"/>
        </w:rPr>
        <w:footnoteReference w:id="1"/>
      </w:r>
      <w:r>
        <w:rPr>
          <w:rFonts w:asciiTheme="majorHAnsi" w:hAnsiTheme="majorHAnsi" w:cstheme="majorHAnsi"/>
          <w:sz w:val="24"/>
          <w:szCs w:val="24"/>
          <w:lang w:val="en-US"/>
        </w:rPr>
        <w:t xml:space="preserve">, which conferred jurisdiction on these courts to decide and pass orders on the matters pertaining to insolvency, this act is said to be the beginning to special Insolvency legislation in India. These courts were established to seek help to Insolvent debtors. Any person who is not satisfied with the decision of these courts can go to the Supreme Court. </w:t>
      </w:r>
    </w:p>
    <w:p w:rsidR="009725D8" w:rsidRDefault="009725D8" w:rsidP="0087573A">
      <w:pPr>
        <w:rPr>
          <w:rFonts w:asciiTheme="majorHAnsi" w:hAnsiTheme="majorHAnsi" w:cstheme="majorHAnsi"/>
          <w:sz w:val="24"/>
          <w:szCs w:val="24"/>
          <w:lang w:val="en-US"/>
        </w:rPr>
      </w:pPr>
      <w:r w:rsidRPr="009725D8">
        <w:rPr>
          <w:rFonts w:asciiTheme="majorHAnsi" w:hAnsiTheme="majorHAnsi" w:cstheme="majorHAnsi"/>
          <w:sz w:val="24"/>
          <w:szCs w:val="24"/>
          <w:lang w:val="en-US"/>
        </w:rPr>
        <w:t>The Insolvency and Bankruptcy code 2016, has been enacted to radically change the process of Insolvency resolution in India. This implementation of laws has eased the on-going of business in India, as they have potential to have significant impact.</w:t>
      </w:r>
    </w:p>
    <w:p w:rsidR="009725D8" w:rsidRDefault="009725D8" w:rsidP="0087573A">
      <w:pPr>
        <w:rPr>
          <w:rFonts w:asciiTheme="majorHAnsi" w:hAnsiTheme="majorHAnsi" w:cstheme="majorHAnsi"/>
          <w:sz w:val="24"/>
          <w:szCs w:val="24"/>
          <w:lang w:val="en-US"/>
        </w:rPr>
      </w:pPr>
      <w:r w:rsidRPr="009725D8">
        <w:rPr>
          <w:rFonts w:asciiTheme="majorHAnsi" w:hAnsiTheme="majorHAnsi" w:cstheme="majorHAnsi"/>
          <w:sz w:val="24"/>
          <w:szCs w:val="24"/>
          <w:lang w:val="en-US"/>
        </w:rPr>
        <w:t>The legislation's principal purpose is to quickly reorganize and resolve the insolvency of companies, partnership firms, and individuals in order to optimize the value of their assets. At the same time, it is critical to grow entrepreneurship and financial availability. The Lok Sabha enacted the Insolvency and Bankruptcy Code, 2015 in December 2015.</w:t>
      </w:r>
    </w:p>
    <w:p w:rsidR="009725D8" w:rsidRDefault="009725D8" w:rsidP="0087573A">
      <w:pPr>
        <w:rPr>
          <w:rFonts w:asciiTheme="majorHAnsi" w:hAnsiTheme="majorHAnsi" w:cstheme="majorHAnsi"/>
          <w:sz w:val="24"/>
          <w:szCs w:val="24"/>
          <w:lang w:val="en-US"/>
        </w:rPr>
      </w:pPr>
      <w:r>
        <w:rPr>
          <w:rFonts w:asciiTheme="majorHAnsi" w:hAnsiTheme="majorHAnsi" w:cstheme="majorHAnsi"/>
          <w:sz w:val="24"/>
          <w:szCs w:val="24"/>
          <w:lang w:val="en-US"/>
        </w:rPr>
        <w:t>The main purpose of this legal framework is to protect the investor’s rights and to ease the process of business by making it simple and efficient. In this research paper we will do a detailed study of Evolution of Insolvency and Bankruptcy code 2016 along with the recent landmark Judgments.</w:t>
      </w:r>
    </w:p>
    <w:p w:rsidR="00720688" w:rsidRDefault="00720688" w:rsidP="0087573A">
      <w:pPr>
        <w:rPr>
          <w:rFonts w:asciiTheme="majorHAnsi" w:hAnsiTheme="majorHAnsi" w:cstheme="majorHAnsi"/>
          <w:sz w:val="24"/>
          <w:szCs w:val="24"/>
          <w:lang w:val="en-US"/>
        </w:rPr>
      </w:pPr>
    </w:p>
    <w:p w:rsidR="00720688" w:rsidRDefault="00720688" w:rsidP="0087573A">
      <w:pPr>
        <w:rPr>
          <w:rFonts w:asciiTheme="majorHAnsi" w:hAnsiTheme="majorHAnsi" w:cstheme="majorHAnsi"/>
          <w:sz w:val="24"/>
          <w:szCs w:val="24"/>
          <w:lang w:val="en-US"/>
        </w:rPr>
      </w:pPr>
    </w:p>
    <w:p w:rsidR="00720688" w:rsidRDefault="00720688" w:rsidP="0087573A">
      <w:pPr>
        <w:rPr>
          <w:rFonts w:asciiTheme="majorHAnsi" w:hAnsiTheme="majorHAnsi" w:cstheme="majorHAnsi"/>
          <w:sz w:val="24"/>
          <w:szCs w:val="24"/>
          <w:lang w:val="en-US"/>
        </w:rPr>
      </w:pPr>
    </w:p>
    <w:p w:rsidR="00720688" w:rsidRDefault="00720688" w:rsidP="00720688">
      <w:pPr>
        <w:jc w:val="center"/>
        <w:rPr>
          <w:rFonts w:asciiTheme="majorHAnsi" w:hAnsiTheme="majorHAnsi" w:cstheme="majorHAnsi"/>
          <w:sz w:val="28"/>
          <w:szCs w:val="28"/>
          <w:lang w:val="en-US"/>
        </w:rPr>
      </w:pPr>
      <w:r>
        <w:rPr>
          <w:rFonts w:asciiTheme="majorHAnsi" w:hAnsiTheme="majorHAnsi" w:cstheme="majorHAnsi"/>
          <w:sz w:val="28"/>
          <w:szCs w:val="28"/>
          <w:lang w:val="en-US"/>
        </w:rPr>
        <w:t>RESEARCH METHODOLOGY</w:t>
      </w:r>
    </w:p>
    <w:p w:rsidR="00720688" w:rsidRDefault="00590B97" w:rsidP="00720688">
      <w:pPr>
        <w:rPr>
          <w:rFonts w:asciiTheme="majorHAnsi" w:hAnsiTheme="majorHAnsi" w:cstheme="majorHAnsi"/>
          <w:sz w:val="24"/>
          <w:szCs w:val="24"/>
          <w:lang w:val="en-US"/>
        </w:rPr>
      </w:pPr>
      <w:r>
        <w:rPr>
          <w:rFonts w:asciiTheme="majorHAnsi" w:hAnsiTheme="majorHAnsi" w:cstheme="majorHAnsi"/>
          <w:sz w:val="24"/>
          <w:szCs w:val="24"/>
          <w:lang w:val="en-US"/>
        </w:rPr>
        <w:t xml:space="preserve">The methodology is philosophical in nature </w:t>
      </w:r>
      <w:r w:rsidR="00720688" w:rsidRPr="00720688">
        <w:rPr>
          <w:rFonts w:asciiTheme="majorHAnsi" w:hAnsiTheme="majorHAnsi" w:cstheme="majorHAnsi"/>
          <w:sz w:val="24"/>
          <w:szCs w:val="24"/>
          <w:lang w:val="en-US"/>
        </w:rPr>
        <w:t xml:space="preserve">and it is based upon </w:t>
      </w:r>
      <w:r>
        <w:rPr>
          <w:rFonts w:asciiTheme="majorHAnsi" w:hAnsiTheme="majorHAnsi" w:cstheme="majorHAnsi"/>
          <w:sz w:val="24"/>
          <w:szCs w:val="24"/>
          <w:lang w:val="en-US"/>
        </w:rPr>
        <w:t xml:space="preserve">primary as well as secondary </w:t>
      </w:r>
      <w:r w:rsidR="00720688">
        <w:rPr>
          <w:rFonts w:asciiTheme="majorHAnsi" w:hAnsiTheme="majorHAnsi" w:cstheme="majorHAnsi"/>
          <w:sz w:val="24"/>
          <w:szCs w:val="24"/>
          <w:lang w:val="en-US"/>
        </w:rPr>
        <w:t xml:space="preserve">information to analyze </w:t>
      </w:r>
      <w:r w:rsidR="00720688" w:rsidRPr="00720688">
        <w:rPr>
          <w:rFonts w:asciiTheme="majorHAnsi" w:hAnsiTheme="majorHAnsi" w:cstheme="majorHAnsi"/>
          <w:sz w:val="24"/>
          <w:szCs w:val="24"/>
          <w:lang w:val="en-US"/>
        </w:rPr>
        <w:t xml:space="preserve">thoroughly the </w:t>
      </w:r>
      <w:r w:rsidR="00664158" w:rsidRPr="00664158">
        <w:rPr>
          <w:rFonts w:asciiTheme="majorHAnsi" w:hAnsiTheme="majorHAnsi" w:cstheme="majorHAnsi"/>
          <w:sz w:val="24"/>
          <w:szCs w:val="24"/>
          <w:lang w:val="en-US"/>
        </w:rPr>
        <w:t>legislative evolution of insolvency and bankruptcy in India</w:t>
      </w:r>
      <w:r w:rsidR="00664158">
        <w:rPr>
          <w:rFonts w:asciiTheme="majorHAnsi" w:hAnsiTheme="majorHAnsi" w:cstheme="majorHAnsi"/>
          <w:sz w:val="24"/>
          <w:szCs w:val="24"/>
          <w:lang w:val="en-US"/>
        </w:rPr>
        <w:t>.</w:t>
      </w:r>
    </w:p>
    <w:p w:rsidR="00590B97" w:rsidRPr="00720688" w:rsidRDefault="00590B97" w:rsidP="00720688">
      <w:pPr>
        <w:rPr>
          <w:rFonts w:asciiTheme="majorHAnsi" w:hAnsiTheme="majorHAnsi" w:cstheme="majorHAnsi"/>
          <w:sz w:val="24"/>
          <w:szCs w:val="24"/>
          <w:lang w:val="en-US"/>
        </w:rPr>
      </w:pPr>
      <w:r>
        <w:rPr>
          <w:rFonts w:asciiTheme="majorHAnsi" w:hAnsiTheme="majorHAnsi" w:cstheme="majorHAnsi"/>
          <w:sz w:val="24"/>
          <w:szCs w:val="24"/>
          <w:lang w:val="en-US"/>
        </w:rPr>
        <w:t>Primary data</w:t>
      </w:r>
      <w:r w:rsidR="0010211F">
        <w:rPr>
          <w:rStyle w:val="FootnoteReference"/>
          <w:rFonts w:asciiTheme="majorHAnsi" w:hAnsiTheme="majorHAnsi" w:cstheme="majorHAnsi"/>
          <w:sz w:val="24"/>
          <w:szCs w:val="24"/>
          <w:lang w:val="en-US"/>
        </w:rPr>
        <w:footnoteReference w:id="2"/>
      </w:r>
      <w:r>
        <w:rPr>
          <w:rFonts w:asciiTheme="majorHAnsi" w:hAnsiTheme="majorHAnsi" w:cstheme="majorHAnsi"/>
          <w:sz w:val="24"/>
          <w:szCs w:val="24"/>
          <w:lang w:val="en-US"/>
        </w:rPr>
        <w:t xml:space="preserve"> like the legislative provisions and Supreme Court judgments. </w:t>
      </w:r>
    </w:p>
    <w:p w:rsidR="00664158" w:rsidRDefault="00664158" w:rsidP="00664158">
      <w:pPr>
        <w:rPr>
          <w:rFonts w:asciiTheme="majorHAnsi" w:hAnsiTheme="majorHAnsi" w:cstheme="majorHAnsi"/>
          <w:sz w:val="24"/>
          <w:szCs w:val="24"/>
          <w:lang w:val="en-US"/>
        </w:rPr>
      </w:pPr>
      <w:r w:rsidRPr="00664158">
        <w:rPr>
          <w:rFonts w:asciiTheme="majorHAnsi" w:hAnsiTheme="majorHAnsi" w:cstheme="majorHAnsi"/>
          <w:sz w:val="24"/>
          <w:szCs w:val="24"/>
          <w:lang w:val="en-US"/>
        </w:rPr>
        <w:t>Secondary data like journals, news articles and other similar arti</w:t>
      </w:r>
      <w:r>
        <w:rPr>
          <w:rFonts w:asciiTheme="majorHAnsi" w:hAnsiTheme="majorHAnsi" w:cstheme="majorHAnsi"/>
          <w:sz w:val="24"/>
          <w:szCs w:val="24"/>
          <w:lang w:val="en-US"/>
        </w:rPr>
        <w:t>cle.</w:t>
      </w:r>
    </w:p>
    <w:p w:rsidR="00664158" w:rsidRDefault="00664158" w:rsidP="00664158">
      <w:pPr>
        <w:rPr>
          <w:rFonts w:asciiTheme="majorHAnsi" w:hAnsiTheme="majorHAnsi" w:cstheme="majorHAnsi"/>
          <w:sz w:val="24"/>
          <w:szCs w:val="24"/>
          <w:lang w:val="en-US"/>
        </w:rPr>
      </w:pPr>
    </w:p>
    <w:p w:rsidR="00664158" w:rsidRPr="00664158" w:rsidRDefault="00664158" w:rsidP="00664158">
      <w:pPr>
        <w:jc w:val="center"/>
        <w:rPr>
          <w:rFonts w:asciiTheme="majorHAnsi" w:hAnsiTheme="majorHAnsi" w:cstheme="majorHAnsi"/>
          <w:sz w:val="24"/>
          <w:szCs w:val="24"/>
          <w:lang w:val="en-US"/>
        </w:rPr>
      </w:pPr>
      <w:r w:rsidRPr="00664158">
        <w:rPr>
          <w:rFonts w:asciiTheme="majorHAnsi" w:hAnsiTheme="majorHAnsi" w:cstheme="majorHAnsi"/>
          <w:sz w:val="24"/>
          <w:szCs w:val="24"/>
          <w:lang w:val="en-US"/>
        </w:rPr>
        <w:t>LEGISLATIVE EVOLUTION OF INSOLVENCY AND BANKRUPTCY IN INDIA</w:t>
      </w:r>
    </w:p>
    <w:p w:rsidR="00A86B56" w:rsidRDefault="00664158" w:rsidP="0087573A">
      <w:pPr>
        <w:rPr>
          <w:rFonts w:asciiTheme="majorHAnsi" w:hAnsiTheme="majorHAnsi" w:cstheme="majorHAnsi"/>
          <w:sz w:val="24"/>
          <w:szCs w:val="24"/>
          <w:lang w:val="en-US"/>
        </w:rPr>
      </w:pPr>
      <w:r>
        <w:rPr>
          <w:rFonts w:asciiTheme="majorHAnsi" w:hAnsiTheme="majorHAnsi" w:cstheme="majorHAnsi"/>
          <w:sz w:val="24"/>
          <w:szCs w:val="24"/>
          <w:lang w:val="en-US"/>
        </w:rPr>
        <w:t xml:space="preserve">              </w:t>
      </w:r>
      <w:r w:rsidR="00590B97">
        <w:rPr>
          <w:rFonts w:asciiTheme="majorHAnsi" w:hAnsiTheme="majorHAnsi" w:cstheme="majorHAnsi"/>
          <w:sz w:val="24"/>
          <w:szCs w:val="24"/>
          <w:lang w:val="en-US"/>
        </w:rPr>
        <w:tab/>
      </w:r>
      <w:r>
        <w:rPr>
          <w:rFonts w:asciiTheme="majorHAnsi" w:hAnsiTheme="majorHAnsi" w:cstheme="majorHAnsi"/>
          <w:sz w:val="24"/>
          <w:szCs w:val="24"/>
          <w:lang w:val="en-US"/>
        </w:rPr>
        <w:t xml:space="preserve">     </w:t>
      </w:r>
      <w:r w:rsidR="00A86B56">
        <w:rPr>
          <w:rFonts w:asciiTheme="majorHAnsi" w:hAnsiTheme="majorHAnsi" w:cstheme="majorHAnsi"/>
          <w:sz w:val="24"/>
          <w:szCs w:val="24"/>
          <w:lang w:val="en-US"/>
        </w:rPr>
        <w:t xml:space="preserve">The courts established in the Presidency states were to assist the investors. These courts were autonomous in addition to court of record. If any person is disturbed by the decision of these court can approach the apex court i.e., the Supreme Court. Supreme Court of India has </w:t>
      </w:r>
      <w:r w:rsidR="006F0F49">
        <w:rPr>
          <w:rFonts w:asciiTheme="majorHAnsi" w:hAnsiTheme="majorHAnsi" w:cstheme="majorHAnsi"/>
          <w:sz w:val="24"/>
          <w:szCs w:val="24"/>
          <w:lang w:val="en-US"/>
        </w:rPr>
        <w:t>established the ability to review and transfer such sort of request</w:t>
      </w:r>
      <w:r w:rsidR="006F0F49" w:rsidRPr="006F0F49">
        <w:t xml:space="preserve"> </w:t>
      </w:r>
      <w:r w:rsidR="006F0F49" w:rsidRPr="006F0F49">
        <w:rPr>
          <w:rFonts w:asciiTheme="majorHAnsi" w:hAnsiTheme="majorHAnsi" w:cstheme="majorHAnsi"/>
          <w:sz w:val="24"/>
          <w:szCs w:val="24"/>
          <w:lang w:val="en-US"/>
        </w:rPr>
        <w:t>as it judged fair and significant, and identical applications or demands are to be postponed via court proceedings for the relief of the insolvent or borrower.</w:t>
      </w:r>
      <w:r w:rsidR="006F0F49">
        <w:rPr>
          <w:rFonts w:asciiTheme="majorHAnsi" w:hAnsiTheme="majorHAnsi" w:cstheme="majorHAnsi"/>
          <w:sz w:val="24"/>
          <w:szCs w:val="24"/>
          <w:lang w:val="en-US"/>
        </w:rPr>
        <w:t xml:space="preserve"> </w:t>
      </w:r>
      <w:r w:rsidR="006F0F49" w:rsidRPr="006F0F49">
        <w:rPr>
          <w:rFonts w:asciiTheme="majorHAnsi" w:hAnsiTheme="majorHAnsi" w:cstheme="majorHAnsi"/>
          <w:sz w:val="24"/>
          <w:szCs w:val="24"/>
          <w:lang w:val="en-US"/>
        </w:rPr>
        <w:t>The employees of the insolvency court were entrusted by the Supreme Court. One of these individuals was called a "normal appointee."</w:t>
      </w:r>
    </w:p>
    <w:p w:rsidR="006F0F49" w:rsidRDefault="009A29E9" w:rsidP="0087573A">
      <w:pPr>
        <w:rPr>
          <w:rFonts w:asciiTheme="majorHAnsi" w:hAnsiTheme="majorHAnsi" w:cstheme="majorHAnsi"/>
          <w:sz w:val="24"/>
          <w:szCs w:val="24"/>
          <w:lang w:val="en-US"/>
        </w:rPr>
      </w:pPr>
      <w:r>
        <w:rPr>
          <w:rFonts w:asciiTheme="majorHAnsi" w:hAnsiTheme="majorHAnsi" w:cstheme="majorHAnsi"/>
          <w:sz w:val="24"/>
          <w:szCs w:val="24"/>
          <w:lang w:val="en-US"/>
        </w:rPr>
        <w:t>The previous act was revoked in the year 1848 and adopted</w:t>
      </w:r>
      <w:r w:rsidR="00590B97">
        <w:rPr>
          <w:rFonts w:asciiTheme="majorHAnsi" w:hAnsiTheme="majorHAnsi" w:cstheme="majorHAnsi"/>
          <w:sz w:val="24"/>
          <w:szCs w:val="24"/>
          <w:lang w:val="en-US"/>
        </w:rPr>
        <w:t xml:space="preserve"> a new act</w:t>
      </w:r>
      <w:r>
        <w:rPr>
          <w:rFonts w:asciiTheme="majorHAnsi" w:hAnsiTheme="majorHAnsi" w:cstheme="majorHAnsi"/>
          <w:sz w:val="24"/>
          <w:szCs w:val="24"/>
          <w:lang w:val="en-US"/>
        </w:rPr>
        <w:t xml:space="preserve"> i.e.</w:t>
      </w:r>
      <w:r w:rsidR="00EE6262">
        <w:rPr>
          <w:rFonts w:asciiTheme="majorHAnsi" w:hAnsiTheme="majorHAnsi" w:cstheme="majorHAnsi"/>
          <w:sz w:val="24"/>
          <w:szCs w:val="24"/>
          <w:lang w:val="en-US"/>
        </w:rPr>
        <w:t xml:space="preserve"> The Indian Insolvency act. </w:t>
      </w:r>
      <w:r>
        <w:rPr>
          <w:rFonts w:asciiTheme="majorHAnsi" w:hAnsiTheme="majorHAnsi" w:cstheme="majorHAnsi"/>
          <w:sz w:val="24"/>
          <w:szCs w:val="24"/>
          <w:lang w:val="en-US"/>
        </w:rPr>
        <w:t xml:space="preserve"> </w:t>
      </w:r>
      <w:r w:rsidR="00EE6262" w:rsidRPr="00EE6262">
        <w:rPr>
          <w:rFonts w:asciiTheme="majorHAnsi" w:hAnsiTheme="majorHAnsi" w:cstheme="majorHAnsi"/>
          <w:sz w:val="24"/>
          <w:szCs w:val="24"/>
          <w:lang w:val="en-US"/>
        </w:rPr>
        <w:t>The terms of the Act were specifically referenced by all merchants and non-brokers.</w:t>
      </w:r>
      <w:r w:rsidR="00EE6262" w:rsidRPr="00EE6262">
        <w:t xml:space="preserve"> </w:t>
      </w:r>
      <w:r w:rsidR="00EE6262" w:rsidRPr="00EE6262">
        <w:rPr>
          <w:rFonts w:asciiTheme="majorHAnsi" w:hAnsiTheme="majorHAnsi" w:cstheme="majorHAnsi"/>
          <w:sz w:val="24"/>
          <w:szCs w:val="24"/>
          <w:lang w:val="en-US"/>
        </w:rPr>
        <w:t>The Court was to be held under the constant supervision of Supreme Court judges.</w:t>
      </w:r>
    </w:p>
    <w:p w:rsidR="00590B97" w:rsidRDefault="00664158" w:rsidP="0087573A">
      <w:pPr>
        <w:rPr>
          <w:rFonts w:asciiTheme="majorHAnsi" w:hAnsiTheme="majorHAnsi" w:cstheme="majorHAnsi"/>
          <w:sz w:val="24"/>
          <w:szCs w:val="24"/>
          <w:lang w:val="en-US"/>
        </w:rPr>
      </w:pPr>
      <w:r>
        <w:rPr>
          <w:rFonts w:asciiTheme="majorHAnsi" w:hAnsiTheme="majorHAnsi" w:cstheme="majorHAnsi"/>
          <w:sz w:val="24"/>
          <w:szCs w:val="24"/>
          <w:lang w:val="en-US"/>
        </w:rPr>
        <w:t xml:space="preserve"> In the </w:t>
      </w:r>
      <w:r w:rsidR="00590B97">
        <w:rPr>
          <w:rFonts w:asciiTheme="majorHAnsi" w:hAnsiTheme="majorHAnsi" w:cstheme="majorHAnsi"/>
          <w:sz w:val="24"/>
          <w:szCs w:val="24"/>
          <w:lang w:val="en-US"/>
        </w:rPr>
        <w:t>20</w:t>
      </w:r>
      <w:r w:rsidR="00590B97" w:rsidRPr="00590B97">
        <w:rPr>
          <w:rFonts w:asciiTheme="majorHAnsi" w:hAnsiTheme="majorHAnsi" w:cstheme="majorHAnsi"/>
          <w:sz w:val="24"/>
          <w:szCs w:val="24"/>
          <w:vertAlign w:val="superscript"/>
          <w:lang w:val="en-US"/>
        </w:rPr>
        <w:t>th</w:t>
      </w:r>
      <w:r w:rsidR="00590B97">
        <w:rPr>
          <w:rFonts w:asciiTheme="majorHAnsi" w:hAnsiTheme="majorHAnsi" w:cstheme="majorHAnsi"/>
          <w:sz w:val="24"/>
          <w:szCs w:val="24"/>
          <w:lang w:val="en-US"/>
        </w:rPr>
        <w:t xml:space="preserve"> century it was believed that the Indian Insolvency act, 1848 was outdated and it was chosen to create a separate law which was primarily based on English law. The 1848 act was annulled and a new Act was passed in the year</w:t>
      </w:r>
      <w:r>
        <w:rPr>
          <w:rFonts w:asciiTheme="majorHAnsi" w:hAnsiTheme="majorHAnsi" w:cstheme="majorHAnsi"/>
          <w:sz w:val="24"/>
          <w:szCs w:val="24"/>
          <w:lang w:val="en-US"/>
        </w:rPr>
        <w:t xml:space="preserve"> 190</w:t>
      </w:r>
      <w:r w:rsidR="00590B97">
        <w:rPr>
          <w:rFonts w:asciiTheme="majorHAnsi" w:hAnsiTheme="majorHAnsi" w:cstheme="majorHAnsi"/>
          <w:sz w:val="24"/>
          <w:szCs w:val="24"/>
          <w:lang w:val="en-US"/>
        </w:rPr>
        <w:t>9 consequently i.e.,</w:t>
      </w:r>
      <w:r>
        <w:rPr>
          <w:rFonts w:asciiTheme="majorHAnsi" w:hAnsiTheme="majorHAnsi" w:cstheme="majorHAnsi"/>
          <w:sz w:val="24"/>
          <w:szCs w:val="24"/>
          <w:lang w:val="en-US"/>
        </w:rPr>
        <w:t xml:space="preserve"> the </w:t>
      </w:r>
      <w:r w:rsidR="00590B97">
        <w:rPr>
          <w:rFonts w:asciiTheme="majorHAnsi" w:hAnsiTheme="majorHAnsi" w:cstheme="majorHAnsi"/>
          <w:sz w:val="24"/>
          <w:szCs w:val="24"/>
          <w:lang w:val="en-US"/>
        </w:rPr>
        <w:t xml:space="preserve">Presidency </w:t>
      </w:r>
      <w:r>
        <w:rPr>
          <w:rFonts w:asciiTheme="majorHAnsi" w:hAnsiTheme="majorHAnsi" w:cstheme="majorHAnsi"/>
          <w:sz w:val="24"/>
          <w:szCs w:val="24"/>
          <w:lang w:val="en-US"/>
        </w:rPr>
        <w:t xml:space="preserve">Insolvency </w:t>
      </w:r>
      <w:r w:rsidR="00590B97">
        <w:rPr>
          <w:rFonts w:asciiTheme="majorHAnsi" w:hAnsiTheme="majorHAnsi" w:cstheme="majorHAnsi"/>
          <w:sz w:val="24"/>
          <w:szCs w:val="24"/>
          <w:lang w:val="en-US"/>
        </w:rPr>
        <w:t>Act</w:t>
      </w:r>
      <w:r w:rsidR="0010211F">
        <w:rPr>
          <w:rStyle w:val="FootnoteReference"/>
          <w:rFonts w:asciiTheme="majorHAnsi" w:hAnsiTheme="majorHAnsi" w:cstheme="majorHAnsi"/>
          <w:sz w:val="24"/>
          <w:szCs w:val="24"/>
          <w:lang w:val="en-US"/>
        </w:rPr>
        <w:footnoteReference w:id="3"/>
      </w:r>
      <w:r w:rsidR="00590B97">
        <w:rPr>
          <w:rFonts w:asciiTheme="majorHAnsi" w:hAnsiTheme="majorHAnsi" w:cstheme="majorHAnsi"/>
          <w:sz w:val="24"/>
          <w:szCs w:val="24"/>
          <w:lang w:val="en-US"/>
        </w:rPr>
        <w:t>. As</w:t>
      </w:r>
      <w:r>
        <w:rPr>
          <w:rFonts w:asciiTheme="majorHAnsi" w:hAnsiTheme="majorHAnsi" w:cstheme="majorHAnsi"/>
          <w:sz w:val="24"/>
          <w:szCs w:val="24"/>
          <w:lang w:val="en-US"/>
        </w:rPr>
        <w:t xml:space="preserve"> there was no legislation prior to 1907 to deal with the issue of insolvency except from </w:t>
      </w:r>
      <w:r w:rsidR="00A86B56">
        <w:rPr>
          <w:rFonts w:asciiTheme="majorHAnsi" w:hAnsiTheme="majorHAnsi" w:cstheme="majorHAnsi"/>
          <w:sz w:val="24"/>
          <w:szCs w:val="24"/>
          <w:lang w:val="en-US"/>
        </w:rPr>
        <w:t>the 3 Presidency states,</w:t>
      </w:r>
      <w:r w:rsidR="00590B97">
        <w:rPr>
          <w:rFonts w:asciiTheme="majorHAnsi" w:hAnsiTheme="majorHAnsi" w:cstheme="majorHAnsi"/>
          <w:sz w:val="24"/>
          <w:szCs w:val="24"/>
          <w:lang w:val="en-US"/>
        </w:rPr>
        <w:t xml:space="preserve"> as a result a new act was passed called the </w:t>
      </w:r>
      <w:r w:rsidR="00590B97" w:rsidRPr="00590B97">
        <w:rPr>
          <w:rFonts w:asciiTheme="majorHAnsi" w:hAnsiTheme="majorHAnsi" w:cstheme="majorHAnsi"/>
          <w:sz w:val="24"/>
          <w:szCs w:val="24"/>
          <w:lang w:val="en-US"/>
        </w:rPr>
        <w:t>Provincial Insolvency Act</w:t>
      </w:r>
      <w:r w:rsidR="00590B97">
        <w:rPr>
          <w:rFonts w:asciiTheme="majorHAnsi" w:hAnsiTheme="majorHAnsi" w:cstheme="majorHAnsi"/>
          <w:sz w:val="24"/>
          <w:szCs w:val="24"/>
          <w:lang w:val="en-US"/>
        </w:rPr>
        <w:t xml:space="preserve">. </w:t>
      </w:r>
      <w:r w:rsidR="00A86B56">
        <w:rPr>
          <w:rFonts w:asciiTheme="majorHAnsi" w:hAnsiTheme="majorHAnsi" w:cstheme="majorHAnsi"/>
          <w:sz w:val="24"/>
          <w:szCs w:val="24"/>
          <w:lang w:val="en-US"/>
        </w:rPr>
        <w:t>This act was soon replaced by the Provincial Insolvency act 1920.</w:t>
      </w:r>
    </w:p>
    <w:p w:rsidR="00590B97" w:rsidRDefault="00590B97" w:rsidP="0087573A">
      <w:pPr>
        <w:rPr>
          <w:rFonts w:asciiTheme="majorHAnsi" w:hAnsiTheme="majorHAnsi" w:cstheme="majorHAnsi"/>
          <w:sz w:val="24"/>
          <w:szCs w:val="24"/>
          <w:lang w:val="en-US"/>
        </w:rPr>
      </w:pPr>
      <w:r>
        <w:rPr>
          <w:rFonts w:asciiTheme="majorHAnsi" w:hAnsiTheme="majorHAnsi" w:cstheme="majorHAnsi"/>
          <w:sz w:val="24"/>
          <w:szCs w:val="24"/>
          <w:lang w:val="en-US"/>
        </w:rPr>
        <w:t>The 1909 act had many flaws, the act was benefitting the borrowers at a greater extent instead of the lenders.</w:t>
      </w:r>
      <w:r w:rsidRPr="00590B97">
        <w:t xml:space="preserve"> </w:t>
      </w:r>
      <w:r w:rsidRPr="00590B97">
        <w:rPr>
          <w:rFonts w:asciiTheme="majorHAnsi" w:hAnsiTheme="majorHAnsi" w:cstheme="majorHAnsi"/>
          <w:sz w:val="24"/>
          <w:szCs w:val="24"/>
          <w:lang w:val="en-US"/>
        </w:rPr>
        <w:t>The new Act gave the courts tremendous power to force the disclosure of indebted property.</w:t>
      </w:r>
    </w:p>
    <w:p w:rsidR="009725D8" w:rsidRDefault="00590B97" w:rsidP="0087573A">
      <w:pPr>
        <w:rPr>
          <w:rFonts w:asciiTheme="majorHAnsi" w:hAnsiTheme="majorHAnsi" w:cstheme="majorHAnsi"/>
          <w:sz w:val="24"/>
          <w:szCs w:val="24"/>
          <w:lang w:val="en-US"/>
        </w:rPr>
      </w:pPr>
      <w:r>
        <w:rPr>
          <w:rFonts w:asciiTheme="majorHAnsi" w:hAnsiTheme="majorHAnsi" w:cstheme="majorHAnsi"/>
          <w:sz w:val="24"/>
          <w:szCs w:val="24"/>
          <w:lang w:val="en-US"/>
        </w:rPr>
        <w:t>These two were in operation until they were replace by the IB code.</w:t>
      </w:r>
      <w:r w:rsidRPr="00590B97">
        <w:t xml:space="preserve"> </w:t>
      </w:r>
      <w:r w:rsidRPr="00590B97">
        <w:rPr>
          <w:rFonts w:asciiTheme="majorHAnsi" w:hAnsiTheme="majorHAnsi" w:cstheme="majorHAnsi"/>
          <w:sz w:val="24"/>
          <w:szCs w:val="24"/>
          <w:lang w:val="en-US"/>
        </w:rPr>
        <w:t>The Concurrent List of the 1950-adopted Indian Constitution regulated bankruptcy and insolvency, whereas the Union List covered incorporation, regulation, and winding up of corporations. With this authority, Parliament passed the Companies Act in 1956.</w:t>
      </w:r>
      <w:r>
        <w:rPr>
          <w:rFonts w:asciiTheme="majorHAnsi" w:hAnsiTheme="majorHAnsi" w:cstheme="majorHAnsi"/>
          <w:sz w:val="24"/>
          <w:szCs w:val="24"/>
          <w:lang w:val="en-US"/>
        </w:rPr>
        <w:t xml:space="preserve"> This act gave a new shape to corporate world.</w:t>
      </w:r>
      <w:r w:rsidRPr="00590B97">
        <w:t xml:space="preserve"> </w:t>
      </w:r>
      <w:r w:rsidRPr="00590B97">
        <w:rPr>
          <w:rFonts w:asciiTheme="majorHAnsi" w:hAnsiTheme="majorHAnsi" w:cstheme="majorHAnsi"/>
          <w:sz w:val="24"/>
          <w:szCs w:val="24"/>
          <w:lang w:val="en-US"/>
        </w:rPr>
        <w:t xml:space="preserve">In reality, this Act comprised almost all laws concerning or linked to the </w:t>
      </w:r>
      <w:r w:rsidRPr="00590B97">
        <w:rPr>
          <w:rFonts w:asciiTheme="majorHAnsi" w:hAnsiTheme="majorHAnsi" w:cstheme="majorHAnsi"/>
          <w:sz w:val="24"/>
          <w:szCs w:val="24"/>
          <w:lang w:val="en-US"/>
        </w:rPr>
        <w:lastRenderedPageBreak/>
        <w:t>operations of enterprises, as well as the method of closing up. It is also considered to have reduced illegal operations.</w:t>
      </w:r>
      <w:r>
        <w:rPr>
          <w:rFonts w:asciiTheme="majorHAnsi" w:hAnsiTheme="majorHAnsi" w:cstheme="majorHAnsi"/>
          <w:sz w:val="24"/>
          <w:szCs w:val="24"/>
          <w:lang w:val="en-US"/>
        </w:rPr>
        <w:t xml:space="preserve"> Although this act was a good beginning by Government but it did not focus on the insolvency and bankruptcy issue in specific. Due to complications this act could not sustain.</w:t>
      </w:r>
    </w:p>
    <w:p w:rsidR="00590B97" w:rsidRDefault="00590B97" w:rsidP="0087573A">
      <w:pPr>
        <w:rPr>
          <w:rFonts w:asciiTheme="majorHAnsi" w:hAnsiTheme="majorHAnsi" w:cstheme="majorHAnsi"/>
          <w:sz w:val="24"/>
          <w:szCs w:val="24"/>
          <w:lang w:val="en-US"/>
        </w:rPr>
      </w:pPr>
      <w:r>
        <w:rPr>
          <w:rFonts w:asciiTheme="majorHAnsi" w:hAnsiTheme="majorHAnsi" w:cstheme="majorHAnsi"/>
          <w:sz w:val="24"/>
          <w:szCs w:val="24"/>
          <w:lang w:val="en-US"/>
        </w:rPr>
        <w:t xml:space="preserve">There were unremarkable changes in the Insolvency and Bankruptcy laws which were covered under the Companies Act, 1956, in the Companies (amendment) act, 2003. This act also had some legal challenges and did not sustain. Therefore in the year 2013 there was new Companies Act which got approval and the changes had significant portion in conformity with the 2003 amended act.  </w:t>
      </w:r>
      <w:r w:rsidRPr="00590B97">
        <w:rPr>
          <w:rFonts w:asciiTheme="majorHAnsi" w:hAnsiTheme="majorHAnsi" w:cstheme="majorHAnsi"/>
          <w:sz w:val="24"/>
          <w:szCs w:val="24"/>
          <w:lang w:val="en-US"/>
        </w:rPr>
        <w:t xml:space="preserve">Despite the new standards, </w:t>
      </w:r>
      <w:r>
        <w:rPr>
          <w:rFonts w:asciiTheme="majorHAnsi" w:hAnsiTheme="majorHAnsi" w:cstheme="majorHAnsi"/>
          <w:sz w:val="24"/>
          <w:szCs w:val="24"/>
          <w:lang w:val="en-US"/>
        </w:rPr>
        <w:t xml:space="preserve">the corporations found </w:t>
      </w:r>
      <w:r w:rsidRPr="00590B97">
        <w:rPr>
          <w:rFonts w:asciiTheme="majorHAnsi" w:hAnsiTheme="majorHAnsi" w:cstheme="majorHAnsi"/>
          <w:sz w:val="24"/>
          <w:szCs w:val="24"/>
          <w:lang w:val="en-US"/>
        </w:rPr>
        <w:t>applying business insolvency procedures remain</w:t>
      </w:r>
      <w:r>
        <w:rPr>
          <w:rFonts w:asciiTheme="majorHAnsi" w:hAnsiTheme="majorHAnsi" w:cstheme="majorHAnsi"/>
          <w:sz w:val="24"/>
          <w:szCs w:val="24"/>
          <w:lang w:val="en-US"/>
        </w:rPr>
        <w:t>ed to be</w:t>
      </w:r>
      <w:r w:rsidRPr="00590B97">
        <w:rPr>
          <w:rFonts w:asciiTheme="majorHAnsi" w:hAnsiTheme="majorHAnsi" w:cstheme="majorHAnsi"/>
          <w:sz w:val="24"/>
          <w:szCs w:val="24"/>
          <w:lang w:val="en-US"/>
        </w:rPr>
        <w:t xml:space="preserve"> problematic. As a result of this, the regulations of the Companies Act of 1956 remain in force.</w:t>
      </w:r>
    </w:p>
    <w:p w:rsidR="00590B97" w:rsidRDefault="00590B97" w:rsidP="0087573A">
      <w:pPr>
        <w:rPr>
          <w:rFonts w:asciiTheme="majorHAnsi" w:hAnsiTheme="majorHAnsi" w:cstheme="majorHAnsi"/>
          <w:sz w:val="24"/>
          <w:szCs w:val="24"/>
          <w:lang w:val="en-US"/>
        </w:rPr>
      </w:pPr>
      <w:r>
        <w:rPr>
          <w:rFonts w:asciiTheme="majorHAnsi" w:hAnsiTheme="majorHAnsi" w:cstheme="majorHAnsi"/>
          <w:sz w:val="24"/>
          <w:szCs w:val="24"/>
          <w:lang w:val="en-US"/>
        </w:rPr>
        <w:t>The Companies Act is the only statute to address the corporate insolvency issues which existed from 1956 to 1985. After independence, the initial decisions our economy required establishments of manufacturing sectors, which called for major expenditures.</w:t>
      </w:r>
    </w:p>
    <w:p w:rsidR="00590B97" w:rsidRDefault="00590B97" w:rsidP="0087573A">
      <w:pPr>
        <w:rPr>
          <w:rFonts w:asciiTheme="majorHAnsi" w:hAnsiTheme="majorHAnsi" w:cstheme="majorHAnsi"/>
          <w:sz w:val="24"/>
          <w:szCs w:val="24"/>
          <w:lang w:val="en-US"/>
        </w:rPr>
      </w:pPr>
      <w:r>
        <w:rPr>
          <w:rFonts w:asciiTheme="majorHAnsi" w:hAnsiTheme="majorHAnsi" w:cstheme="majorHAnsi"/>
          <w:sz w:val="24"/>
          <w:szCs w:val="24"/>
          <w:lang w:val="en-US"/>
        </w:rPr>
        <w:t>After the investigations made by Development financial institutions (DFI’s) t</w:t>
      </w:r>
      <w:r w:rsidRPr="00590B97">
        <w:rPr>
          <w:rFonts w:asciiTheme="majorHAnsi" w:hAnsiTheme="majorHAnsi" w:cstheme="majorHAnsi"/>
          <w:sz w:val="24"/>
          <w:szCs w:val="24"/>
          <w:lang w:val="en-US"/>
        </w:rPr>
        <w:t>hese creditors were expected to exercise immediate influence over how these enterprises were operated. As a result, economic capital was not distributed properly. The Sick Industrial enterprises Act (SICA) was created in 1985 with the goal of identifying "sickness" and restoring industrial enterprises.</w:t>
      </w:r>
      <w:r>
        <w:rPr>
          <w:rFonts w:asciiTheme="majorHAnsi" w:hAnsiTheme="majorHAnsi" w:cstheme="majorHAnsi"/>
          <w:sz w:val="24"/>
          <w:szCs w:val="24"/>
          <w:lang w:val="en-US"/>
        </w:rPr>
        <w:t xml:space="preserve"> This act failed as it was applied only to sick industries and not to those which engaged in trading, service or other business. </w:t>
      </w:r>
    </w:p>
    <w:p w:rsidR="00590B97" w:rsidRDefault="00590B97" w:rsidP="0087573A">
      <w:pPr>
        <w:rPr>
          <w:rFonts w:asciiTheme="majorHAnsi" w:hAnsiTheme="majorHAnsi" w:cstheme="majorHAnsi"/>
          <w:sz w:val="24"/>
          <w:szCs w:val="24"/>
          <w:lang w:val="en-US"/>
        </w:rPr>
      </w:pPr>
      <w:r>
        <w:rPr>
          <w:rFonts w:asciiTheme="majorHAnsi" w:hAnsiTheme="majorHAnsi" w:cstheme="majorHAnsi"/>
          <w:sz w:val="24"/>
          <w:szCs w:val="24"/>
          <w:lang w:val="en-US"/>
        </w:rPr>
        <w:t xml:space="preserve">The RBI took an initiative to improve the insolvency and bankruptcy laws and appointed </w:t>
      </w:r>
      <w:proofErr w:type="gramStart"/>
      <w:r>
        <w:rPr>
          <w:rFonts w:asciiTheme="majorHAnsi" w:hAnsiTheme="majorHAnsi" w:cstheme="majorHAnsi"/>
          <w:sz w:val="24"/>
          <w:szCs w:val="24"/>
          <w:lang w:val="en-US"/>
        </w:rPr>
        <w:t>a</w:t>
      </w:r>
      <w:proofErr w:type="gramEnd"/>
      <w:r>
        <w:rPr>
          <w:rFonts w:asciiTheme="majorHAnsi" w:hAnsiTheme="majorHAnsi" w:cstheme="majorHAnsi"/>
          <w:sz w:val="24"/>
          <w:szCs w:val="24"/>
          <w:lang w:val="en-US"/>
        </w:rPr>
        <w:t xml:space="preserve"> Advisory committee to assist on the same. In the year 2001 this committee gave multiple recommendation for changes but nothing was done. </w:t>
      </w:r>
      <w:r>
        <w:rPr>
          <w:rFonts w:asciiTheme="majorHAnsi" w:hAnsiTheme="majorHAnsi" w:cstheme="majorHAnsi"/>
          <w:sz w:val="24"/>
          <w:szCs w:val="24"/>
          <w:lang w:val="en-US"/>
        </w:rPr>
        <w:tab/>
      </w:r>
      <w:r>
        <w:rPr>
          <w:rFonts w:asciiTheme="majorHAnsi" w:hAnsiTheme="majorHAnsi" w:cstheme="majorHAnsi"/>
          <w:sz w:val="24"/>
          <w:szCs w:val="24"/>
          <w:lang w:val="en-US"/>
        </w:rPr>
        <w:tab/>
      </w:r>
      <w:r>
        <w:rPr>
          <w:rFonts w:asciiTheme="majorHAnsi" w:hAnsiTheme="majorHAnsi" w:cstheme="majorHAnsi"/>
          <w:sz w:val="24"/>
          <w:szCs w:val="24"/>
          <w:lang w:val="en-US"/>
        </w:rPr>
        <w:tab/>
      </w:r>
      <w:r>
        <w:rPr>
          <w:rFonts w:asciiTheme="majorHAnsi" w:hAnsiTheme="majorHAnsi" w:cstheme="majorHAnsi"/>
          <w:sz w:val="24"/>
          <w:szCs w:val="24"/>
          <w:lang w:val="en-US"/>
        </w:rPr>
        <w:tab/>
      </w:r>
    </w:p>
    <w:p w:rsidR="00590B97" w:rsidRDefault="00590B97" w:rsidP="0087573A">
      <w:pPr>
        <w:rPr>
          <w:rFonts w:asciiTheme="majorHAnsi" w:hAnsiTheme="majorHAnsi" w:cstheme="majorHAnsi"/>
          <w:sz w:val="24"/>
          <w:szCs w:val="24"/>
          <w:lang w:val="en-US"/>
        </w:rPr>
      </w:pPr>
      <w:r>
        <w:rPr>
          <w:rFonts w:asciiTheme="majorHAnsi" w:hAnsiTheme="majorHAnsi" w:cstheme="majorHAnsi"/>
          <w:sz w:val="24"/>
          <w:szCs w:val="24"/>
          <w:lang w:val="en-US"/>
        </w:rPr>
        <w:t xml:space="preserve">In the year 2014 </w:t>
      </w:r>
      <w:r w:rsidRPr="00590B97">
        <w:rPr>
          <w:rFonts w:asciiTheme="majorHAnsi" w:hAnsiTheme="majorHAnsi" w:cstheme="majorHAnsi"/>
          <w:sz w:val="24"/>
          <w:szCs w:val="24"/>
          <w:lang w:val="en-US"/>
        </w:rPr>
        <w:t>he Bankruptcy Law Reforms Committee (BLRC)</w:t>
      </w:r>
      <w:r>
        <w:rPr>
          <w:rFonts w:asciiTheme="majorHAnsi" w:hAnsiTheme="majorHAnsi" w:cstheme="majorHAnsi"/>
          <w:sz w:val="24"/>
          <w:szCs w:val="24"/>
          <w:lang w:val="en-US"/>
        </w:rPr>
        <w:t xml:space="preserve"> was established by the Ministry of Finance, which was chaired by </w:t>
      </w:r>
      <w:r w:rsidRPr="00590B97">
        <w:rPr>
          <w:rFonts w:asciiTheme="majorHAnsi" w:hAnsiTheme="majorHAnsi" w:cstheme="majorHAnsi"/>
          <w:sz w:val="24"/>
          <w:szCs w:val="24"/>
          <w:lang w:val="en-US"/>
        </w:rPr>
        <w:t>Dr. T. K Viswanathan</w:t>
      </w:r>
      <w:r>
        <w:rPr>
          <w:rFonts w:asciiTheme="majorHAnsi" w:hAnsiTheme="majorHAnsi" w:cstheme="majorHAnsi"/>
          <w:sz w:val="24"/>
          <w:szCs w:val="24"/>
          <w:lang w:val="en-US"/>
        </w:rPr>
        <w:t>.</w:t>
      </w:r>
      <w:r w:rsidR="0010211F">
        <w:rPr>
          <w:rStyle w:val="FootnoteReference"/>
          <w:rFonts w:asciiTheme="majorHAnsi" w:hAnsiTheme="majorHAnsi" w:cstheme="majorHAnsi"/>
          <w:sz w:val="24"/>
          <w:szCs w:val="24"/>
          <w:lang w:val="en-US"/>
        </w:rPr>
        <w:footnoteReference w:id="4"/>
      </w:r>
      <w:r>
        <w:rPr>
          <w:rFonts w:asciiTheme="majorHAnsi" w:hAnsiTheme="majorHAnsi" w:cstheme="majorHAnsi"/>
          <w:sz w:val="24"/>
          <w:szCs w:val="24"/>
          <w:lang w:val="en-US"/>
        </w:rPr>
        <w:t xml:space="preserve"> The aim of this committee was to </w:t>
      </w:r>
      <w:r w:rsidRPr="00590B97">
        <w:rPr>
          <w:rFonts w:asciiTheme="majorHAnsi" w:hAnsiTheme="majorHAnsi" w:cstheme="majorHAnsi"/>
          <w:sz w:val="24"/>
          <w:szCs w:val="24"/>
          <w:lang w:val="en-US"/>
        </w:rPr>
        <w:t>supersede</w:t>
      </w:r>
      <w:r>
        <w:rPr>
          <w:rFonts w:asciiTheme="majorHAnsi" w:hAnsiTheme="majorHAnsi" w:cstheme="majorHAnsi"/>
          <w:sz w:val="24"/>
          <w:szCs w:val="24"/>
          <w:lang w:val="en-US"/>
        </w:rPr>
        <w:t xml:space="preserve"> the present system and to bring in a new Bankruptcy code which </w:t>
      </w:r>
      <w:r w:rsidRPr="00590B97">
        <w:rPr>
          <w:rFonts w:asciiTheme="majorHAnsi" w:hAnsiTheme="majorHAnsi" w:cstheme="majorHAnsi"/>
          <w:sz w:val="24"/>
          <w:szCs w:val="24"/>
          <w:lang w:val="en-US"/>
        </w:rPr>
        <w:t>must be applicable to complete non-financial connected organizations and individuals as individuals</w:t>
      </w:r>
      <w:r>
        <w:rPr>
          <w:rFonts w:asciiTheme="majorHAnsi" w:hAnsiTheme="majorHAnsi" w:cstheme="majorHAnsi"/>
          <w:sz w:val="24"/>
          <w:szCs w:val="24"/>
          <w:lang w:val="en-US"/>
        </w:rPr>
        <w:t>. This committee submitted its detailed report and a deep rooted proposal of Insolvency and Bankruptcy code in the year 2015. This report is divided into 2 volumes, volume 1 states the base and structure whereas volume 2 coats the whole matter and talks about the absolute draft of insolvency and Bankruptcy code.</w:t>
      </w:r>
      <w:r w:rsidRPr="00590B97">
        <w:t xml:space="preserve"> </w:t>
      </w:r>
      <w:r w:rsidRPr="00590B97">
        <w:rPr>
          <w:rFonts w:asciiTheme="majorHAnsi" w:hAnsiTheme="majorHAnsi" w:cstheme="majorHAnsi"/>
          <w:sz w:val="24"/>
          <w:szCs w:val="24"/>
          <w:lang w:val="en-US"/>
        </w:rPr>
        <w:t>The escorting institutional foundation is the basis for the code's insolvency settlement and winding up technique.</w:t>
      </w:r>
    </w:p>
    <w:p w:rsidR="00590B97" w:rsidRDefault="00590B97" w:rsidP="0087573A">
      <w:pPr>
        <w:rPr>
          <w:rFonts w:asciiTheme="majorHAnsi" w:hAnsiTheme="majorHAnsi" w:cstheme="majorHAnsi"/>
          <w:sz w:val="24"/>
          <w:szCs w:val="24"/>
          <w:lang w:val="en-US"/>
        </w:rPr>
      </w:pPr>
      <w:r>
        <w:rPr>
          <w:rFonts w:asciiTheme="majorHAnsi" w:hAnsiTheme="majorHAnsi" w:cstheme="majorHAnsi"/>
          <w:sz w:val="24"/>
          <w:szCs w:val="24"/>
          <w:lang w:val="en-US"/>
        </w:rPr>
        <w:t>T</w:t>
      </w:r>
      <w:r w:rsidRPr="00590B97">
        <w:rPr>
          <w:rFonts w:asciiTheme="majorHAnsi" w:hAnsiTheme="majorHAnsi" w:cstheme="majorHAnsi"/>
          <w:sz w:val="24"/>
          <w:szCs w:val="24"/>
          <w:lang w:val="en-US"/>
        </w:rPr>
        <w:t>o the current structure, the paper suggested significant changes. The outcome of these recommendations is the 2016 Insolvency and Bankruptcy Code.</w:t>
      </w:r>
      <w:r w:rsidRPr="00590B97">
        <w:t xml:space="preserve"> </w:t>
      </w:r>
      <w:r w:rsidRPr="00590B97">
        <w:rPr>
          <w:rFonts w:asciiTheme="majorHAnsi" w:hAnsiTheme="majorHAnsi" w:cstheme="majorHAnsi"/>
          <w:sz w:val="24"/>
          <w:szCs w:val="24"/>
          <w:lang w:val="en-US"/>
        </w:rPr>
        <w:t>The Code advises that all entities, including limited liability partnerships, corporations, and</w:t>
      </w:r>
      <w:r>
        <w:rPr>
          <w:rFonts w:asciiTheme="majorHAnsi" w:hAnsiTheme="majorHAnsi" w:cstheme="majorHAnsi"/>
          <w:sz w:val="24"/>
          <w:szCs w:val="24"/>
          <w:lang w:val="en-US"/>
        </w:rPr>
        <w:t xml:space="preserve"> individuals</w:t>
      </w:r>
      <w:r w:rsidRPr="00590B97">
        <w:rPr>
          <w:rFonts w:asciiTheme="majorHAnsi" w:hAnsiTheme="majorHAnsi" w:cstheme="majorHAnsi"/>
          <w:sz w:val="24"/>
          <w:szCs w:val="24"/>
          <w:lang w:val="en-US"/>
        </w:rPr>
        <w:t>, be covered as a result. It also details how each of the above- mentioned entities will handle issues relating to bankruptcy.</w:t>
      </w:r>
      <w:r>
        <w:rPr>
          <w:rFonts w:asciiTheme="majorHAnsi" w:hAnsiTheme="majorHAnsi" w:cstheme="majorHAnsi"/>
          <w:sz w:val="24"/>
          <w:szCs w:val="24"/>
          <w:lang w:val="en-US"/>
        </w:rPr>
        <w:t xml:space="preserve"> </w:t>
      </w:r>
    </w:p>
    <w:p w:rsidR="00590B97" w:rsidRDefault="00590B97" w:rsidP="0087573A">
      <w:pPr>
        <w:rPr>
          <w:rFonts w:asciiTheme="majorHAnsi" w:hAnsiTheme="majorHAnsi" w:cstheme="majorHAnsi"/>
          <w:sz w:val="24"/>
          <w:szCs w:val="24"/>
          <w:lang w:val="en-US"/>
        </w:rPr>
      </w:pPr>
      <w:r>
        <w:rPr>
          <w:rFonts w:asciiTheme="majorHAnsi" w:hAnsiTheme="majorHAnsi" w:cstheme="majorHAnsi"/>
          <w:sz w:val="24"/>
          <w:szCs w:val="24"/>
          <w:lang w:val="en-US"/>
        </w:rPr>
        <w:lastRenderedPageBreak/>
        <w:t>The following are the main suggestions of the report</w:t>
      </w:r>
      <w:r w:rsidR="007C7EE4">
        <w:rPr>
          <w:rStyle w:val="FootnoteReference"/>
          <w:rFonts w:asciiTheme="majorHAnsi" w:hAnsiTheme="majorHAnsi" w:cstheme="majorHAnsi"/>
          <w:sz w:val="24"/>
          <w:szCs w:val="24"/>
          <w:lang w:val="en-US"/>
        </w:rPr>
        <w:footnoteReference w:id="5"/>
      </w:r>
      <w:r>
        <w:rPr>
          <w:rFonts w:asciiTheme="majorHAnsi" w:hAnsiTheme="majorHAnsi" w:cstheme="majorHAnsi"/>
          <w:sz w:val="24"/>
          <w:szCs w:val="24"/>
          <w:lang w:val="en-US"/>
        </w:rPr>
        <w:t>:</w:t>
      </w:r>
    </w:p>
    <w:p w:rsidR="00590B97" w:rsidRPr="00590B97" w:rsidRDefault="00590B97" w:rsidP="00590B97">
      <w:pPr>
        <w:pStyle w:val="ListParagraph"/>
        <w:numPr>
          <w:ilvl w:val="0"/>
          <w:numId w:val="4"/>
        </w:numPr>
        <w:rPr>
          <w:rFonts w:asciiTheme="majorHAnsi" w:hAnsiTheme="majorHAnsi" w:cstheme="majorHAnsi"/>
          <w:sz w:val="24"/>
          <w:szCs w:val="24"/>
          <w:lang w:val="en-US"/>
        </w:rPr>
      </w:pPr>
      <w:r w:rsidRPr="00590B97">
        <w:rPr>
          <w:rFonts w:asciiTheme="majorHAnsi" w:hAnsiTheme="majorHAnsi" w:cstheme="majorHAnsi"/>
          <w:sz w:val="24"/>
          <w:szCs w:val="24"/>
          <w:lang w:val="en-US"/>
        </w:rPr>
        <w:t xml:space="preserve">The insolvency regulator: the Bill passed in November 2015 proposes to form </w:t>
      </w:r>
      <w:proofErr w:type="gramStart"/>
      <w:r w:rsidRPr="00590B97">
        <w:rPr>
          <w:rFonts w:asciiTheme="majorHAnsi" w:hAnsiTheme="majorHAnsi" w:cstheme="majorHAnsi"/>
          <w:sz w:val="24"/>
          <w:szCs w:val="24"/>
          <w:lang w:val="en-US"/>
        </w:rPr>
        <w:t>a</w:t>
      </w:r>
      <w:proofErr w:type="gramEnd"/>
      <w:r w:rsidRPr="00590B97">
        <w:rPr>
          <w:rFonts w:asciiTheme="majorHAnsi" w:hAnsiTheme="majorHAnsi" w:cstheme="majorHAnsi"/>
          <w:sz w:val="24"/>
          <w:szCs w:val="24"/>
          <w:lang w:val="en-US"/>
        </w:rPr>
        <w:t xml:space="preserve"> insolvency regulator to exercise regulatory control over </w:t>
      </w:r>
      <w:r w:rsidRPr="00590B97">
        <w:rPr>
          <w:rFonts w:asciiTheme="majorHAnsi" w:hAnsiTheme="majorHAnsi" w:cstheme="majorHAnsi"/>
          <w:sz w:val="24"/>
          <w:szCs w:val="24"/>
          <w:lang w:val="en-US"/>
        </w:rPr>
        <w:t>insolvency professionals, insolvency professional agencies and informational</w:t>
      </w:r>
      <w:r w:rsidRPr="00590B97">
        <w:rPr>
          <w:rFonts w:asciiTheme="majorHAnsi" w:hAnsiTheme="majorHAnsi" w:cstheme="majorHAnsi"/>
          <w:sz w:val="24"/>
          <w:szCs w:val="24"/>
          <w:lang w:val="en-US"/>
        </w:rPr>
        <w:t xml:space="preserve"> </w:t>
      </w:r>
      <w:r w:rsidRPr="00590B97">
        <w:rPr>
          <w:rFonts w:asciiTheme="majorHAnsi" w:hAnsiTheme="majorHAnsi" w:cstheme="majorHAnsi"/>
          <w:sz w:val="24"/>
          <w:szCs w:val="24"/>
          <w:lang w:val="en-US"/>
        </w:rPr>
        <w:t>utilities.</w:t>
      </w:r>
    </w:p>
    <w:p w:rsidR="00590B97" w:rsidRDefault="00590B97" w:rsidP="00590B97">
      <w:pPr>
        <w:pStyle w:val="ListParagraph"/>
        <w:numPr>
          <w:ilvl w:val="0"/>
          <w:numId w:val="4"/>
        </w:numPr>
        <w:rPr>
          <w:rFonts w:asciiTheme="majorHAnsi" w:hAnsiTheme="majorHAnsi" w:cstheme="majorHAnsi"/>
          <w:sz w:val="24"/>
          <w:szCs w:val="24"/>
          <w:lang w:val="en-US"/>
        </w:rPr>
      </w:pPr>
      <w:r w:rsidRPr="00590B97">
        <w:rPr>
          <w:rFonts w:asciiTheme="majorHAnsi" w:hAnsiTheme="majorHAnsi" w:cstheme="majorHAnsi"/>
          <w:sz w:val="24"/>
          <w:szCs w:val="24"/>
          <w:lang w:val="en-US"/>
        </w:rPr>
        <w:t>The insolvency Adjudicating authority: this authority will have the power to hear and dispose cases relating to insolvency.</w:t>
      </w:r>
    </w:p>
    <w:p w:rsidR="00590B97" w:rsidRPr="00590B97" w:rsidRDefault="00590B97" w:rsidP="00590B97">
      <w:pPr>
        <w:pStyle w:val="ListParagraph"/>
        <w:numPr>
          <w:ilvl w:val="0"/>
          <w:numId w:val="6"/>
        </w:numPr>
        <w:rPr>
          <w:rFonts w:asciiTheme="majorHAnsi" w:hAnsiTheme="majorHAnsi" w:cstheme="majorHAnsi"/>
          <w:sz w:val="24"/>
          <w:szCs w:val="24"/>
          <w:lang w:val="en-US"/>
        </w:rPr>
      </w:pPr>
      <w:r w:rsidRPr="00590B97">
        <w:rPr>
          <w:rFonts w:asciiTheme="majorHAnsi" w:hAnsiTheme="majorHAnsi" w:cstheme="majorHAnsi"/>
          <w:sz w:val="24"/>
          <w:szCs w:val="24"/>
          <w:lang w:val="en-US"/>
        </w:rPr>
        <w:t>The Debt Recovery Tribunal (“DRT”) shall be the Adjudicating Authority with jurisdiction</w:t>
      </w:r>
      <w:r>
        <w:rPr>
          <w:rFonts w:asciiTheme="majorHAnsi" w:hAnsiTheme="majorHAnsi" w:cstheme="majorHAnsi"/>
          <w:sz w:val="24"/>
          <w:szCs w:val="24"/>
          <w:lang w:val="en-US"/>
        </w:rPr>
        <w:t xml:space="preserve"> </w:t>
      </w:r>
      <w:r w:rsidRPr="00590B97">
        <w:rPr>
          <w:rFonts w:asciiTheme="majorHAnsi" w:hAnsiTheme="majorHAnsi" w:cstheme="majorHAnsi"/>
          <w:sz w:val="24"/>
          <w:szCs w:val="24"/>
          <w:lang w:val="en-US"/>
        </w:rPr>
        <w:t>over individuals and unlimited liability partnership firms. Appeals from the order of DRT shall lie to</w:t>
      </w:r>
      <w:r w:rsidRPr="00590B97">
        <w:rPr>
          <w:rFonts w:asciiTheme="majorHAnsi" w:hAnsiTheme="majorHAnsi" w:cstheme="majorHAnsi"/>
          <w:sz w:val="24"/>
          <w:szCs w:val="24"/>
          <w:lang w:val="en-US"/>
        </w:rPr>
        <w:t xml:space="preserve"> </w:t>
      </w:r>
      <w:r w:rsidRPr="00590B97">
        <w:rPr>
          <w:rFonts w:asciiTheme="majorHAnsi" w:hAnsiTheme="majorHAnsi" w:cstheme="majorHAnsi"/>
          <w:sz w:val="24"/>
          <w:szCs w:val="24"/>
          <w:lang w:val="en-US"/>
        </w:rPr>
        <w:t>the Debt Recovery Appellate Tribunal (“DRAT”).</w:t>
      </w:r>
    </w:p>
    <w:p w:rsidR="00590B97" w:rsidRPr="00590B97" w:rsidRDefault="00590B97" w:rsidP="00590B97">
      <w:pPr>
        <w:pStyle w:val="ListParagraph"/>
        <w:numPr>
          <w:ilvl w:val="0"/>
          <w:numId w:val="6"/>
        </w:numPr>
        <w:rPr>
          <w:rFonts w:asciiTheme="majorHAnsi" w:hAnsiTheme="majorHAnsi" w:cstheme="majorHAnsi"/>
          <w:sz w:val="24"/>
          <w:szCs w:val="24"/>
          <w:lang w:val="en-US"/>
        </w:rPr>
      </w:pPr>
      <w:r w:rsidRPr="00590B97">
        <w:rPr>
          <w:rFonts w:asciiTheme="majorHAnsi" w:hAnsiTheme="majorHAnsi" w:cstheme="majorHAnsi"/>
          <w:sz w:val="24"/>
          <w:szCs w:val="24"/>
          <w:lang w:val="en-US"/>
        </w:rPr>
        <w:t>b. The National Company Law Tribunal (“NCLT”) shall be the Adjudicating Authority with</w:t>
      </w:r>
      <w:r>
        <w:rPr>
          <w:rFonts w:asciiTheme="majorHAnsi" w:hAnsiTheme="majorHAnsi" w:cstheme="majorHAnsi"/>
          <w:sz w:val="24"/>
          <w:szCs w:val="24"/>
          <w:lang w:val="en-US"/>
        </w:rPr>
        <w:t xml:space="preserve"> </w:t>
      </w:r>
      <w:r w:rsidRPr="00590B97">
        <w:rPr>
          <w:rFonts w:asciiTheme="majorHAnsi" w:hAnsiTheme="majorHAnsi" w:cstheme="majorHAnsi"/>
          <w:sz w:val="24"/>
          <w:szCs w:val="24"/>
          <w:lang w:val="en-US"/>
        </w:rPr>
        <w:t xml:space="preserve">jurisdiction </w:t>
      </w:r>
      <w:r w:rsidR="00B6487F" w:rsidRPr="00590B97">
        <w:rPr>
          <w:rFonts w:asciiTheme="majorHAnsi" w:hAnsiTheme="majorHAnsi" w:cstheme="majorHAnsi"/>
          <w:sz w:val="24"/>
          <w:szCs w:val="24"/>
          <w:lang w:val="en-US"/>
        </w:rPr>
        <w:t>over</w:t>
      </w:r>
      <w:r w:rsidRPr="00590B97">
        <w:rPr>
          <w:rFonts w:asciiTheme="majorHAnsi" w:hAnsiTheme="majorHAnsi" w:cstheme="majorHAnsi"/>
          <w:sz w:val="24"/>
          <w:szCs w:val="24"/>
          <w:lang w:val="en-US"/>
        </w:rPr>
        <w:t xml:space="preserve"> companies, limited liability entities. Appeals from the order of NCLT shall lie to the</w:t>
      </w:r>
    </w:p>
    <w:p w:rsidR="001E5E12" w:rsidRDefault="00590B97" w:rsidP="0087573A">
      <w:pPr>
        <w:pStyle w:val="ListParagraph"/>
        <w:numPr>
          <w:ilvl w:val="0"/>
          <w:numId w:val="6"/>
        </w:numPr>
        <w:rPr>
          <w:rFonts w:asciiTheme="majorHAnsi" w:hAnsiTheme="majorHAnsi" w:cstheme="majorHAnsi"/>
          <w:sz w:val="24"/>
          <w:szCs w:val="24"/>
          <w:lang w:val="en-US"/>
        </w:rPr>
      </w:pPr>
      <w:r w:rsidRPr="00590B97">
        <w:rPr>
          <w:rFonts w:asciiTheme="majorHAnsi" w:hAnsiTheme="majorHAnsi" w:cstheme="majorHAnsi"/>
          <w:sz w:val="24"/>
          <w:szCs w:val="24"/>
          <w:lang w:val="en-US"/>
        </w:rPr>
        <w:t>National Company Law Appellate Tribunal (“NCLAT”).</w:t>
      </w:r>
      <w:r>
        <w:rPr>
          <w:rFonts w:asciiTheme="majorHAnsi" w:hAnsiTheme="majorHAnsi" w:cstheme="majorHAnsi"/>
          <w:sz w:val="24"/>
          <w:szCs w:val="24"/>
          <w:lang w:val="en-US"/>
        </w:rPr>
        <w:t xml:space="preserve"> </w:t>
      </w:r>
      <w:r w:rsidRPr="00590B97">
        <w:rPr>
          <w:rFonts w:asciiTheme="majorHAnsi" w:hAnsiTheme="majorHAnsi" w:cstheme="majorHAnsi"/>
          <w:sz w:val="24"/>
          <w:szCs w:val="24"/>
          <w:lang w:val="en-US"/>
        </w:rPr>
        <w:t>NCLAT shall be the appellate authority to hear appeals arising out of the orders passed by the</w:t>
      </w:r>
      <w:r w:rsidRPr="00590B97">
        <w:rPr>
          <w:rFonts w:asciiTheme="majorHAnsi" w:hAnsiTheme="majorHAnsi" w:cstheme="majorHAnsi"/>
          <w:sz w:val="24"/>
          <w:szCs w:val="24"/>
          <w:lang w:val="en-US"/>
        </w:rPr>
        <w:t xml:space="preserve"> </w:t>
      </w:r>
      <w:r w:rsidRPr="00590B97">
        <w:rPr>
          <w:rFonts w:asciiTheme="majorHAnsi" w:hAnsiTheme="majorHAnsi" w:cstheme="majorHAnsi"/>
          <w:sz w:val="24"/>
          <w:szCs w:val="24"/>
          <w:lang w:val="en-US"/>
        </w:rPr>
        <w:t>Regulator in respect of insolvency professionals or information utilities.</w:t>
      </w:r>
    </w:p>
    <w:p w:rsidR="00590B97" w:rsidRPr="00590B97" w:rsidRDefault="00590B97" w:rsidP="00590B97">
      <w:pPr>
        <w:rPr>
          <w:rFonts w:asciiTheme="majorHAnsi" w:hAnsiTheme="majorHAnsi" w:cstheme="majorHAnsi"/>
          <w:sz w:val="24"/>
          <w:szCs w:val="24"/>
          <w:lang w:val="en-US"/>
        </w:rPr>
      </w:pPr>
    </w:p>
    <w:p w:rsidR="001E5E12" w:rsidRDefault="00590B97" w:rsidP="00590B97">
      <w:pPr>
        <w:pStyle w:val="ListParagraph"/>
        <w:numPr>
          <w:ilvl w:val="0"/>
          <w:numId w:val="4"/>
        </w:numPr>
        <w:rPr>
          <w:rFonts w:asciiTheme="majorHAnsi" w:hAnsiTheme="majorHAnsi" w:cstheme="majorHAnsi"/>
          <w:sz w:val="24"/>
          <w:szCs w:val="24"/>
          <w:lang w:val="en-US"/>
        </w:rPr>
      </w:pPr>
      <w:r w:rsidRPr="00590B97">
        <w:rPr>
          <w:rFonts w:asciiTheme="majorHAnsi" w:hAnsiTheme="majorHAnsi" w:cstheme="majorHAnsi"/>
          <w:sz w:val="24"/>
          <w:szCs w:val="24"/>
          <w:lang w:val="en-US"/>
        </w:rPr>
        <w:t xml:space="preserve">The </w:t>
      </w:r>
      <w:r>
        <w:rPr>
          <w:rFonts w:asciiTheme="majorHAnsi" w:hAnsiTheme="majorHAnsi" w:cstheme="majorHAnsi"/>
          <w:sz w:val="24"/>
          <w:szCs w:val="24"/>
          <w:lang w:val="en-US"/>
        </w:rPr>
        <w:t xml:space="preserve">Insolvency Professionals: </w:t>
      </w:r>
      <w:r w:rsidRPr="00590B97">
        <w:rPr>
          <w:rFonts w:asciiTheme="majorHAnsi" w:hAnsiTheme="majorHAnsi" w:cstheme="majorHAnsi"/>
          <w:sz w:val="24"/>
          <w:szCs w:val="24"/>
          <w:lang w:val="en-US"/>
        </w:rPr>
        <w:t>The proposed Bill would regulate insolvency practitioners and insolvency professional organizations. Under the regulator's supervision, these organizations will create professional standards, codes of ethics, and take disciplinary action against disloyal members, creating a competitive market for insolvency professionals.</w:t>
      </w:r>
    </w:p>
    <w:p w:rsidR="00590B97" w:rsidRDefault="00590B97" w:rsidP="00590B97">
      <w:pPr>
        <w:pStyle w:val="ListParagraph"/>
        <w:numPr>
          <w:ilvl w:val="0"/>
          <w:numId w:val="4"/>
        </w:numPr>
        <w:rPr>
          <w:rFonts w:asciiTheme="majorHAnsi" w:hAnsiTheme="majorHAnsi" w:cstheme="majorHAnsi"/>
          <w:sz w:val="24"/>
          <w:szCs w:val="24"/>
          <w:lang w:val="en-US"/>
        </w:rPr>
      </w:pPr>
      <w:r>
        <w:rPr>
          <w:rFonts w:asciiTheme="majorHAnsi" w:hAnsiTheme="majorHAnsi" w:cstheme="majorHAnsi"/>
          <w:sz w:val="24"/>
          <w:szCs w:val="24"/>
          <w:lang w:val="en-US"/>
        </w:rPr>
        <w:t xml:space="preserve">The Insolvency Information utilities: </w:t>
      </w:r>
      <w:r w:rsidRPr="00590B97">
        <w:rPr>
          <w:rFonts w:asciiTheme="majorHAnsi" w:hAnsiTheme="majorHAnsi" w:cstheme="majorHAnsi"/>
          <w:sz w:val="24"/>
          <w:szCs w:val="24"/>
          <w:lang w:val="en-US"/>
        </w:rPr>
        <w:t>The proposed Bill calls for information utilities that would gather, compile, authenticate, and disseminate financial data from publicly traded companies and their operational and financial creditors. In order to provide information on people's insolvency status, it is also suggested that an individual insolvency database be set up.</w:t>
      </w:r>
    </w:p>
    <w:p w:rsidR="00590B97" w:rsidRDefault="00590B97" w:rsidP="00590B97">
      <w:pPr>
        <w:pStyle w:val="ListParagraph"/>
        <w:numPr>
          <w:ilvl w:val="0"/>
          <w:numId w:val="4"/>
        </w:numPr>
        <w:rPr>
          <w:rFonts w:asciiTheme="majorHAnsi" w:hAnsiTheme="majorHAnsi" w:cstheme="majorHAnsi"/>
          <w:sz w:val="24"/>
          <w:szCs w:val="24"/>
          <w:lang w:val="en-US"/>
        </w:rPr>
      </w:pPr>
      <w:r>
        <w:rPr>
          <w:rFonts w:asciiTheme="majorHAnsi" w:hAnsiTheme="majorHAnsi" w:cstheme="majorHAnsi"/>
          <w:sz w:val="24"/>
          <w:szCs w:val="24"/>
          <w:lang w:val="en-US"/>
        </w:rPr>
        <w:t xml:space="preserve">The </w:t>
      </w:r>
      <w:r w:rsidRPr="00590B97">
        <w:rPr>
          <w:rFonts w:asciiTheme="majorHAnsi" w:hAnsiTheme="majorHAnsi" w:cstheme="majorHAnsi"/>
          <w:sz w:val="24"/>
          <w:szCs w:val="24"/>
          <w:lang w:val="en-US"/>
        </w:rPr>
        <w:t>Bankruptcy and Insolvency Processes for Companies and Limited Liability Entities:</w:t>
      </w:r>
      <w:r w:rsidRPr="00590B97">
        <w:t xml:space="preserve"> </w:t>
      </w:r>
      <w:r w:rsidRPr="00590B97">
        <w:rPr>
          <w:rFonts w:asciiTheme="majorHAnsi" w:hAnsiTheme="majorHAnsi" w:cstheme="majorHAnsi"/>
          <w:sz w:val="24"/>
          <w:szCs w:val="24"/>
          <w:lang w:val="en-US"/>
        </w:rPr>
        <w:t xml:space="preserve">The </w:t>
      </w:r>
      <w:r>
        <w:rPr>
          <w:rFonts w:asciiTheme="majorHAnsi" w:hAnsiTheme="majorHAnsi" w:cstheme="majorHAnsi"/>
          <w:sz w:val="24"/>
          <w:szCs w:val="24"/>
          <w:lang w:val="en-US"/>
        </w:rPr>
        <w:t xml:space="preserve">proposed </w:t>
      </w:r>
      <w:r w:rsidRPr="00590B97">
        <w:rPr>
          <w:rFonts w:asciiTheme="majorHAnsi" w:hAnsiTheme="majorHAnsi" w:cstheme="majorHAnsi"/>
          <w:sz w:val="24"/>
          <w:szCs w:val="24"/>
          <w:lang w:val="en-US"/>
        </w:rPr>
        <w:t>bill proposes updating the revival/reorganization regime applicable to financially troubled corporations and limited liability entities, as well as the insolvency-related liquidation regime applicable to corporations and limited liability entities.</w:t>
      </w:r>
      <w:r>
        <w:rPr>
          <w:rFonts w:asciiTheme="majorHAnsi" w:hAnsiTheme="majorHAnsi" w:cstheme="majorHAnsi"/>
          <w:sz w:val="24"/>
          <w:szCs w:val="24"/>
          <w:lang w:val="en-US"/>
        </w:rPr>
        <w:t xml:space="preserve"> </w:t>
      </w:r>
    </w:p>
    <w:p w:rsidR="00590B97" w:rsidRDefault="00590B97" w:rsidP="00590B97">
      <w:pPr>
        <w:pStyle w:val="ListParagraph"/>
        <w:numPr>
          <w:ilvl w:val="0"/>
          <w:numId w:val="4"/>
        </w:numPr>
        <w:rPr>
          <w:rFonts w:asciiTheme="majorHAnsi" w:hAnsiTheme="majorHAnsi" w:cstheme="majorHAnsi"/>
          <w:sz w:val="24"/>
          <w:szCs w:val="24"/>
          <w:lang w:val="en-US"/>
        </w:rPr>
      </w:pPr>
      <w:r>
        <w:rPr>
          <w:rFonts w:asciiTheme="majorHAnsi" w:hAnsiTheme="majorHAnsi" w:cstheme="majorHAnsi"/>
          <w:sz w:val="24"/>
          <w:szCs w:val="24"/>
          <w:lang w:val="en-US"/>
        </w:rPr>
        <w:t xml:space="preserve">The </w:t>
      </w:r>
      <w:r w:rsidRPr="00590B97">
        <w:rPr>
          <w:rFonts w:asciiTheme="majorHAnsi" w:hAnsiTheme="majorHAnsi" w:cstheme="majorHAnsi"/>
          <w:sz w:val="24"/>
          <w:szCs w:val="24"/>
          <w:lang w:val="en-US"/>
        </w:rPr>
        <w:t>Bankruptcy and Insolvency Processes for Individuals and Unlimited Liability</w:t>
      </w:r>
      <w:r>
        <w:rPr>
          <w:rFonts w:asciiTheme="majorHAnsi" w:hAnsiTheme="majorHAnsi" w:cstheme="majorHAnsi"/>
          <w:sz w:val="24"/>
          <w:szCs w:val="24"/>
          <w:lang w:val="en-US"/>
        </w:rPr>
        <w:t xml:space="preserve"> </w:t>
      </w:r>
      <w:r w:rsidRPr="00590B97">
        <w:rPr>
          <w:rFonts w:asciiTheme="majorHAnsi" w:hAnsiTheme="majorHAnsi" w:cstheme="majorHAnsi"/>
          <w:sz w:val="24"/>
          <w:szCs w:val="24"/>
          <w:lang w:val="en-US"/>
        </w:rPr>
        <w:t>Partnerships:</w:t>
      </w:r>
      <w:r w:rsidRPr="00590B97">
        <w:t xml:space="preserve"> </w:t>
      </w:r>
      <w:r w:rsidRPr="00590B97">
        <w:rPr>
          <w:rFonts w:asciiTheme="majorHAnsi" w:hAnsiTheme="majorHAnsi" w:cstheme="majorHAnsi"/>
          <w:sz w:val="24"/>
          <w:szCs w:val="24"/>
          <w:lang w:val="en-US"/>
        </w:rPr>
        <w:t>Insolvency laws for both individuals and partnerships with unlimited liability are also suggested in the draft bill. Two distinct processes, Fresh Start and Insolvency Resolution, are envisioned under this Part of the draft Bill as a prelude to a bankruptcy process.</w:t>
      </w:r>
    </w:p>
    <w:p w:rsidR="00590B97" w:rsidRDefault="00590B97" w:rsidP="00590B97">
      <w:pPr>
        <w:pStyle w:val="ListParagraph"/>
        <w:numPr>
          <w:ilvl w:val="0"/>
          <w:numId w:val="4"/>
        </w:numPr>
        <w:rPr>
          <w:rFonts w:asciiTheme="majorHAnsi" w:hAnsiTheme="majorHAnsi" w:cstheme="majorHAnsi"/>
          <w:sz w:val="24"/>
          <w:szCs w:val="24"/>
          <w:lang w:val="en-US"/>
        </w:rPr>
      </w:pPr>
      <w:r>
        <w:rPr>
          <w:rFonts w:asciiTheme="majorHAnsi" w:hAnsiTheme="majorHAnsi" w:cstheme="majorHAnsi"/>
          <w:sz w:val="24"/>
          <w:szCs w:val="24"/>
          <w:lang w:val="en-US"/>
        </w:rPr>
        <w:t xml:space="preserve">The transitional provision: </w:t>
      </w:r>
      <w:r w:rsidRPr="00590B97">
        <w:rPr>
          <w:rFonts w:asciiTheme="majorHAnsi" w:hAnsiTheme="majorHAnsi" w:cstheme="majorHAnsi"/>
          <w:sz w:val="24"/>
          <w:szCs w:val="24"/>
          <w:lang w:val="en-US"/>
        </w:rPr>
        <w:t xml:space="preserve">The draft bill includes a transitional provision that states that up until the regulator is established, the central government will exercise all of its regulatory authority. Without having to wait for the proposed institutional </w:t>
      </w:r>
      <w:r w:rsidRPr="00590B97">
        <w:rPr>
          <w:rFonts w:asciiTheme="majorHAnsi" w:hAnsiTheme="majorHAnsi" w:cstheme="majorHAnsi"/>
          <w:sz w:val="24"/>
          <w:szCs w:val="24"/>
          <w:lang w:val="en-US"/>
        </w:rPr>
        <w:lastRenderedPageBreak/>
        <w:t>structure to be developed, the process can begin right away thanks to this transitional provision.</w:t>
      </w:r>
      <w:r>
        <w:rPr>
          <w:rFonts w:asciiTheme="majorHAnsi" w:hAnsiTheme="majorHAnsi" w:cstheme="majorHAnsi"/>
          <w:sz w:val="24"/>
          <w:szCs w:val="24"/>
          <w:lang w:val="en-US"/>
        </w:rPr>
        <w:t xml:space="preserve"> </w:t>
      </w:r>
    </w:p>
    <w:p w:rsidR="00590B97" w:rsidRDefault="00590B97" w:rsidP="00590B97">
      <w:pPr>
        <w:pStyle w:val="ListParagraph"/>
        <w:numPr>
          <w:ilvl w:val="0"/>
          <w:numId w:val="4"/>
        </w:numPr>
        <w:rPr>
          <w:rFonts w:asciiTheme="majorHAnsi" w:hAnsiTheme="majorHAnsi" w:cstheme="majorHAnsi"/>
          <w:sz w:val="24"/>
          <w:szCs w:val="24"/>
          <w:lang w:val="en-US"/>
        </w:rPr>
      </w:pPr>
      <w:r w:rsidRPr="00590B97">
        <w:rPr>
          <w:rFonts w:asciiTheme="majorHAnsi" w:hAnsiTheme="majorHAnsi" w:cstheme="majorHAnsi"/>
          <w:sz w:val="24"/>
          <w:szCs w:val="24"/>
          <w:lang w:val="en-US"/>
        </w:rPr>
        <w:t>Transfer of proceedings: Prior to the effective date of this law, any proceedings pending before the AAIFR or the BIFR under the SICA, 1985, shall stand abated. However, a business with respect to which such a proceeding has been suspended may refer the matter to the adjudicating authority within 180 days of the law's implementation.</w:t>
      </w:r>
    </w:p>
    <w:p w:rsidR="00590B97" w:rsidRDefault="00590B97" w:rsidP="00590B97">
      <w:pPr>
        <w:rPr>
          <w:rFonts w:asciiTheme="majorHAnsi" w:hAnsiTheme="majorHAnsi" w:cstheme="majorHAnsi"/>
          <w:sz w:val="24"/>
          <w:szCs w:val="24"/>
          <w:lang w:val="en-US"/>
        </w:rPr>
      </w:pPr>
      <w:r w:rsidRPr="00590B97">
        <w:rPr>
          <w:rFonts w:asciiTheme="majorHAnsi" w:hAnsiTheme="majorHAnsi" w:cstheme="majorHAnsi"/>
          <w:sz w:val="24"/>
          <w:szCs w:val="24"/>
          <w:lang w:val="en-US"/>
        </w:rPr>
        <w:t>In order to increase the effectiveness of insolvency and bankruptcy proceedings in India, the Insolvency and Bankruptcy Code, 2016, is a dissident piece of legislation. A time-bound process for resolution is also provided by the new legislation, which allows for the initial detection of financial distress.</w:t>
      </w:r>
    </w:p>
    <w:p w:rsidR="00590B97" w:rsidRDefault="00590B97" w:rsidP="00590B97">
      <w:pPr>
        <w:jc w:val="center"/>
        <w:rPr>
          <w:rFonts w:asciiTheme="majorHAnsi" w:hAnsiTheme="majorHAnsi" w:cstheme="majorHAnsi"/>
          <w:sz w:val="28"/>
          <w:szCs w:val="28"/>
          <w:lang w:val="en-US"/>
        </w:rPr>
      </w:pPr>
    </w:p>
    <w:p w:rsidR="00590B97" w:rsidRDefault="00590B97" w:rsidP="00590B97">
      <w:pPr>
        <w:jc w:val="center"/>
        <w:rPr>
          <w:rFonts w:asciiTheme="majorHAnsi" w:hAnsiTheme="majorHAnsi" w:cstheme="majorHAnsi"/>
          <w:sz w:val="28"/>
          <w:szCs w:val="28"/>
          <w:lang w:val="en-US"/>
        </w:rPr>
      </w:pPr>
      <w:r>
        <w:rPr>
          <w:rFonts w:asciiTheme="majorHAnsi" w:hAnsiTheme="majorHAnsi" w:cstheme="majorHAnsi"/>
          <w:sz w:val="28"/>
          <w:szCs w:val="28"/>
          <w:lang w:val="en-US"/>
        </w:rPr>
        <w:t xml:space="preserve">LANDMARK JUDGMENTS </w:t>
      </w:r>
      <w:bookmarkStart w:id="0" w:name="_GoBack"/>
      <w:bookmarkEnd w:id="0"/>
    </w:p>
    <w:p w:rsidR="00590B97" w:rsidRPr="00B6487F" w:rsidRDefault="00590B97" w:rsidP="00590B97">
      <w:pPr>
        <w:pStyle w:val="ListParagraph"/>
        <w:numPr>
          <w:ilvl w:val="0"/>
          <w:numId w:val="8"/>
        </w:numPr>
        <w:rPr>
          <w:rFonts w:asciiTheme="majorHAnsi" w:hAnsiTheme="majorHAnsi" w:cstheme="majorHAnsi"/>
          <w:sz w:val="24"/>
          <w:szCs w:val="24"/>
          <w:lang w:val="en-US"/>
        </w:rPr>
      </w:pPr>
      <w:r w:rsidRPr="00B6487F">
        <w:rPr>
          <w:rFonts w:asciiTheme="majorHAnsi" w:hAnsiTheme="majorHAnsi" w:cstheme="majorHAnsi"/>
          <w:sz w:val="24"/>
          <w:szCs w:val="24"/>
          <w:lang w:val="en-US"/>
        </w:rPr>
        <w:t xml:space="preserve">Paschimanchal Vidyut Vitran Nigam Ltd. vs. Raman Ispat </w:t>
      </w:r>
      <w:r w:rsidRPr="00B6487F">
        <w:rPr>
          <w:rFonts w:asciiTheme="majorHAnsi" w:hAnsiTheme="majorHAnsi" w:cstheme="majorHAnsi"/>
          <w:sz w:val="24"/>
          <w:szCs w:val="24"/>
          <w:lang w:val="en-US"/>
        </w:rPr>
        <w:t>Private Limited</w:t>
      </w:r>
      <w:r w:rsidR="00B6487F" w:rsidRPr="00B6487F">
        <w:rPr>
          <w:rStyle w:val="FootnoteReference"/>
          <w:rFonts w:asciiTheme="majorHAnsi" w:hAnsiTheme="majorHAnsi" w:cstheme="majorHAnsi"/>
          <w:sz w:val="24"/>
          <w:szCs w:val="24"/>
          <w:lang w:val="en-US"/>
        </w:rPr>
        <w:footnoteReference w:id="6"/>
      </w:r>
      <w:r w:rsidRPr="00B6487F">
        <w:rPr>
          <w:rFonts w:asciiTheme="majorHAnsi" w:hAnsiTheme="majorHAnsi" w:cstheme="majorHAnsi"/>
          <w:sz w:val="24"/>
          <w:szCs w:val="24"/>
          <w:lang w:val="en-US"/>
        </w:rPr>
        <w:t>: The Supreme Court stated that the provisions of the Electricity Act of 2003 are superseded by Section 238 of the Insolvency and Bankruptcy Code. The IBC's proviso treats secured creditors' debts as having a higher standing than those owed to the federal or state governments, according to the justices' bench. The decision analyzes the IBC plan, focusing on the "waterfall mechanism" under Section 53 IBC, and notes that the government debts have decreased.</w:t>
      </w:r>
    </w:p>
    <w:p w:rsidR="00590B97" w:rsidRPr="00B6487F" w:rsidRDefault="00590B97" w:rsidP="00590B97">
      <w:pPr>
        <w:pStyle w:val="ListParagraph"/>
        <w:numPr>
          <w:ilvl w:val="0"/>
          <w:numId w:val="8"/>
        </w:numPr>
        <w:rPr>
          <w:rFonts w:asciiTheme="majorHAnsi" w:hAnsiTheme="majorHAnsi" w:cstheme="majorHAnsi"/>
          <w:sz w:val="24"/>
          <w:szCs w:val="24"/>
          <w:lang w:val="en-US"/>
        </w:rPr>
      </w:pPr>
      <w:r w:rsidRPr="00B6487F">
        <w:rPr>
          <w:rFonts w:asciiTheme="majorHAnsi" w:hAnsiTheme="majorHAnsi" w:cstheme="majorHAnsi"/>
          <w:sz w:val="24"/>
          <w:szCs w:val="24"/>
          <w:lang w:val="en-US"/>
        </w:rPr>
        <w:t xml:space="preserve">Swiss Ribbons Pvt. Ltd. &amp; Anr. </w:t>
      </w:r>
      <w:proofErr w:type="gramStart"/>
      <w:r w:rsidRPr="00B6487F">
        <w:rPr>
          <w:rFonts w:asciiTheme="majorHAnsi" w:hAnsiTheme="majorHAnsi" w:cstheme="majorHAnsi"/>
          <w:sz w:val="24"/>
          <w:szCs w:val="24"/>
          <w:lang w:val="en-US"/>
        </w:rPr>
        <w:t>v/s</w:t>
      </w:r>
      <w:proofErr w:type="gramEnd"/>
      <w:r w:rsidRPr="00B6487F">
        <w:rPr>
          <w:rFonts w:asciiTheme="majorHAnsi" w:hAnsiTheme="majorHAnsi" w:cstheme="majorHAnsi"/>
          <w:sz w:val="24"/>
          <w:szCs w:val="24"/>
          <w:lang w:val="en-US"/>
        </w:rPr>
        <w:t>. Union of India &amp; Ors</w:t>
      </w:r>
      <w:r w:rsidR="00B6487F" w:rsidRPr="00B6487F">
        <w:rPr>
          <w:rStyle w:val="FootnoteReference"/>
          <w:rFonts w:asciiTheme="majorHAnsi" w:hAnsiTheme="majorHAnsi" w:cstheme="majorHAnsi"/>
          <w:sz w:val="24"/>
          <w:szCs w:val="24"/>
          <w:lang w:val="en-US"/>
        </w:rPr>
        <w:footnoteReference w:id="7"/>
      </w:r>
      <w:r w:rsidRPr="00B6487F">
        <w:rPr>
          <w:rFonts w:asciiTheme="majorHAnsi" w:hAnsiTheme="majorHAnsi" w:cstheme="majorHAnsi"/>
          <w:sz w:val="24"/>
          <w:szCs w:val="24"/>
          <w:lang w:val="en-US"/>
        </w:rPr>
        <w:t>.:</w:t>
      </w:r>
      <w:r w:rsidRPr="00B6487F">
        <w:rPr>
          <w:sz w:val="24"/>
          <w:szCs w:val="24"/>
        </w:rPr>
        <w:t xml:space="preserve"> </w:t>
      </w:r>
      <w:r w:rsidRPr="00B6487F">
        <w:rPr>
          <w:rFonts w:asciiTheme="majorHAnsi" w:hAnsiTheme="majorHAnsi" w:cstheme="majorHAnsi"/>
          <w:sz w:val="24"/>
          <w:szCs w:val="24"/>
          <w:lang w:val="en-US"/>
        </w:rPr>
        <w:t>When the Supreme Court upheld IBC completely in the case, it passed the test of constitutional validity. It outlined the justification for the disparate treatment of financial and operational creditors, clarified the function of a Resolution Professional, who serves as the facili</w:t>
      </w:r>
      <w:r w:rsidR="007C7EE4" w:rsidRPr="00B6487F">
        <w:rPr>
          <w:rFonts w:asciiTheme="majorHAnsi" w:hAnsiTheme="majorHAnsi" w:cstheme="majorHAnsi"/>
          <w:sz w:val="24"/>
          <w:szCs w:val="24"/>
          <w:lang w:val="en-US"/>
        </w:rPr>
        <w:t xml:space="preserve"> </w:t>
      </w:r>
      <w:r w:rsidRPr="00B6487F">
        <w:rPr>
          <w:rFonts w:asciiTheme="majorHAnsi" w:hAnsiTheme="majorHAnsi" w:cstheme="majorHAnsi"/>
          <w:sz w:val="24"/>
          <w:szCs w:val="24"/>
          <w:lang w:val="en-US"/>
        </w:rPr>
        <w:t>tator of the resolution process, and asserted that the IBC is not just a law for creditors to recover their debts but also gives corporate debtors a chance to get back on their feet.</w:t>
      </w:r>
    </w:p>
    <w:p w:rsidR="00590B97" w:rsidRPr="00B6487F" w:rsidRDefault="00590B97" w:rsidP="00590B97">
      <w:pPr>
        <w:pStyle w:val="ListParagraph"/>
        <w:numPr>
          <w:ilvl w:val="0"/>
          <w:numId w:val="8"/>
        </w:numPr>
        <w:rPr>
          <w:rFonts w:asciiTheme="majorHAnsi" w:hAnsiTheme="majorHAnsi" w:cstheme="majorHAnsi"/>
          <w:sz w:val="24"/>
          <w:szCs w:val="24"/>
          <w:lang w:val="en-US"/>
        </w:rPr>
      </w:pPr>
      <w:r w:rsidRPr="00B6487F">
        <w:rPr>
          <w:rFonts w:asciiTheme="majorHAnsi" w:hAnsiTheme="majorHAnsi" w:cstheme="majorHAnsi"/>
          <w:sz w:val="24"/>
          <w:szCs w:val="24"/>
          <w:lang w:val="en-US"/>
        </w:rPr>
        <w:t>Essar Steel India Limited v. Satish Kumar Gupta and Others</w:t>
      </w:r>
      <w:r w:rsidR="007C7EE4" w:rsidRPr="00B6487F">
        <w:rPr>
          <w:rStyle w:val="FootnoteReference"/>
          <w:rFonts w:asciiTheme="majorHAnsi" w:hAnsiTheme="majorHAnsi" w:cstheme="majorHAnsi"/>
          <w:sz w:val="24"/>
          <w:szCs w:val="24"/>
          <w:lang w:val="en-US"/>
        </w:rPr>
        <w:footnoteReference w:id="8"/>
      </w:r>
      <w:r w:rsidRPr="00B6487F">
        <w:rPr>
          <w:rFonts w:asciiTheme="majorHAnsi" w:hAnsiTheme="majorHAnsi" w:cstheme="majorHAnsi"/>
          <w:sz w:val="24"/>
          <w:szCs w:val="24"/>
          <w:lang w:val="en-US"/>
        </w:rPr>
        <w:t>: The 2019 Amendment Act's requirement to finish the corporate insolvency resolution process within 330 days of the insolvency commencement date was held to be non-mandatory as a result of this judgment, among other changes. A smaller committee may also receive the CoC's administrative authority or its negotiating authority with resolution applicants.</w:t>
      </w:r>
    </w:p>
    <w:p w:rsidR="00590B97" w:rsidRPr="00B6487F" w:rsidRDefault="00590B97" w:rsidP="00590B97">
      <w:pPr>
        <w:pStyle w:val="ListParagraph"/>
        <w:numPr>
          <w:ilvl w:val="0"/>
          <w:numId w:val="8"/>
        </w:numPr>
        <w:rPr>
          <w:rFonts w:asciiTheme="majorHAnsi" w:hAnsiTheme="majorHAnsi" w:cstheme="majorHAnsi"/>
          <w:sz w:val="24"/>
          <w:szCs w:val="24"/>
          <w:lang w:val="en-US"/>
        </w:rPr>
      </w:pPr>
      <w:r w:rsidRPr="00B6487F">
        <w:rPr>
          <w:rFonts w:asciiTheme="majorHAnsi" w:hAnsiTheme="majorHAnsi" w:cstheme="majorHAnsi"/>
          <w:sz w:val="24"/>
          <w:szCs w:val="24"/>
          <w:lang w:val="en-US"/>
        </w:rPr>
        <w:t>Pioneer Urban Land &amp; Infrastructure Ltd.</w:t>
      </w:r>
      <w:r w:rsidR="007C7EE4" w:rsidRPr="00B6487F">
        <w:rPr>
          <w:rFonts w:asciiTheme="majorHAnsi" w:hAnsiTheme="majorHAnsi" w:cstheme="majorHAnsi"/>
          <w:sz w:val="24"/>
          <w:szCs w:val="24"/>
          <w:lang w:val="en-US"/>
        </w:rPr>
        <w:t xml:space="preserve"> &amp; Anr. </w:t>
      </w:r>
      <w:proofErr w:type="gramStart"/>
      <w:r w:rsidR="007C7EE4" w:rsidRPr="00B6487F">
        <w:rPr>
          <w:rFonts w:asciiTheme="majorHAnsi" w:hAnsiTheme="majorHAnsi" w:cstheme="majorHAnsi"/>
          <w:sz w:val="24"/>
          <w:szCs w:val="24"/>
          <w:lang w:val="en-US"/>
        </w:rPr>
        <w:t>vs</w:t>
      </w:r>
      <w:proofErr w:type="gramEnd"/>
      <w:r w:rsidR="007C7EE4" w:rsidRPr="00B6487F">
        <w:rPr>
          <w:rFonts w:asciiTheme="majorHAnsi" w:hAnsiTheme="majorHAnsi" w:cstheme="majorHAnsi"/>
          <w:sz w:val="24"/>
          <w:szCs w:val="24"/>
          <w:lang w:val="en-US"/>
        </w:rPr>
        <w:t>. Union of India &amp; Others</w:t>
      </w:r>
      <w:r w:rsidRPr="00B6487F">
        <w:rPr>
          <w:rFonts w:asciiTheme="majorHAnsi" w:hAnsiTheme="majorHAnsi" w:cstheme="majorHAnsi"/>
          <w:sz w:val="24"/>
          <w:szCs w:val="24"/>
          <w:lang w:val="en-US"/>
        </w:rPr>
        <w:t>.</w:t>
      </w:r>
      <w:r w:rsidR="007C7EE4" w:rsidRPr="00B6487F">
        <w:rPr>
          <w:rStyle w:val="FootnoteReference"/>
          <w:rFonts w:asciiTheme="majorHAnsi" w:hAnsiTheme="majorHAnsi" w:cstheme="majorHAnsi"/>
          <w:sz w:val="24"/>
          <w:szCs w:val="24"/>
          <w:lang w:val="en-US"/>
        </w:rPr>
        <w:footnoteReference w:id="9"/>
      </w:r>
      <w:r w:rsidRPr="00B6487F">
        <w:rPr>
          <w:rFonts w:asciiTheme="majorHAnsi" w:hAnsiTheme="majorHAnsi" w:cstheme="majorHAnsi"/>
          <w:sz w:val="24"/>
          <w:szCs w:val="24"/>
          <w:lang w:val="en-US"/>
        </w:rPr>
        <w:t xml:space="preserve"> :</w:t>
      </w:r>
      <w:r w:rsidRPr="00B6487F">
        <w:rPr>
          <w:sz w:val="24"/>
          <w:szCs w:val="24"/>
        </w:rPr>
        <w:t xml:space="preserve"> </w:t>
      </w:r>
      <w:r w:rsidRPr="00B6487F">
        <w:rPr>
          <w:rFonts w:asciiTheme="majorHAnsi" w:hAnsiTheme="majorHAnsi" w:cstheme="majorHAnsi"/>
          <w:sz w:val="24"/>
          <w:szCs w:val="24"/>
          <w:lang w:val="en-US"/>
        </w:rPr>
        <w:t xml:space="preserve">The Insolvency and Bankruptcy Code (Second Amendment) Act, 2018, which also included "real estate allottees" within the definition of "financial creditors" under Section 5(8)(f) of the Insolvency and Bankruptcy Code, was upheld by the Supreme Court as constitutionally valid. The decision is a turning point for allottees because </w:t>
      </w:r>
      <w:r w:rsidRPr="00B6487F">
        <w:rPr>
          <w:rFonts w:asciiTheme="majorHAnsi" w:hAnsiTheme="majorHAnsi" w:cstheme="majorHAnsi"/>
          <w:sz w:val="24"/>
          <w:szCs w:val="24"/>
          <w:lang w:val="en-US"/>
        </w:rPr>
        <w:lastRenderedPageBreak/>
        <w:t>they can now join the Committee of Creditors on the same terms as banks and other financial institutions and enforce the Code.</w:t>
      </w:r>
    </w:p>
    <w:p w:rsidR="00590B97" w:rsidRPr="00B6487F" w:rsidRDefault="00590B97" w:rsidP="00590B97">
      <w:pPr>
        <w:pStyle w:val="ListParagraph"/>
        <w:numPr>
          <w:ilvl w:val="0"/>
          <w:numId w:val="8"/>
        </w:numPr>
        <w:rPr>
          <w:rFonts w:asciiTheme="majorHAnsi" w:hAnsiTheme="majorHAnsi" w:cstheme="majorHAnsi"/>
          <w:sz w:val="24"/>
          <w:szCs w:val="24"/>
          <w:lang w:val="en-US"/>
        </w:rPr>
      </w:pPr>
      <w:r w:rsidRPr="00B6487F">
        <w:rPr>
          <w:rFonts w:asciiTheme="majorHAnsi" w:hAnsiTheme="majorHAnsi" w:cstheme="majorHAnsi"/>
          <w:sz w:val="24"/>
          <w:szCs w:val="24"/>
          <w:lang w:val="en-US"/>
        </w:rPr>
        <w:t xml:space="preserve">  M/s Embassy Property Developments Pvt Ltd vs. State of Karnataka and Ors.</w:t>
      </w:r>
      <w:r w:rsidR="00B6487F" w:rsidRPr="00B6487F">
        <w:rPr>
          <w:rStyle w:val="FootnoteReference"/>
          <w:rFonts w:asciiTheme="majorHAnsi" w:hAnsiTheme="majorHAnsi" w:cstheme="majorHAnsi"/>
          <w:sz w:val="24"/>
          <w:szCs w:val="24"/>
          <w:lang w:val="en-US"/>
        </w:rPr>
        <w:footnoteReference w:id="10"/>
      </w:r>
      <w:r w:rsidRPr="00B6487F">
        <w:rPr>
          <w:rFonts w:asciiTheme="majorHAnsi" w:hAnsiTheme="majorHAnsi" w:cstheme="majorHAnsi"/>
          <w:sz w:val="24"/>
          <w:szCs w:val="24"/>
          <w:lang w:val="en-US"/>
        </w:rPr>
        <w:t xml:space="preserve"> : Although the Supreme Court decided that the NCLT and NCLAT would not have jurisdiction to decide on disputes involving other public laws, they would have jurisdiction to investigate matters related to fraud.</w:t>
      </w:r>
    </w:p>
    <w:p w:rsidR="00590B97" w:rsidRPr="00B6487F" w:rsidRDefault="00590B97" w:rsidP="00590B97">
      <w:pPr>
        <w:pStyle w:val="ListParagraph"/>
        <w:numPr>
          <w:ilvl w:val="0"/>
          <w:numId w:val="8"/>
        </w:numPr>
        <w:rPr>
          <w:rFonts w:asciiTheme="majorHAnsi" w:hAnsiTheme="majorHAnsi" w:cstheme="majorHAnsi"/>
          <w:sz w:val="24"/>
          <w:szCs w:val="24"/>
          <w:lang w:val="en-US"/>
        </w:rPr>
      </w:pPr>
      <w:r w:rsidRPr="00B6487F">
        <w:rPr>
          <w:rFonts w:asciiTheme="majorHAnsi" w:hAnsiTheme="majorHAnsi" w:cstheme="majorHAnsi"/>
          <w:sz w:val="24"/>
          <w:szCs w:val="24"/>
          <w:lang w:val="en-US"/>
        </w:rPr>
        <w:t xml:space="preserve">  Vijay Kumar Jain vs. Standard Chartered Bank &amp; Ors.</w:t>
      </w:r>
      <w:r w:rsidR="007C7EE4" w:rsidRPr="00B6487F">
        <w:rPr>
          <w:rStyle w:val="FootnoteReference"/>
          <w:rFonts w:asciiTheme="majorHAnsi" w:hAnsiTheme="majorHAnsi" w:cstheme="majorHAnsi"/>
          <w:sz w:val="24"/>
          <w:szCs w:val="24"/>
          <w:lang w:val="en-US"/>
        </w:rPr>
        <w:footnoteReference w:id="11"/>
      </w:r>
      <w:r w:rsidRPr="00B6487F">
        <w:rPr>
          <w:rFonts w:asciiTheme="majorHAnsi" w:hAnsiTheme="majorHAnsi" w:cstheme="majorHAnsi"/>
          <w:sz w:val="24"/>
          <w:szCs w:val="24"/>
          <w:lang w:val="en-US"/>
        </w:rPr>
        <w:t xml:space="preserve"> : The Supreme Court ruled that the suspended Board of Directors of a corporate debtor has a legal right to accept any insolvency resolution plans submitted before the resolution process begins.</w:t>
      </w:r>
    </w:p>
    <w:p w:rsidR="00590B97" w:rsidRPr="00B6487F" w:rsidRDefault="00590B97" w:rsidP="00590B97">
      <w:pPr>
        <w:pStyle w:val="ListParagraph"/>
        <w:numPr>
          <w:ilvl w:val="0"/>
          <w:numId w:val="8"/>
        </w:numPr>
        <w:rPr>
          <w:rFonts w:asciiTheme="majorHAnsi" w:hAnsiTheme="majorHAnsi" w:cstheme="majorHAnsi"/>
          <w:sz w:val="24"/>
          <w:szCs w:val="24"/>
          <w:lang w:val="en-US"/>
        </w:rPr>
      </w:pPr>
      <w:r w:rsidRPr="00B6487F">
        <w:rPr>
          <w:rFonts w:asciiTheme="majorHAnsi" w:hAnsiTheme="majorHAnsi" w:cstheme="majorHAnsi"/>
          <w:sz w:val="24"/>
          <w:szCs w:val="24"/>
          <w:lang w:val="en-US"/>
        </w:rPr>
        <w:t>Lokhandwala Kataria Construction Private Limited vs. Nisus Finance and Investment Managers LLP</w:t>
      </w:r>
      <w:r w:rsidR="007C7EE4" w:rsidRPr="00B6487F">
        <w:rPr>
          <w:rStyle w:val="FootnoteReference"/>
          <w:rFonts w:asciiTheme="majorHAnsi" w:hAnsiTheme="majorHAnsi" w:cstheme="majorHAnsi"/>
          <w:sz w:val="24"/>
          <w:szCs w:val="24"/>
          <w:lang w:val="en-US"/>
        </w:rPr>
        <w:footnoteReference w:id="12"/>
      </w:r>
      <w:r w:rsidRPr="00B6487F">
        <w:rPr>
          <w:rFonts w:asciiTheme="majorHAnsi" w:hAnsiTheme="majorHAnsi" w:cstheme="majorHAnsi"/>
          <w:sz w:val="24"/>
          <w:szCs w:val="24"/>
          <w:lang w:val="en-US"/>
        </w:rPr>
        <w:t>. : In this case, the Supreme Court decided that even after insolvency proceedings have been filed against a company, a settlement may be taken into account and a case may be dismissed on the merits.</w:t>
      </w:r>
      <w:r w:rsidR="007C7EE4" w:rsidRPr="00B6487F">
        <w:rPr>
          <w:rStyle w:val="FootnoteReference"/>
          <w:rFonts w:asciiTheme="majorHAnsi" w:hAnsiTheme="majorHAnsi" w:cstheme="majorHAnsi"/>
          <w:sz w:val="24"/>
          <w:szCs w:val="24"/>
          <w:lang w:val="en-US"/>
        </w:rPr>
        <w:footnoteReference w:id="13"/>
      </w:r>
    </w:p>
    <w:p w:rsidR="00590B97" w:rsidRPr="00B6487F" w:rsidRDefault="00590B97" w:rsidP="00590B97">
      <w:pPr>
        <w:rPr>
          <w:rFonts w:asciiTheme="majorHAnsi" w:hAnsiTheme="majorHAnsi" w:cstheme="majorHAnsi"/>
          <w:sz w:val="24"/>
          <w:szCs w:val="24"/>
          <w:lang w:val="en-US"/>
        </w:rPr>
      </w:pPr>
    </w:p>
    <w:p w:rsidR="00590B97" w:rsidRPr="00B6487F" w:rsidRDefault="00590B97" w:rsidP="00590B97">
      <w:pPr>
        <w:rPr>
          <w:rFonts w:asciiTheme="majorHAnsi" w:hAnsiTheme="majorHAnsi" w:cstheme="majorHAnsi"/>
          <w:sz w:val="24"/>
          <w:szCs w:val="24"/>
          <w:lang w:val="en-US"/>
        </w:rPr>
      </w:pPr>
    </w:p>
    <w:p w:rsidR="00590B97" w:rsidRPr="00B6487F" w:rsidRDefault="00590B97" w:rsidP="00590B97">
      <w:pPr>
        <w:rPr>
          <w:rFonts w:asciiTheme="majorHAnsi" w:hAnsiTheme="majorHAnsi" w:cstheme="majorHAnsi"/>
          <w:sz w:val="24"/>
          <w:szCs w:val="24"/>
          <w:lang w:val="en-US"/>
        </w:rPr>
      </w:pPr>
    </w:p>
    <w:p w:rsidR="00590B97" w:rsidRPr="00B6487F" w:rsidRDefault="00590B97" w:rsidP="00590B97">
      <w:pPr>
        <w:jc w:val="center"/>
        <w:rPr>
          <w:rFonts w:asciiTheme="majorHAnsi" w:hAnsiTheme="majorHAnsi" w:cstheme="majorHAnsi"/>
          <w:sz w:val="24"/>
          <w:szCs w:val="24"/>
          <w:lang w:val="en-US"/>
        </w:rPr>
      </w:pPr>
      <w:r w:rsidRPr="00B6487F">
        <w:rPr>
          <w:rFonts w:asciiTheme="majorHAnsi" w:hAnsiTheme="majorHAnsi" w:cstheme="majorHAnsi"/>
          <w:sz w:val="24"/>
          <w:szCs w:val="24"/>
          <w:lang w:val="en-US"/>
        </w:rPr>
        <w:t>INFERANCE</w:t>
      </w:r>
    </w:p>
    <w:p w:rsidR="00590B97" w:rsidRPr="00B6487F" w:rsidRDefault="00590B97" w:rsidP="00590B97">
      <w:pPr>
        <w:rPr>
          <w:rFonts w:asciiTheme="majorHAnsi" w:hAnsiTheme="majorHAnsi" w:cstheme="majorHAnsi"/>
          <w:sz w:val="24"/>
          <w:szCs w:val="24"/>
          <w:lang w:val="en-US"/>
        </w:rPr>
      </w:pPr>
      <w:r w:rsidRPr="00B6487F">
        <w:rPr>
          <w:rFonts w:asciiTheme="majorHAnsi" w:hAnsiTheme="majorHAnsi" w:cstheme="majorHAnsi"/>
          <w:sz w:val="24"/>
          <w:szCs w:val="24"/>
          <w:lang w:val="en-US"/>
        </w:rPr>
        <w:t>The approach taken by the Indian government in regards to bankruptcy and insolvency legislation must be to protect the interest or concern of those involved in the debt recovery process. The laws must not only be intended to protect one particular class of persons. There are apparent chances that the debtor will not repay the debt as agreed upon when an individual or business receives a loan. Failure of the aforementioned person or business is due to a number of distinct circumstances. When obligations related to debt are encountered, equity owners are expected to be given the order as soon as possible because if the borrower defaults, they will be left with nothing else to do. As a result, once a failure occurs, the debtor and the creditors compete to levy the money as fast as feasible. A financial restructure must instead be discussed privately between the lenders and the debtor in order to preserve the character of the company, business, and enterprise.</w:t>
      </w:r>
    </w:p>
    <w:p w:rsidR="00590B97" w:rsidRPr="00B6487F" w:rsidRDefault="00590B97" w:rsidP="00590B97">
      <w:pPr>
        <w:rPr>
          <w:rFonts w:asciiTheme="majorHAnsi" w:hAnsiTheme="majorHAnsi" w:cstheme="majorHAnsi"/>
          <w:sz w:val="24"/>
          <w:szCs w:val="24"/>
          <w:lang w:val="en-US"/>
        </w:rPr>
      </w:pPr>
    </w:p>
    <w:p w:rsidR="00590B97" w:rsidRPr="00B6487F" w:rsidRDefault="00590B97" w:rsidP="00590B97">
      <w:pPr>
        <w:jc w:val="center"/>
        <w:rPr>
          <w:rFonts w:asciiTheme="majorHAnsi" w:hAnsiTheme="majorHAnsi" w:cstheme="majorHAnsi"/>
          <w:sz w:val="24"/>
          <w:szCs w:val="24"/>
          <w:lang w:val="en-US"/>
        </w:rPr>
      </w:pPr>
    </w:p>
    <w:p w:rsidR="00590B97" w:rsidRPr="00B6487F" w:rsidRDefault="00590B97" w:rsidP="00590B97">
      <w:pPr>
        <w:jc w:val="center"/>
        <w:rPr>
          <w:rFonts w:asciiTheme="majorHAnsi" w:hAnsiTheme="majorHAnsi" w:cstheme="majorHAnsi"/>
          <w:sz w:val="24"/>
          <w:szCs w:val="24"/>
          <w:lang w:val="en-US"/>
        </w:rPr>
      </w:pPr>
    </w:p>
    <w:p w:rsidR="00590B97" w:rsidRPr="00B6487F" w:rsidRDefault="00590B97" w:rsidP="00590B97">
      <w:pPr>
        <w:jc w:val="center"/>
        <w:rPr>
          <w:rFonts w:asciiTheme="majorHAnsi" w:hAnsiTheme="majorHAnsi" w:cstheme="majorHAnsi"/>
          <w:sz w:val="24"/>
          <w:szCs w:val="24"/>
          <w:lang w:val="en-US"/>
        </w:rPr>
      </w:pPr>
      <w:r w:rsidRPr="00B6487F">
        <w:rPr>
          <w:rFonts w:asciiTheme="majorHAnsi" w:hAnsiTheme="majorHAnsi" w:cstheme="majorHAnsi"/>
          <w:sz w:val="24"/>
          <w:szCs w:val="24"/>
          <w:lang w:val="en-US"/>
        </w:rPr>
        <w:t>CONCLUSION</w:t>
      </w:r>
    </w:p>
    <w:p w:rsidR="0087573A" w:rsidRPr="00B6487F" w:rsidRDefault="00590B97" w:rsidP="00590B97">
      <w:pPr>
        <w:rPr>
          <w:rFonts w:asciiTheme="majorHAnsi" w:hAnsiTheme="majorHAnsi" w:cstheme="majorHAnsi"/>
          <w:sz w:val="24"/>
          <w:szCs w:val="24"/>
          <w:lang w:val="en-US"/>
        </w:rPr>
      </w:pPr>
      <w:r w:rsidRPr="00B6487F">
        <w:rPr>
          <w:rFonts w:asciiTheme="majorHAnsi" w:hAnsiTheme="majorHAnsi" w:cstheme="majorHAnsi"/>
          <w:sz w:val="24"/>
          <w:szCs w:val="24"/>
          <w:lang w:val="en-US"/>
        </w:rPr>
        <w:t xml:space="preserve">There is a need and a desire for a common or standard law that will cover all types of creditors and debtors and that unquestionably establishes the rights of the lenders when the debtor becomes insolvent in order to maintain the health or condition of the credit market. </w:t>
      </w:r>
      <w:r w:rsidRPr="00B6487F">
        <w:rPr>
          <w:rFonts w:asciiTheme="majorHAnsi" w:hAnsiTheme="majorHAnsi" w:cstheme="majorHAnsi"/>
          <w:sz w:val="24"/>
          <w:szCs w:val="24"/>
          <w:lang w:val="en-US"/>
        </w:rPr>
        <w:lastRenderedPageBreak/>
        <w:t>The concerns with bankruptcy and insolvency could not be handled by the prior regulations. Thus, a single universal piece of law that is effective and quick to restore debt was required as a result of this. In order to improve the efficiency of insolvency and bankruptcy processes in India, the Insolvency and Bankruptcy Code, 2016, is a reformist piece of law. The new legislation provides an expedited settlement process and early identification of financial distress. The Code's adaptability to different kinds of dynamic changes and its clarity in making decisions have proven to be the straw that stirs the liquids. Furthermore, it cannot be denied that this code has prevented the early demise of numerous sick and struggling businesses. The Code continues to be an invited shift when compared to other twisting up systems like BIFR, which used to investigate a number of instances over time before making their conclusion. Debtors cannot halt or delay a bankruptcy proceeding under the code on shaky arguments, according to the trend in the court rulings. The importance of Swift resolution is strongly stressed by NCLT as well as the upper judicial levels.</w:t>
      </w:r>
    </w:p>
    <w:p w:rsidR="00590B97" w:rsidRPr="00B6487F" w:rsidRDefault="00590B97" w:rsidP="00590B97">
      <w:pPr>
        <w:rPr>
          <w:rFonts w:asciiTheme="majorHAnsi" w:hAnsiTheme="majorHAnsi" w:cstheme="majorHAnsi"/>
          <w:sz w:val="24"/>
          <w:szCs w:val="24"/>
          <w:lang w:val="en-US"/>
        </w:rPr>
      </w:pPr>
    </w:p>
    <w:sectPr w:rsidR="00590B97" w:rsidRPr="00B6487F" w:rsidSect="0087573A">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1789" w:rsidRDefault="00581789" w:rsidP="0087573A">
      <w:pPr>
        <w:spacing w:after="0" w:line="240" w:lineRule="auto"/>
      </w:pPr>
      <w:r>
        <w:separator/>
      </w:r>
    </w:p>
  </w:endnote>
  <w:endnote w:type="continuationSeparator" w:id="0">
    <w:p w:rsidR="00581789" w:rsidRDefault="00581789" w:rsidP="008757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1789" w:rsidRDefault="00581789" w:rsidP="0087573A">
      <w:pPr>
        <w:spacing w:after="0" w:line="240" w:lineRule="auto"/>
      </w:pPr>
      <w:r>
        <w:separator/>
      </w:r>
    </w:p>
  </w:footnote>
  <w:footnote w:type="continuationSeparator" w:id="0">
    <w:p w:rsidR="00581789" w:rsidRDefault="00581789" w:rsidP="0087573A">
      <w:pPr>
        <w:spacing w:after="0" w:line="240" w:lineRule="auto"/>
      </w:pPr>
      <w:r>
        <w:continuationSeparator/>
      </w:r>
    </w:p>
  </w:footnote>
  <w:footnote w:id="1">
    <w:p w:rsidR="0010211F" w:rsidRPr="0010211F" w:rsidRDefault="0010211F">
      <w:pPr>
        <w:pStyle w:val="FootnoteText"/>
        <w:rPr>
          <w:lang w:val="en-US"/>
        </w:rPr>
      </w:pPr>
      <w:r>
        <w:rPr>
          <w:rStyle w:val="FootnoteReference"/>
        </w:rPr>
        <w:footnoteRef/>
      </w:r>
      <w:r>
        <w:t xml:space="preserve"> </w:t>
      </w:r>
      <w:r w:rsidRPr="0010211F">
        <w:t>Evolution of Insolvency and Bankruptcy Code 2016</w:t>
      </w:r>
      <w:r w:rsidRPr="0010211F">
        <w:cr/>
      </w:r>
    </w:p>
  </w:footnote>
  <w:footnote w:id="2">
    <w:p w:rsidR="0010211F" w:rsidRPr="0010211F" w:rsidRDefault="0010211F">
      <w:pPr>
        <w:pStyle w:val="FootnoteText"/>
        <w:rPr>
          <w:rFonts w:asciiTheme="majorHAnsi" w:hAnsiTheme="majorHAnsi" w:cstheme="majorHAnsi"/>
          <w:lang w:val="en-US"/>
        </w:rPr>
      </w:pPr>
      <w:r>
        <w:rPr>
          <w:rStyle w:val="FootnoteReference"/>
        </w:rPr>
        <w:footnoteRef/>
      </w:r>
      <w:r>
        <w:t xml:space="preserve"> </w:t>
      </w:r>
      <w:r>
        <w:rPr>
          <w:rFonts w:asciiTheme="majorHAnsi" w:hAnsiTheme="majorHAnsi" w:cstheme="majorHAnsi"/>
          <w:lang w:val="en-US"/>
        </w:rPr>
        <w:t xml:space="preserve">BARE ACT </w:t>
      </w:r>
    </w:p>
  </w:footnote>
  <w:footnote w:id="3">
    <w:p w:rsidR="0010211F" w:rsidRPr="0010211F" w:rsidRDefault="0010211F">
      <w:pPr>
        <w:pStyle w:val="FootnoteText"/>
        <w:rPr>
          <w:lang w:val="en-US"/>
        </w:rPr>
      </w:pPr>
      <w:r>
        <w:rPr>
          <w:rStyle w:val="FootnoteReference"/>
        </w:rPr>
        <w:footnoteRef/>
      </w:r>
      <w:r>
        <w:t xml:space="preserve"> </w:t>
      </w:r>
      <w:r>
        <w:rPr>
          <w:lang w:val="en-US"/>
        </w:rPr>
        <w:t xml:space="preserve">Insolvency and Bankruptcy manual </w:t>
      </w:r>
    </w:p>
  </w:footnote>
  <w:footnote w:id="4">
    <w:p w:rsidR="0010211F" w:rsidRPr="0010211F" w:rsidRDefault="0010211F">
      <w:pPr>
        <w:pStyle w:val="FootnoteText"/>
        <w:rPr>
          <w:lang w:val="en-US"/>
        </w:rPr>
      </w:pPr>
      <w:r>
        <w:rPr>
          <w:rStyle w:val="FootnoteReference"/>
        </w:rPr>
        <w:footnoteRef/>
      </w:r>
      <w:r>
        <w:t xml:space="preserve"> </w:t>
      </w:r>
      <w:r w:rsidR="007C7EE4">
        <w:t xml:space="preserve">The Bankruptcy law reform committee report </w:t>
      </w:r>
    </w:p>
  </w:footnote>
  <w:footnote w:id="5">
    <w:p w:rsidR="007C7EE4" w:rsidRPr="007C7EE4" w:rsidRDefault="007C7EE4">
      <w:pPr>
        <w:pStyle w:val="FootnoteText"/>
        <w:rPr>
          <w:lang w:val="en-US"/>
        </w:rPr>
      </w:pPr>
      <w:r>
        <w:rPr>
          <w:rStyle w:val="FootnoteReference"/>
        </w:rPr>
        <w:footnoteRef/>
      </w:r>
      <w:r>
        <w:t xml:space="preserve"> </w:t>
      </w:r>
      <w:r w:rsidRPr="007C7EE4">
        <w:t>https://dea.gov.in/sites/default/files/BriefBLRCReport04112015.pdf</w:t>
      </w:r>
    </w:p>
  </w:footnote>
  <w:footnote w:id="6">
    <w:p w:rsidR="00B6487F" w:rsidRPr="00B6487F" w:rsidRDefault="00B6487F">
      <w:pPr>
        <w:pStyle w:val="FootnoteText"/>
        <w:rPr>
          <w:lang w:val="en-US"/>
        </w:rPr>
      </w:pPr>
      <w:r>
        <w:rPr>
          <w:rStyle w:val="FootnoteReference"/>
        </w:rPr>
        <w:footnoteRef/>
      </w:r>
      <w:r>
        <w:t xml:space="preserve"> 2022 SCC Onl</w:t>
      </w:r>
      <w:r w:rsidRPr="00B6487F">
        <w:t>ine SC 1162</w:t>
      </w:r>
    </w:p>
  </w:footnote>
  <w:footnote w:id="7">
    <w:p w:rsidR="00B6487F" w:rsidRPr="00B6487F" w:rsidRDefault="00B6487F">
      <w:pPr>
        <w:pStyle w:val="FootnoteText"/>
        <w:rPr>
          <w:lang w:val="en-US"/>
        </w:rPr>
      </w:pPr>
      <w:r>
        <w:rPr>
          <w:rStyle w:val="FootnoteReference"/>
        </w:rPr>
        <w:footnoteRef/>
      </w:r>
      <w:r>
        <w:t xml:space="preserve"> </w:t>
      </w:r>
      <w:r w:rsidRPr="00B6487F">
        <w:t>AIR (2019) 4 SCC 17</w:t>
      </w:r>
    </w:p>
  </w:footnote>
  <w:footnote w:id="8">
    <w:p w:rsidR="007C7EE4" w:rsidRPr="007C7EE4" w:rsidRDefault="007C7EE4">
      <w:pPr>
        <w:pStyle w:val="FootnoteText"/>
        <w:rPr>
          <w:lang w:val="en-US"/>
        </w:rPr>
      </w:pPr>
      <w:r>
        <w:rPr>
          <w:rStyle w:val="FootnoteReference"/>
        </w:rPr>
        <w:footnoteRef/>
      </w:r>
      <w:r>
        <w:t xml:space="preserve"> </w:t>
      </w:r>
      <w:r w:rsidRPr="007C7EE4">
        <w:t>Committee Of Creditors Of Essar ... vs Satish Kumar Gupta &amp; Ors on 3 January, 2019</w:t>
      </w:r>
    </w:p>
  </w:footnote>
  <w:footnote w:id="9">
    <w:p w:rsidR="007C7EE4" w:rsidRPr="007C7EE4" w:rsidRDefault="007C7EE4">
      <w:pPr>
        <w:pStyle w:val="FootnoteText"/>
        <w:rPr>
          <w:lang w:val="en-US"/>
        </w:rPr>
      </w:pPr>
      <w:r>
        <w:rPr>
          <w:rStyle w:val="FootnoteReference"/>
        </w:rPr>
        <w:footnoteRef/>
      </w:r>
      <w:r w:rsidRPr="007C7EE4">
        <w:t>M/S Pioneer Urban Land And ... vs Union Of India And Ors on 16 October, 2020</w:t>
      </w:r>
      <w:r>
        <w:t xml:space="preserve"> </w:t>
      </w:r>
    </w:p>
  </w:footnote>
  <w:footnote w:id="10">
    <w:p w:rsidR="00B6487F" w:rsidRPr="00B6487F" w:rsidRDefault="00B6487F">
      <w:pPr>
        <w:pStyle w:val="FootnoteText"/>
        <w:rPr>
          <w:lang w:val="en-US"/>
        </w:rPr>
      </w:pPr>
      <w:r>
        <w:rPr>
          <w:rStyle w:val="FootnoteReference"/>
        </w:rPr>
        <w:footnoteRef/>
      </w:r>
      <w:r>
        <w:t xml:space="preserve"> </w:t>
      </w:r>
      <w:r w:rsidRPr="00B6487F">
        <w:t xml:space="preserve">Civil Appeal No S. 9170-9172 Of 2019  </w:t>
      </w:r>
    </w:p>
  </w:footnote>
  <w:footnote w:id="11">
    <w:p w:rsidR="007C7EE4" w:rsidRPr="007C7EE4" w:rsidRDefault="007C7EE4">
      <w:pPr>
        <w:pStyle w:val="FootnoteText"/>
        <w:rPr>
          <w:lang w:val="en-US"/>
        </w:rPr>
      </w:pPr>
      <w:r>
        <w:rPr>
          <w:rStyle w:val="FootnoteReference"/>
        </w:rPr>
        <w:footnoteRef/>
      </w:r>
      <w:r>
        <w:t xml:space="preserve"> </w:t>
      </w:r>
      <w:r w:rsidRPr="007C7EE4">
        <w:t>Vijay Kumar Jain vs Standard Chartered Bank on 31 January, 2019</w:t>
      </w:r>
    </w:p>
  </w:footnote>
  <w:footnote w:id="12">
    <w:p w:rsidR="007C7EE4" w:rsidRPr="007C7EE4" w:rsidRDefault="007C7EE4">
      <w:pPr>
        <w:pStyle w:val="FootnoteText"/>
        <w:rPr>
          <w:lang w:val="en-US"/>
        </w:rPr>
      </w:pPr>
      <w:r>
        <w:rPr>
          <w:rStyle w:val="FootnoteReference"/>
        </w:rPr>
        <w:footnoteRef/>
      </w:r>
      <w:r>
        <w:t xml:space="preserve"> </w:t>
      </w:r>
      <w:r w:rsidRPr="007C7EE4">
        <w:t>Lokhandwala Kataria ... vs Nisus Finance &amp; Investment ... on 13 July, 2017</w:t>
      </w:r>
    </w:p>
  </w:footnote>
  <w:footnote w:id="13">
    <w:p w:rsidR="007C7EE4" w:rsidRPr="007C7EE4" w:rsidRDefault="007C7EE4">
      <w:pPr>
        <w:pStyle w:val="FootnoteText"/>
        <w:rPr>
          <w:lang w:val="en-US"/>
        </w:rPr>
      </w:pPr>
      <w:r>
        <w:rPr>
          <w:rStyle w:val="FootnoteReference"/>
        </w:rPr>
        <w:footnoteRef/>
      </w:r>
      <w:r>
        <w:t xml:space="preserve"> </w:t>
      </w:r>
      <w:r w:rsidRPr="007C7EE4">
        <w:t>[2017] ibclaw.in 34 NCLAT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460EB0"/>
    <w:multiLevelType w:val="hybridMultilevel"/>
    <w:tmpl w:val="E09C80C4"/>
    <w:lvl w:ilvl="0" w:tplc="40090017">
      <w:start w:val="1"/>
      <w:numFmt w:val="lowerLetter"/>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nsid w:val="1F3C0029"/>
    <w:multiLevelType w:val="hybridMultilevel"/>
    <w:tmpl w:val="C9508D36"/>
    <w:lvl w:ilvl="0" w:tplc="40090011">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26DC76E1"/>
    <w:multiLevelType w:val="hybridMultilevel"/>
    <w:tmpl w:val="E5EE5E9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3BFC057F"/>
    <w:multiLevelType w:val="hybridMultilevel"/>
    <w:tmpl w:val="5570F9AC"/>
    <w:lvl w:ilvl="0" w:tplc="FDF2DE5C">
      <w:start w:val="1"/>
      <w:numFmt w:val="decimal"/>
      <w:lvlText w:val="%1)"/>
      <w:lvlJc w:val="left"/>
      <w:pPr>
        <w:ind w:left="785" w:hanging="360"/>
      </w:pPr>
      <w:rPr>
        <w:sz w:val="24"/>
        <w:szCs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3E337D3B"/>
    <w:multiLevelType w:val="multilevel"/>
    <w:tmpl w:val="4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569A1147"/>
    <w:multiLevelType w:val="hybridMultilevel"/>
    <w:tmpl w:val="CD781E5E"/>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59805639"/>
    <w:multiLevelType w:val="hybridMultilevel"/>
    <w:tmpl w:val="0388B848"/>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77EA2034"/>
    <w:multiLevelType w:val="hybridMultilevel"/>
    <w:tmpl w:val="554A8DF4"/>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3"/>
  </w:num>
  <w:num w:numId="5">
    <w:abstractNumId w:val="4"/>
  </w:num>
  <w:num w:numId="6">
    <w:abstractNumId w:val="0"/>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573A"/>
    <w:rsid w:val="0010211F"/>
    <w:rsid w:val="001E5E12"/>
    <w:rsid w:val="001F3FBB"/>
    <w:rsid w:val="003A7593"/>
    <w:rsid w:val="003C6518"/>
    <w:rsid w:val="00581789"/>
    <w:rsid w:val="00590B97"/>
    <w:rsid w:val="00664158"/>
    <w:rsid w:val="006B0A7D"/>
    <w:rsid w:val="006F0F49"/>
    <w:rsid w:val="00720688"/>
    <w:rsid w:val="007C7EE4"/>
    <w:rsid w:val="007D7BBA"/>
    <w:rsid w:val="00812100"/>
    <w:rsid w:val="0087573A"/>
    <w:rsid w:val="009725D8"/>
    <w:rsid w:val="009A29E9"/>
    <w:rsid w:val="00A86B56"/>
    <w:rsid w:val="00B6487F"/>
    <w:rsid w:val="00EE6262"/>
    <w:rsid w:val="00F21C4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4ACF38-7899-411F-884F-E7CBAA4C0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en-IN" w:eastAsia="en-US" w:bidi="ar-SA"/>
      </w:rPr>
    </w:rPrDefault>
    <w:pPrDefault>
      <w:pPr>
        <w:spacing w:after="16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573A"/>
  </w:style>
  <w:style w:type="paragraph" w:styleId="Heading1">
    <w:name w:val="heading 1"/>
    <w:basedOn w:val="Normal"/>
    <w:next w:val="Normal"/>
    <w:link w:val="Heading1Char"/>
    <w:uiPriority w:val="9"/>
    <w:qFormat/>
    <w:rsid w:val="0087573A"/>
    <w:pPr>
      <w:keepNext/>
      <w:keepLines/>
      <w:pBdr>
        <w:bottom w:val="single" w:sz="4" w:space="2" w:color="629DD1" w:themeColor="accent2"/>
      </w:pBdr>
      <w:spacing w:before="360" w:after="120" w:line="240" w:lineRule="auto"/>
      <w:outlineLvl w:val="0"/>
    </w:pPr>
    <w:rPr>
      <w:rFonts w:asciiTheme="majorHAnsi" w:eastAsiaTheme="majorEastAsia" w:hAnsiTheme="majorHAnsi" w:cstheme="majorBidi"/>
      <w:color w:val="262626" w:themeColor="text1" w:themeTint="D9"/>
      <w:sz w:val="40"/>
      <w:szCs w:val="40"/>
    </w:rPr>
  </w:style>
  <w:style w:type="paragraph" w:styleId="Heading2">
    <w:name w:val="heading 2"/>
    <w:basedOn w:val="Normal"/>
    <w:next w:val="Normal"/>
    <w:link w:val="Heading2Char"/>
    <w:uiPriority w:val="9"/>
    <w:unhideWhenUsed/>
    <w:qFormat/>
    <w:rsid w:val="0087573A"/>
    <w:pPr>
      <w:keepNext/>
      <w:keepLines/>
      <w:spacing w:before="120" w:after="0" w:line="240" w:lineRule="auto"/>
      <w:outlineLvl w:val="1"/>
    </w:pPr>
    <w:rPr>
      <w:rFonts w:asciiTheme="majorHAnsi" w:eastAsiaTheme="majorEastAsia" w:hAnsiTheme="majorHAnsi" w:cstheme="majorBidi"/>
      <w:color w:val="629DD1" w:themeColor="accent2"/>
      <w:sz w:val="36"/>
      <w:szCs w:val="36"/>
    </w:rPr>
  </w:style>
  <w:style w:type="paragraph" w:styleId="Heading3">
    <w:name w:val="heading 3"/>
    <w:basedOn w:val="Normal"/>
    <w:next w:val="Normal"/>
    <w:link w:val="Heading3Char"/>
    <w:uiPriority w:val="9"/>
    <w:semiHidden/>
    <w:unhideWhenUsed/>
    <w:qFormat/>
    <w:rsid w:val="0087573A"/>
    <w:pPr>
      <w:keepNext/>
      <w:keepLines/>
      <w:spacing w:before="80" w:after="0" w:line="240" w:lineRule="auto"/>
      <w:outlineLvl w:val="2"/>
    </w:pPr>
    <w:rPr>
      <w:rFonts w:asciiTheme="majorHAnsi" w:eastAsiaTheme="majorEastAsia" w:hAnsiTheme="majorHAnsi" w:cstheme="majorBidi"/>
      <w:color w:val="3476B1" w:themeColor="accent2" w:themeShade="BF"/>
      <w:sz w:val="32"/>
      <w:szCs w:val="32"/>
    </w:rPr>
  </w:style>
  <w:style w:type="paragraph" w:styleId="Heading4">
    <w:name w:val="heading 4"/>
    <w:basedOn w:val="Normal"/>
    <w:next w:val="Normal"/>
    <w:link w:val="Heading4Char"/>
    <w:uiPriority w:val="9"/>
    <w:semiHidden/>
    <w:unhideWhenUsed/>
    <w:qFormat/>
    <w:rsid w:val="0087573A"/>
    <w:pPr>
      <w:keepNext/>
      <w:keepLines/>
      <w:spacing w:before="80" w:after="0" w:line="240" w:lineRule="auto"/>
      <w:outlineLvl w:val="3"/>
    </w:pPr>
    <w:rPr>
      <w:rFonts w:asciiTheme="majorHAnsi" w:eastAsiaTheme="majorEastAsia" w:hAnsiTheme="majorHAnsi" w:cstheme="majorBidi"/>
      <w:i/>
      <w:iCs/>
      <w:color w:val="234F77" w:themeColor="accent2" w:themeShade="80"/>
      <w:sz w:val="28"/>
      <w:szCs w:val="28"/>
    </w:rPr>
  </w:style>
  <w:style w:type="paragraph" w:styleId="Heading5">
    <w:name w:val="heading 5"/>
    <w:basedOn w:val="Normal"/>
    <w:next w:val="Normal"/>
    <w:link w:val="Heading5Char"/>
    <w:uiPriority w:val="9"/>
    <w:semiHidden/>
    <w:unhideWhenUsed/>
    <w:qFormat/>
    <w:rsid w:val="0087573A"/>
    <w:pPr>
      <w:keepNext/>
      <w:keepLines/>
      <w:spacing w:before="80" w:after="0" w:line="240" w:lineRule="auto"/>
      <w:outlineLvl w:val="4"/>
    </w:pPr>
    <w:rPr>
      <w:rFonts w:asciiTheme="majorHAnsi" w:eastAsiaTheme="majorEastAsia" w:hAnsiTheme="majorHAnsi" w:cstheme="majorBidi"/>
      <w:color w:val="3476B1" w:themeColor="accent2" w:themeShade="BF"/>
      <w:sz w:val="24"/>
      <w:szCs w:val="24"/>
    </w:rPr>
  </w:style>
  <w:style w:type="paragraph" w:styleId="Heading6">
    <w:name w:val="heading 6"/>
    <w:basedOn w:val="Normal"/>
    <w:next w:val="Normal"/>
    <w:link w:val="Heading6Char"/>
    <w:uiPriority w:val="9"/>
    <w:semiHidden/>
    <w:unhideWhenUsed/>
    <w:qFormat/>
    <w:rsid w:val="0087573A"/>
    <w:pPr>
      <w:keepNext/>
      <w:keepLines/>
      <w:spacing w:before="80" w:after="0" w:line="240" w:lineRule="auto"/>
      <w:outlineLvl w:val="5"/>
    </w:pPr>
    <w:rPr>
      <w:rFonts w:asciiTheme="majorHAnsi" w:eastAsiaTheme="majorEastAsia" w:hAnsiTheme="majorHAnsi" w:cstheme="majorBidi"/>
      <w:i/>
      <w:iCs/>
      <w:color w:val="234F77" w:themeColor="accent2" w:themeShade="80"/>
      <w:sz w:val="24"/>
      <w:szCs w:val="24"/>
    </w:rPr>
  </w:style>
  <w:style w:type="paragraph" w:styleId="Heading7">
    <w:name w:val="heading 7"/>
    <w:basedOn w:val="Normal"/>
    <w:next w:val="Normal"/>
    <w:link w:val="Heading7Char"/>
    <w:uiPriority w:val="9"/>
    <w:semiHidden/>
    <w:unhideWhenUsed/>
    <w:qFormat/>
    <w:rsid w:val="0087573A"/>
    <w:pPr>
      <w:keepNext/>
      <w:keepLines/>
      <w:spacing w:before="80" w:after="0" w:line="240" w:lineRule="auto"/>
      <w:outlineLvl w:val="6"/>
    </w:pPr>
    <w:rPr>
      <w:rFonts w:asciiTheme="majorHAnsi" w:eastAsiaTheme="majorEastAsia" w:hAnsiTheme="majorHAnsi" w:cstheme="majorBidi"/>
      <w:b/>
      <w:bCs/>
      <w:color w:val="234F77" w:themeColor="accent2" w:themeShade="80"/>
      <w:sz w:val="22"/>
      <w:szCs w:val="22"/>
    </w:rPr>
  </w:style>
  <w:style w:type="paragraph" w:styleId="Heading8">
    <w:name w:val="heading 8"/>
    <w:basedOn w:val="Normal"/>
    <w:next w:val="Normal"/>
    <w:link w:val="Heading8Char"/>
    <w:uiPriority w:val="9"/>
    <w:semiHidden/>
    <w:unhideWhenUsed/>
    <w:qFormat/>
    <w:rsid w:val="0087573A"/>
    <w:pPr>
      <w:keepNext/>
      <w:keepLines/>
      <w:spacing w:before="80" w:after="0" w:line="240" w:lineRule="auto"/>
      <w:outlineLvl w:val="7"/>
    </w:pPr>
    <w:rPr>
      <w:rFonts w:asciiTheme="majorHAnsi" w:eastAsiaTheme="majorEastAsia" w:hAnsiTheme="majorHAnsi" w:cstheme="majorBidi"/>
      <w:color w:val="234F77" w:themeColor="accent2" w:themeShade="80"/>
      <w:sz w:val="22"/>
      <w:szCs w:val="22"/>
    </w:rPr>
  </w:style>
  <w:style w:type="paragraph" w:styleId="Heading9">
    <w:name w:val="heading 9"/>
    <w:basedOn w:val="Normal"/>
    <w:next w:val="Normal"/>
    <w:link w:val="Heading9Char"/>
    <w:uiPriority w:val="9"/>
    <w:semiHidden/>
    <w:unhideWhenUsed/>
    <w:qFormat/>
    <w:rsid w:val="0087573A"/>
    <w:pPr>
      <w:keepNext/>
      <w:keepLines/>
      <w:spacing w:before="80" w:after="0" w:line="240" w:lineRule="auto"/>
      <w:outlineLvl w:val="8"/>
    </w:pPr>
    <w:rPr>
      <w:rFonts w:asciiTheme="majorHAnsi" w:eastAsiaTheme="majorEastAsia" w:hAnsiTheme="majorHAnsi" w:cstheme="majorBidi"/>
      <w:i/>
      <w:iCs/>
      <w:color w:val="234F77" w:themeColor="accent2" w:themeShade="8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573A"/>
    <w:rPr>
      <w:rFonts w:asciiTheme="majorHAnsi" w:eastAsiaTheme="majorEastAsia" w:hAnsiTheme="majorHAnsi" w:cstheme="majorBidi"/>
      <w:color w:val="262626" w:themeColor="text1" w:themeTint="D9"/>
      <w:sz w:val="40"/>
      <w:szCs w:val="40"/>
    </w:rPr>
  </w:style>
  <w:style w:type="character" w:customStyle="1" w:styleId="Heading2Char">
    <w:name w:val="Heading 2 Char"/>
    <w:basedOn w:val="DefaultParagraphFont"/>
    <w:link w:val="Heading2"/>
    <w:uiPriority w:val="9"/>
    <w:rsid w:val="0087573A"/>
    <w:rPr>
      <w:rFonts w:asciiTheme="majorHAnsi" w:eastAsiaTheme="majorEastAsia" w:hAnsiTheme="majorHAnsi" w:cstheme="majorBidi"/>
      <w:color w:val="629DD1" w:themeColor="accent2"/>
      <w:sz w:val="36"/>
      <w:szCs w:val="36"/>
    </w:rPr>
  </w:style>
  <w:style w:type="character" w:customStyle="1" w:styleId="Heading3Char">
    <w:name w:val="Heading 3 Char"/>
    <w:basedOn w:val="DefaultParagraphFont"/>
    <w:link w:val="Heading3"/>
    <w:uiPriority w:val="9"/>
    <w:semiHidden/>
    <w:rsid w:val="0087573A"/>
    <w:rPr>
      <w:rFonts w:asciiTheme="majorHAnsi" w:eastAsiaTheme="majorEastAsia" w:hAnsiTheme="majorHAnsi" w:cstheme="majorBidi"/>
      <w:color w:val="3476B1" w:themeColor="accent2" w:themeShade="BF"/>
      <w:sz w:val="32"/>
      <w:szCs w:val="32"/>
    </w:rPr>
  </w:style>
  <w:style w:type="character" w:customStyle="1" w:styleId="Heading4Char">
    <w:name w:val="Heading 4 Char"/>
    <w:basedOn w:val="DefaultParagraphFont"/>
    <w:link w:val="Heading4"/>
    <w:uiPriority w:val="9"/>
    <w:semiHidden/>
    <w:rsid w:val="0087573A"/>
    <w:rPr>
      <w:rFonts w:asciiTheme="majorHAnsi" w:eastAsiaTheme="majorEastAsia" w:hAnsiTheme="majorHAnsi" w:cstheme="majorBidi"/>
      <w:i/>
      <w:iCs/>
      <w:color w:val="234F77" w:themeColor="accent2" w:themeShade="80"/>
      <w:sz w:val="28"/>
      <w:szCs w:val="28"/>
    </w:rPr>
  </w:style>
  <w:style w:type="character" w:customStyle="1" w:styleId="Heading5Char">
    <w:name w:val="Heading 5 Char"/>
    <w:basedOn w:val="DefaultParagraphFont"/>
    <w:link w:val="Heading5"/>
    <w:uiPriority w:val="9"/>
    <w:semiHidden/>
    <w:rsid w:val="0087573A"/>
    <w:rPr>
      <w:rFonts w:asciiTheme="majorHAnsi" w:eastAsiaTheme="majorEastAsia" w:hAnsiTheme="majorHAnsi" w:cstheme="majorBidi"/>
      <w:color w:val="3476B1" w:themeColor="accent2" w:themeShade="BF"/>
      <w:sz w:val="24"/>
      <w:szCs w:val="24"/>
    </w:rPr>
  </w:style>
  <w:style w:type="character" w:customStyle="1" w:styleId="Heading6Char">
    <w:name w:val="Heading 6 Char"/>
    <w:basedOn w:val="DefaultParagraphFont"/>
    <w:link w:val="Heading6"/>
    <w:uiPriority w:val="9"/>
    <w:semiHidden/>
    <w:rsid w:val="0087573A"/>
    <w:rPr>
      <w:rFonts w:asciiTheme="majorHAnsi" w:eastAsiaTheme="majorEastAsia" w:hAnsiTheme="majorHAnsi" w:cstheme="majorBidi"/>
      <w:i/>
      <w:iCs/>
      <w:color w:val="234F77" w:themeColor="accent2" w:themeShade="80"/>
      <w:sz w:val="24"/>
      <w:szCs w:val="24"/>
    </w:rPr>
  </w:style>
  <w:style w:type="character" w:customStyle="1" w:styleId="Heading7Char">
    <w:name w:val="Heading 7 Char"/>
    <w:basedOn w:val="DefaultParagraphFont"/>
    <w:link w:val="Heading7"/>
    <w:uiPriority w:val="9"/>
    <w:semiHidden/>
    <w:rsid w:val="0087573A"/>
    <w:rPr>
      <w:rFonts w:asciiTheme="majorHAnsi" w:eastAsiaTheme="majorEastAsia" w:hAnsiTheme="majorHAnsi" w:cstheme="majorBidi"/>
      <w:b/>
      <w:bCs/>
      <w:color w:val="234F77" w:themeColor="accent2" w:themeShade="80"/>
      <w:sz w:val="22"/>
      <w:szCs w:val="22"/>
    </w:rPr>
  </w:style>
  <w:style w:type="character" w:customStyle="1" w:styleId="Heading8Char">
    <w:name w:val="Heading 8 Char"/>
    <w:basedOn w:val="DefaultParagraphFont"/>
    <w:link w:val="Heading8"/>
    <w:uiPriority w:val="9"/>
    <w:semiHidden/>
    <w:rsid w:val="0087573A"/>
    <w:rPr>
      <w:rFonts w:asciiTheme="majorHAnsi" w:eastAsiaTheme="majorEastAsia" w:hAnsiTheme="majorHAnsi" w:cstheme="majorBidi"/>
      <w:color w:val="234F77" w:themeColor="accent2" w:themeShade="80"/>
      <w:sz w:val="22"/>
      <w:szCs w:val="22"/>
    </w:rPr>
  </w:style>
  <w:style w:type="character" w:customStyle="1" w:styleId="Heading9Char">
    <w:name w:val="Heading 9 Char"/>
    <w:basedOn w:val="DefaultParagraphFont"/>
    <w:link w:val="Heading9"/>
    <w:uiPriority w:val="9"/>
    <w:semiHidden/>
    <w:rsid w:val="0087573A"/>
    <w:rPr>
      <w:rFonts w:asciiTheme="majorHAnsi" w:eastAsiaTheme="majorEastAsia" w:hAnsiTheme="majorHAnsi" w:cstheme="majorBidi"/>
      <w:i/>
      <w:iCs/>
      <w:color w:val="234F77" w:themeColor="accent2" w:themeShade="80"/>
      <w:sz w:val="22"/>
      <w:szCs w:val="22"/>
    </w:rPr>
  </w:style>
  <w:style w:type="paragraph" w:styleId="Caption">
    <w:name w:val="caption"/>
    <w:basedOn w:val="Normal"/>
    <w:next w:val="Normal"/>
    <w:uiPriority w:val="35"/>
    <w:semiHidden/>
    <w:unhideWhenUsed/>
    <w:qFormat/>
    <w:rsid w:val="0087573A"/>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87573A"/>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TitleChar">
    <w:name w:val="Title Char"/>
    <w:basedOn w:val="DefaultParagraphFont"/>
    <w:link w:val="Title"/>
    <w:uiPriority w:val="10"/>
    <w:rsid w:val="0087573A"/>
    <w:rPr>
      <w:rFonts w:asciiTheme="majorHAnsi" w:eastAsiaTheme="majorEastAsia" w:hAnsiTheme="majorHAnsi" w:cstheme="majorBidi"/>
      <w:color w:val="262626" w:themeColor="text1" w:themeTint="D9"/>
      <w:sz w:val="96"/>
      <w:szCs w:val="96"/>
    </w:rPr>
  </w:style>
  <w:style w:type="paragraph" w:styleId="Subtitle">
    <w:name w:val="Subtitle"/>
    <w:basedOn w:val="Normal"/>
    <w:next w:val="Normal"/>
    <w:link w:val="SubtitleChar"/>
    <w:uiPriority w:val="11"/>
    <w:qFormat/>
    <w:rsid w:val="0087573A"/>
    <w:pPr>
      <w:numPr>
        <w:ilvl w:val="1"/>
      </w:numPr>
      <w:spacing w:after="240"/>
    </w:pPr>
    <w:rPr>
      <w:caps/>
      <w:color w:val="404040" w:themeColor="text1" w:themeTint="BF"/>
      <w:spacing w:val="20"/>
      <w:sz w:val="28"/>
      <w:szCs w:val="28"/>
    </w:rPr>
  </w:style>
  <w:style w:type="character" w:customStyle="1" w:styleId="SubtitleChar">
    <w:name w:val="Subtitle Char"/>
    <w:basedOn w:val="DefaultParagraphFont"/>
    <w:link w:val="Subtitle"/>
    <w:uiPriority w:val="11"/>
    <w:rsid w:val="0087573A"/>
    <w:rPr>
      <w:caps/>
      <w:color w:val="404040" w:themeColor="text1" w:themeTint="BF"/>
      <w:spacing w:val="20"/>
      <w:sz w:val="28"/>
      <w:szCs w:val="28"/>
    </w:rPr>
  </w:style>
  <w:style w:type="character" w:styleId="Strong">
    <w:name w:val="Strong"/>
    <w:basedOn w:val="DefaultParagraphFont"/>
    <w:uiPriority w:val="22"/>
    <w:qFormat/>
    <w:rsid w:val="0087573A"/>
    <w:rPr>
      <w:b/>
      <w:bCs/>
    </w:rPr>
  </w:style>
  <w:style w:type="character" w:styleId="Emphasis">
    <w:name w:val="Emphasis"/>
    <w:basedOn w:val="DefaultParagraphFont"/>
    <w:uiPriority w:val="20"/>
    <w:qFormat/>
    <w:rsid w:val="0087573A"/>
    <w:rPr>
      <w:i/>
      <w:iCs/>
      <w:color w:val="000000" w:themeColor="text1"/>
    </w:rPr>
  </w:style>
  <w:style w:type="paragraph" w:styleId="NoSpacing">
    <w:name w:val="No Spacing"/>
    <w:link w:val="NoSpacingChar"/>
    <w:uiPriority w:val="1"/>
    <w:qFormat/>
    <w:rsid w:val="0087573A"/>
    <w:pPr>
      <w:spacing w:after="0" w:line="240" w:lineRule="auto"/>
    </w:pPr>
  </w:style>
  <w:style w:type="paragraph" w:styleId="Quote">
    <w:name w:val="Quote"/>
    <w:basedOn w:val="Normal"/>
    <w:next w:val="Normal"/>
    <w:link w:val="QuoteChar"/>
    <w:uiPriority w:val="29"/>
    <w:qFormat/>
    <w:rsid w:val="0087573A"/>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QuoteChar">
    <w:name w:val="Quote Char"/>
    <w:basedOn w:val="DefaultParagraphFont"/>
    <w:link w:val="Quote"/>
    <w:uiPriority w:val="29"/>
    <w:rsid w:val="0087573A"/>
    <w:rPr>
      <w:rFonts w:asciiTheme="majorHAnsi" w:eastAsiaTheme="majorEastAsia" w:hAnsiTheme="majorHAnsi" w:cstheme="majorBidi"/>
      <w:color w:val="000000" w:themeColor="text1"/>
      <w:sz w:val="24"/>
      <w:szCs w:val="24"/>
    </w:rPr>
  </w:style>
  <w:style w:type="paragraph" w:styleId="IntenseQuote">
    <w:name w:val="Intense Quote"/>
    <w:basedOn w:val="Normal"/>
    <w:next w:val="Normal"/>
    <w:link w:val="IntenseQuoteChar"/>
    <w:uiPriority w:val="30"/>
    <w:qFormat/>
    <w:rsid w:val="0087573A"/>
    <w:pPr>
      <w:pBdr>
        <w:top w:val="single" w:sz="24" w:space="4" w:color="629DD1"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IntenseQuoteChar">
    <w:name w:val="Intense Quote Char"/>
    <w:basedOn w:val="DefaultParagraphFont"/>
    <w:link w:val="IntenseQuote"/>
    <w:uiPriority w:val="30"/>
    <w:rsid w:val="0087573A"/>
    <w:rPr>
      <w:rFonts w:asciiTheme="majorHAnsi" w:eastAsiaTheme="majorEastAsia" w:hAnsiTheme="majorHAnsi" w:cstheme="majorBidi"/>
      <w:sz w:val="24"/>
      <w:szCs w:val="24"/>
    </w:rPr>
  </w:style>
  <w:style w:type="character" w:styleId="SubtleEmphasis">
    <w:name w:val="Subtle Emphasis"/>
    <w:basedOn w:val="DefaultParagraphFont"/>
    <w:uiPriority w:val="19"/>
    <w:qFormat/>
    <w:rsid w:val="0087573A"/>
    <w:rPr>
      <w:i/>
      <w:iCs/>
      <w:color w:val="595959" w:themeColor="text1" w:themeTint="A6"/>
    </w:rPr>
  </w:style>
  <w:style w:type="character" w:styleId="IntenseEmphasis">
    <w:name w:val="Intense Emphasis"/>
    <w:basedOn w:val="DefaultParagraphFont"/>
    <w:uiPriority w:val="21"/>
    <w:qFormat/>
    <w:rsid w:val="0087573A"/>
    <w:rPr>
      <w:b/>
      <w:bCs/>
      <w:i/>
      <w:iCs/>
      <w:caps w:val="0"/>
      <w:smallCaps w:val="0"/>
      <w:strike w:val="0"/>
      <w:dstrike w:val="0"/>
      <w:color w:val="629DD1" w:themeColor="accent2"/>
    </w:rPr>
  </w:style>
  <w:style w:type="character" w:styleId="SubtleReference">
    <w:name w:val="Subtle Reference"/>
    <w:basedOn w:val="DefaultParagraphFont"/>
    <w:uiPriority w:val="31"/>
    <w:qFormat/>
    <w:rsid w:val="0087573A"/>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87573A"/>
    <w:rPr>
      <w:b/>
      <w:bCs/>
      <w:caps w:val="0"/>
      <w:smallCaps/>
      <w:color w:val="auto"/>
      <w:spacing w:val="0"/>
      <w:u w:val="single"/>
    </w:rPr>
  </w:style>
  <w:style w:type="character" w:styleId="BookTitle">
    <w:name w:val="Book Title"/>
    <w:basedOn w:val="DefaultParagraphFont"/>
    <w:uiPriority w:val="33"/>
    <w:qFormat/>
    <w:rsid w:val="0087573A"/>
    <w:rPr>
      <w:b/>
      <w:bCs/>
      <w:caps w:val="0"/>
      <w:smallCaps/>
      <w:spacing w:val="0"/>
    </w:rPr>
  </w:style>
  <w:style w:type="paragraph" w:styleId="TOCHeading">
    <w:name w:val="TOC Heading"/>
    <w:basedOn w:val="Heading1"/>
    <w:next w:val="Normal"/>
    <w:uiPriority w:val="39"/>
    <w:semiHidden/>
    <w:unhideWhenUsed/>
    <w:qFormat/>
    <w:rsid w:val="0087573A"/>
    <w:pPr>
      <w:outlineLvl w:val="9"/>
    </w:pPr>
  </w:style>
  <w:style w:type="paragraph" w:styleId="Header">
    <w:name w:val="header"/>
    <w:basedOn w:val="Normal"/>
    <w:link w:val="HeaderChar"/>
    <w:uiPriority w:val="99"/>
    <w:unhideWhenUsed/>
    <w:rsid w:val="008757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573A"/>
  </w:style>
  <w:style w:type="paragraph" w:styleId="Footer">
    <w:name w:val="footer"/>
    <w:basedOn w:val="Normal"/>
    <w:link w:val="FooterChar"/>
    <w:uiPriority w:val="99"/>
    <w:unhideWhenUsed/>
    <w:rsid w:val="008757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573A"/>
  </w:style>
  <w:style w:type="character" w:customStyle="1" w:styleId="NoSpacingChar">
    <w:name w:val="No Spacing Char"/>
    <w:basedOn w:val="DefaultParagraphFont"/>
    <w:link w:val="NoSpacing"/>
    <w:uiPriority w:val="1"/>
    <w:rsid w:val="0087573A"/>
  </w:style>
  <w:style w:type="paragraph" w:styleId="ListParagraph">
    <w:name w:val="List Paragraph"/>
    <w:basedOn w:val="Normal"/>
    <w:uiPriority w:val="34"/>
    <w:qFormat/>
    <w:rsid w:val="00664158"/>
    <w:pPr>
      <w:ind w:left="720"/>
      <w:contextualSpacing/>
    </w:pPr>
  </w:style>
  <w:style w:type="paragraph" w:styleId="FootnoteText">
    <w:name w:val="footnote text"/>
    <w:basedOn w:val="Normal"/>
    <w:link w:val="FootnoteTextChar"/>
    <w:uiPriority w:val="99"/>
    <w:semiHidden/>
    <w:unhideWhenUsed/>
    <w:rsid w:val="0010211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0211F"/>
    <w:rPr>
      <w:sz w:val="20"/>
      <w:szCs w:val="20"/>
    </w:rPr>
  </w:style>
  <w:style w:type="character" w:styleId="FootnoteReference">
    <w:name w:val="footnote reference"/>
    <w:basedOn w:val="DefaultParagraphFont"/>
    <w:uiPriority w:val="99"/>
    <w:semiHidden/>
    <w:unhideWhenUsed/>
    <w:rsid w:val="0010211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6ABA791457945DB802312BBD5CF8928"/>
        <w:category>
          <w:name w:val="General"/>
          <w:gallery w:val="placeholder"/>
        </w:category>
        <w:types>
          <w:type w:val="bbPlcHdr"/>
        </w:types>
        <w:behaviors>
          <w:behavior w:val="content"/>
        </w:behaviors>
        <w:guid w:val="{5F31845C-C409-4E3C-B071-1D44142828B1}"/>
      </w:docPartPr>
      <w:docPartBody>
        <w:p w:rsidR="008C41A3" w:rsidRDefault="008B4271" w:rsidP="008B4271">
          <w:pPr>
            <w:pStyle w:val="56ABA791457945DB802312BBD5CF8928"/>
          </w:pPr>
          <w:r>
            <w:rPr>
              <w:rFonts w:asciiTheme="majorHAnsi" w:eastAsiaTheme="majorEastAsia" w:hAnsiTheme="majorHAnsi" w:cstheme="majorBidi"/>
              <w:caps/>
              <w:color w:val="5B9BD5" w:themeColor="accent1"/>
              <w:sz w:val="80"/>
              <w:szCs w:val="80"/>
            </w:rPr>
            <w:t>[Document title]</w:t>
          </w:r>
        </w:p>
      </w:docPartBody>
    </w:docPart>
    <w:docPart>
      <w:docPartPr>
        <w:name w:val="3BDEBBE7C7294928857468B7DC02ED6A"/>
        <w:category>
          <w:name w:val="General"/>
          <w:gallery w:val="placeholder"/>
        </w:category>
        <w:types>
          <w:type w:val="bbPlcHdr"/>
        </w:types>
        <w:behaviors>
          <w:behavior w:val="content"/>
        </w:behaviors>
        <w:guid w:val="{64A80643-EA4C-44E2-BCD7-294AE0B44971}"/>
      </w:docPartPr>
      <w:docPartBody>
        <w:p w:rsidR="008C41A3" w:rsidRDefault="008B4271" w:rsidP="008B4271">
          <w:pPr>
            <w:pStyle w:val="3BDEBBE7C7294928857468B7DC02ED6A"/>
          </w:pPr>
          <w:r>
            <w:rPr>
              <w:color w:val="5B9BD5"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4271"/>
    <w:rsid w:val="008B4271"/>
    <w:rsid w:val="008C41A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ABA791457945DB802312BBD5CF8928">
    <w:name w:val="56ABA791457945DB802312BBD5CF8928"/>
    <w:rsid w:val="008B4271"/>
  </w:style>
  <w:style w:type="paragraph" w:customStyle="1" w:styleId="3BDEBBE7C7294928857468B7DC02ED6A">
    <w:name w:val="3BDEBBE7C7294928857468B7DC02ED6A"/>
    <w:rsid w:val="008B427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Parallax">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Times New Roman-Arial">
      <a:maj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panose="020B0604020202020204"/>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rallax">
      <a:fillStyleLst>
        <a:solidFill>
          <a:schemeClr val="phClr"/>
        </a:solidFill>
        <a:gradFill rotWithShape="1">
          <a:gsLst>
            <a:gs pos="0">
              <a:schemeClr val="phClr">
                <a:tint val="60000"/>
                <a:lumMod val="104000"/>
              </a:schemeClr>
            </a:gs>
            <a:gs pos="100000">
              <a:schemeClr val="phClr">
                <a:tint val="84000"/>
              </a:schemeClr>
            </a:gs>
          </a:gsLst>
          <a:lin ang="5400000" scaled="0"/>
        </a:gradFill>
        <a:gradFill rotWithShape="1">
          <a:gsLst>
            <a:gs pos="0">
              <a:schemeClr val="phClr">
                <a:tint val="96000"/>
                <a:lumMod val="102000"/>
              </a:schemeClr>
            </a:gs>
            <a:gs pos="100000">
              <a:schemeClr val="phClr">
                <a:shade val="88000"/>
                <a:lumMod val="94000"/>
              </a:schemeClr>
            </a:gs>
          </a:gsLst>
          <a:path path="circle">
            <a:fillToRect l="50000" t="100000" r="100000" b="50000"/>
          </a:path>
        </a:gradFill>
      </a:fillStyleLst>
      <a:lnStyleLst>
        <a:ln w="9525" cap="rnd" cmpd="sng" algn="ctr">
          <a:solidFill>
            <a:schemeClr val="phClr">
              <a:tint val="60000"/>
            </a:schemeClr>
          </a:solidFill>
          <a:prstDash val="solid"/>
        </a:ln>
        <a:ln w="15875" cap="rnd" cmpd="sng" algn="ctr">
          <a:solidFill>
            <a:schemeClr val="phClr"/>
          </a:solidFill>
          <a:prstDash val="solid"/>
        </a:ln>
        <a:ln w="22225" cap="rnd" cmpd="sng" algn="ctr">
          <a:solidFill>
            <a:schemeClr val="phClr"/>
          </a:solidFill>
          <a:prstDash val="solid"/>
        </a:ln>
      </a:lnStyleLst>
      <a:effectStyleLst>
        <a:effectStyle>
          <a:effectLst/>
        </a:effectStyle>
        <a:effectStyle>
          <a:effectLst>
            <a:reflection blurRad="12700" stA="26000" endPos="32000" dist="12700" dir="5400000" sy="-100000" rotWithShape="0"/>
          </a:effectLst>
        </a:effectStyle>
        <a:effectStyle>
          <a:effectLst>
            <a:outerShdw blurRad="38100" dist="25400" dir="5400000" rotWithShape="0">
              <a:srgbClr val="000000">
                <a:alpha val="64000"/>
              </a:srgbClr>
            </a:outerShdw>
          </a:effectLst>
          <a:scene3d>
            <a:camera prst="orthographicFront">
              <a:rot lat="0" lon="0" rev="0"/>
            </a:camera>
            <a:lightRig rig="threePt" dir="tl">
              <a:rot lat="0" lon="0" rev="1200000"/>
            </a:lightRig>
          </a:scene3d>
          <a:sp3d>
            <a:bevelT w="25400" h="12700"/>
          </a:sp3d>
        </a:effectStyle>
      </a:effectStyleLst>
      <a:bgFillStyleLst>
        <a:solidFill>
          <a:schemeClr val="phClr"/>
        </a:solidFill>
        <a:gradFill rotWithShape="1">
          <a:gsLst>
            <a:gs pos="0">
              <a:schemeClr val="phClr">
                <a:tint val="90000"/>
                <a:lumMod val="110000"/>
              </a:schemeClr>
            </a:gs>
            <a:gs pos="100000">
              <a:schemeClr val="phClr">
                <a:shade val="64000"/>
                <a:lumMod val="98000"/>
              </a:schemeClr>
            </a:gs>
          </a:gsLst>
          <a:lin ang="5400000" scaled="0"/>
        </a:gradFill>
        <a:blipFill rotWithShape="1">
          <a:blip xmlns:r="http://schemas.openxmlformats.org/officeDocument/2006/relationships" r:embed="rId1">
            <a:duotone>
              <a:schemeClr val="phClr">
                <a:shade val="76000"/>
                <a:satMod val="180000"/>
              </a:schemeClr>
              <a:schemeClr val="phClr">
                <a:tint val="80000"/>
                <a:satMod val="120000"/>
                <a:lumMod val="180000"/>
              </a:schemeClr>
            </a:duotone>
          </a:blip>
          <a:stretch/>
        </a:blipFill>
      </a:bgFillStyleLst>
    </a:fmtScheme>
  </a:themeElements>
  <a:objectDefaults/>
  <a:extraClrSchemeLst/>
  <a:extLst>
    <a:ext uri="{05A4C25C-085E-4340-85A3-A5531E510DB2}">
      <thm15:themeFamily xmlns:thm15="http://schemas.microsoft.com/office/thememl/2012/main" name="Parallax" id="{3388167B-A2EB-4685-9635-1831D9AEF8C4}" vid="{4F7A876A-7598-49CA-AFC8-8EDA2551E4A7}"/>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2023-07-25T00:00:00</PublishDate>
  <Abstract/>
  <CompanyAddress>From ~ UPES SCHOOL OF LAW, DEHRADUN.</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9FD288F-D9FF-4026-9710-B95F0C723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2555</Words>
  <Characters>14565</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Legislative Evolution of Insolvency and Bankruptcy in India</vt:lpstr>
    </vt:vector>
  </TitlesOfParts>
  <Company>diya kulkarni</Company>
  <LinksUpToDate>false</LinksUpToDate>
  <CharactersWithSpaces>17086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Legislative Evolution of Insolvency and Bankruptcy in India</dc:title>
  <dc:subject>Research paper</dc:subject>
  <dc:creator>Microsoft account</dc:creator>
  <cp:keywords/>
  <dc:description/>
  <cp:lastModifiedBy>Microsoft account</cp:lastModifiedBy>
  <cp:revision>2</cp:revision>
  <dcterms:created xsi:type="dcterms:W3CDTF">2023-07-25T13:10:00Z</dcterms:created>
  <dcterms:modified xsi:type="dcterms:W3CDTF">2023-07-25T13:10:00Z</dcterms:modified>
</cp:coreProperties>
</file>