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625DFD" w14:textId="77777777" w:rsidR="00F03C91" w:rsidRDefault="00F03C91" w:rsidP="005B103C"/>
    <w:p w14:paraId="5678BC4C" w14:textId="77777777" w:rsidR="00775587" w:rsidRDefault="00775587">
      <w:pPr>
        <w:rPr>
          <w:b/>
          <w:bCs/>
          <w:i/>
          <w:iCs/>
          <w:sz w:val="32"/>
          <w:szCs w:val="32"/>
          <w:u w:val="single"/>
        </w:rPr>
      </w:pPr>
      <w:r>
        <w:rPr>
          <w:b/>
          <w:bCs/>
          <w:sz w:val="32"/>
          <w:szCs w:val="32"/>
        </w:rPr>
        <w:t xml:space="preserve">     </w:t>
      </w:r>
      <w:r w:rsidR="00F03C91" w:rsidRPr="00775587">
        <w:rPr>
          <w:b/>
          <w:bCs/>
          <w:sz w:val="32"/>
          <w:szCs w:val="32"/>
        </w:rPr>
        <w:t>Topic:</w:t>
      </w:r>
      <w:r w:rsidRPr="00775587">
        <w:rPr>
          <w:b/>
          <w:bCs/>
          <w:sz w:val="32"/>
          <w:szCs w:val="32"/>
        </w:rPr>
        <w:t xml:space="preserve"> </w:t>
      </w:r>
      <w:r w:rsidRPr="00775587">
        <w:rPr>
          <w:b/>
          <w:bCs/>
          <w:i/>
          <w:iCs/>
          <w:sz w:val="32"/>
          <w:szCs w:val="32"/>
          <w:u w:val="single"/>
        </w:rPr>
        <w:t>Sedition Law- Violation of Right to Free Expression</w:t>
      </w:r>
    </w:p>
    <w:p w14:paraId="0F49A4FC" w14:textId="77777777" w:rsidR="00983E3F" w:rsidRDefault="00983E3F">
      <w:pPr>
        <w:rPr>
          <w:b/>
          <w:bCs/>
          <w:i/>
          <w:iCs/>
          <w:sz w:val="32"/>
          <w:szCs w:val="32"/>
          <w:u w:val="single"/>
        </w:rPr>
      </w:pPr>
    </w:p>
    <w:p w14:paraId="16C1B9EA" w14:textId="0583E5BE" w:rsidR="00775587" w:rsidRDefault="00983E3F">
      <w:pPr>
        <w:rPr>
          <w:sz w:val="32"/>
          <w:szCs w:val="32"/>
        </w:rPr>
      </w:pPr>
      <w:r>
        <w:rPr>
          <w:sz w:val="32"/>
          <w:szCs w:val="32"/>
        </w:rPr>
        <w:t xml:space="preserve">                            </w:t>
      </w:r>
      <w:r w:rsidR="00775587">
        <w:rPr>
          <w:sz w:val="32"/>
          <w:szCs w:val="32"/>
        </w:rPr>
        <w:t xml:space="preserve">Name- </w:t>
      </w:r>
      <w:r w:rsidR="00775587" w:rsidRPr="00F872D2">
        <w:rPr>
          <w:b/>
          <w:bCs/>
          <w:i/>
          <w:iCs/>
          <w:sz w:val="32"/>
          <w:szCs w:val="32"/>
        </w:rPr>
        <w:t>Tushar Kumar</w:t>
      </w:r>
    </w:p>
    <w:p w14:paraId="4C9464F6" w14:textId="4E7B90E7" w:rsidR="00AE4922" w:rsidRDefault="00983E3F">
      <w:pPr>
        <w:rPr>
          <w:sz w:val="32"/>
          <w:szCs w:val="32"/>
        </w:rPr>
      </w:pPr>
      <w:r>
        <w:rPr>
          <w:sz w:val="32"/>
          <w:szCs w:val="32"/>
        </w:rPr>
        <w:t xml:space="preserve">                         </w:t>
      </w:r>
      <w:r w:rsidR="00AE4922">
        <w:rPr>
          <w:sz w:val="32"/>
          <w:szCs w:val="32"/>
        </w:rPr>
        <w:t>Contact No.- 9149205761</w:t>
      </w:r>
    </w:p>
    <w:p w14:paraId="2015151B" w14:textId="13D1A7A8" w:rsidR="00976337" w:rsidRDefault="00983E3F">
      <w:pPr>
        <w:rPr>
          <w:sz w:val="32"/>
          <w:szCs w:val="32"/>
        </w:rPr>
      </w:pPr>
      <w:r>
        <w:rPr>
          <w:sz w:val="32"/>
          <w:szCs w:val="32"/>
        </w:rPr>
        <w:t xml:space="preserve">                   </w:t>
      </w:r>
      <w:r w:rsidR="00AE4922">
        <w:rPr>
          <w:sz w:val="32"/>
          <w:szCs w:val="32"/>
        </w:rPr>
        <w:t xml:space="preserve">Email- </w:t>
      </w:r>
      <w:hyperlink r:id="rId8" w:history="1">
        <w:r w:rsidR="00976337" w:rsidRPr="00D65D91">
          <w:rPr>
            <w:rStyle w:val="Hyperlink"/>
            <w:sz w:val="32"/>
            <w:szCs w:val="32"/>
          </w:rPr>
          <w:t>tush.aar7263@gmail.com</w:t>
        </w:r>
      </w:hyperlink>
    </w:p>
    <w:p w14:paraId="09891195" w14:textId="45EE0E73" w:rsidR="00D56FA8" w:rsidRDefault="00983E3F">
      <w:pPr>
        <w:rPr>
          <w:sz w:val="32"/>
          <w:szCs w:val="32"/>
        </w:rPr>
      </w:pPr>
      <w:r>
        <w:rPr>
          <w:sz w:val="32"/>
          <w:szCs w:val="32"/>
        </w:rPr>
        <w:t xml:space="preserve">                           </w:t>
      </w:r>
      <w:r w:rsidR="001E768D">
        <w:rPr>
          <w:sz w:val="32"/>
          <w:szCs w:val="32"/>
        </w:rPr>
        <w:t>Intern at Juris Centre</w:t>
      </w:r>
    </w:p>
    <w:p w14:paraId="560D40B1" w14:textId="6C73EAE1" w:rsidR="00F872D2" w:rsidRPr="00F872D2" w:rsidRDefault="00F872D2" w:rsidP="00F872D2">
      <w:pPr>
        <w:rPr>
          <w:sz w:val="32"/>
          <w:szCs w:val="32"/>
        </w:rPr>
      </w:pPr>
      <w:r>
        <w:rPr>
          <w:sz w:val="32"/>
          <w:szCs w:val="32"/>
        </w:rPr>
        <w:t xml:space="preserve">                      </w:t>
      </w:r>
      <w:r w:rsidRPr="00F872D2">
        <w:rPr>
          <w:sz w:val="32"/>
          <w:szCs w:val="32"/>
        </w:rPr>
        <w:t>Email: </w:t>
      </w:r>
      <w:hyperlink r:id="rId9" w:tgtFrame="_blank" w:history="1">
        <w:r w:rsidRPr="00F872D2">
          <w:rPr>
            <w:rStyle w:val="Hyperlink"/>
            <w:sz w:val="32"/>
            <w:szCs w:val="32"/>
          </w:rPr>
          <w:t>info@juriscentre.com</w:t>
        </w:r>
      </w:hyperlink>
    </w:p>
    <w:p w14:paraId="55779AE5" w14:textId="569EBA4E" w:rsidR="00F872D2" w:rsidRPr="00F872D2" w:rsidRDefault="00F872D2" w:rsidP="00F872D2">
      <w:pPr>
        <w:rPr>
          <w:sz w:val="32"/>
          <w:szCs w:val="32"/>
        </w:rPr>
      </w:pPr>
      <w:r>
        <w:rPr>
          <w:sz w:val="32"/>
          <w:szCs w:val="32"/>
        </w:rPr>
        <w:t xml:space="preserve">                     </w:t>
      </w:r>
      <w:r w:rsidRPr="00F872D2">
        <w:rPr>
          <w:sz w:val="32"/>
          <w:szCs w:val="32"/>
        </w:rPr>
        <w:t>WhatsApp: +(91) 9667817179</w:t>
      </w:r>
    </w:p>
    <w:p w14:paraId="687E1FCD" w14:textId="4DBDEB49" w:rsidR="00F872D2" w:rsidRPr="00F872D2" w:rsidRDefault="00F872D2" w:rsidP="00F872D2">
      <w:pPr>
        <w:rPr>
          <w:sz w:val="32"/>
          <w:szCs w:val="32"/>
        </w:rPr>
      </w:pPr>
      <w:r>
        <w:rPr>
          <w:sz w:val="32"/>
          <w:szCs w:val="32"/>
        </w:rPr>
        <w:t xml:space="preserve">                         </w:t>
      </w:r>
      <w:r w:rsidRPr="00F872D2">
        <w:rPr>
          <w:sz w:val="32"/>
          <w:szCs w:val="32"/>
        </w:rPr>
        <w:t>Website: </w:t>
      </w:r>
      <w:hyperlink r:id="rId10" w:tgtFrame="_blank" w:tooltip="https://juriscentre.com/" w:history="1">
        <w:r w:rsidRPr="00F872D2">
          <w:rPr>
            <w:rStyle w:val="Hyperlink"/>
            <w:sz w:val="32"/>
            <w:szCs w:val="32"/>
          </w:rPr>
          <w:t>juriscentre.com</w:t>
        </w:r>
      </w:hyperlink>
    </w:p>
    <w:p w14:paraId="50FF0D32" w14:textId="77777777" w:rsidR="00F872D2" w:rsidRDefault="00F872D2">
      <w:pPr>
        <w:rPr>
          <w:sz w:val="32"/>
          <w:szCs w:val="32"/>
        </w:rPr>
      </w:pPr>
    </w:p>
    <w:p w14:paraId="1790C00B" w14:textId="3086025A" w:rsidR="00F03C91" w:rsidRPr="00775587" w:rsidRDefault="00F03C91">
      <w:pPr>
        <w:rPr>
          <w:b/>
          <w:bCs/>
          <w:sz w:val="32"/>
          <w:szCs w:val="32"/>
        </w:rPr>
      </w:pPr>
      <w:r w:rsidRPr="00775587">
        <w:rPr>
          <w:b/>
          <w:bCs/>
          <w:sz w:val="32"/>
          <w:szCs w:val="32"/>
        </w:rPr>
        <w:br w:type="page"/>
      </w:r>
    </w:p>
    <w:p w14:paraId="75A03449" w14:textId="4BBC72E6" w:rsidR="00AB00CD" w:rsidRPr="00F00966" w:rsidRDefault="00AB00CD" w:rsidP="005B103C">
      <w:pPr>
        <w:rPr>
          <w:sz w:val="32"/>
          <w:szCs w:val="32"/>
        </w:rPr>
      </w:pPr>
      <w:r w:rsidRPr="005B103C">
        <w:lastRenderedPageBreak/>
        <w:t xml:space="preserve">                                             </w:t>
      </w:r>
      <w:r w:rsidRPr="00F00966">
        <w:rPr>
          <w:b/>
          <w:bCs/>
          <w:sz w:val="32"/>
          <w:szCs w:val="32"/>
          <w:u w:val="single"/>
        </w:rPr>
        <w:t>Introduction</w:t>
      </w:r>
    </w:p>
    <w:p w14:paraId="1BFA40AC" w14:textId="4591DA97" w:rsidR="00B96444" w:rsidRPr="005B103C" w:rsidRDefault="00B96444" w:rsidP="00294436">
      <w:r w:rsidRPr="00B96444">
        <w:t xml:space="preserve">The current </w:t>
      </w:r>
      <w:r w:rsidRPr="005B103C">
        <w:t>S</w:t>
      </w:r>
      <w:r w:rsidRPr="00B96444">
        <w:t xml:space="preserve">edition regulation grew in the </w:t>
      </w:r>
      <w:r w:rsidR="004C6A3F">
        <w:t xml:space="preserve">first half of </w:t>
      </w:r>
      <w:r w:rsidR="00FB61F5">
        <w:t xml:space="preserve">the </w:t>
      </w:r>
      <w:r w:rsidR="004C6A3F">
        <w:t>19</w:t>
      </w:r>
      <w:r w:rsidR="004C6A3F" w:rsidRPr="004C6A3F">
        <w:rPr>
          <w:vertAlign w:val="superscript"/>
        </w:rPr>
        <w:t>th</w:t>
      </w:r>
      <w:r w:rsidR="004C6A3F">
        <w:t xml:space="preserve"> century</w:t>
      </w:r>
      <w:r w:rsidR="00FB61F5">
        <w:t xml:space="preserve"> i.e., around 18</w:t>
      </w:r>
      <w:r w:rsidR="00B507A1">
        <w:t>30-35,</w:t>
      </w:r>
      <w:r w:rsidR="00252FCC">
        <w:t xml:space="preserve"> based on the Charter Act of 1833</w:t>
      </w:r>
      <w:r w:rsidRPr="00B96444">
        <w:t>. Before</w:t>
      </w:r>
      <w:r w:rsidR="00C6103A">
        <w:t xml:space="preserve"> that </w:t>
      </w:r>
      <w:r w:rsidRPr="00B96444">
        <w:t>India</w:t>
      </w:r>
      <w:r w:rsidR="00536A48">
        <w:t xml:space="preserve">’s law-making body </w:t>
      </w:r>
      <w:r w:rsidRPr="00B96444">
        <w:t>was</w:t>
      </w:r>
      <w:r w:rsidRPr="005B103C">
        <w:t xml:space="preserve"> </w:t>
      </w:r>
      <w:r w:rsidRPr="00B96444">
        <w:t>“a complex</w:t>
      </w:r>
      <w:r w:rsidRPr="005B103C">
        <w:t xml:space="preserve"> set of parliamentary</w:t>
      </w:r>
      <w:r w:rsidRPr="00B96444">
        <w:t xml:space="preserve"> </w:t>
      </w:r>
      <w:r w:rsidRPr="005B103C">
        <w:t>charters and laws</w:t>
      </w:r>
      <w:r w:rsidRPr="00B96444">
        <w:t>,</w:t>
      </w:r>
      <w:r w:rsidRPr="005B103C">
        <w:t xml:space="preserve"> </w:t>
      </w:r>
      <w:r w:rsidRPr="00B96444">
        <w:t>Indian regulation (after 1833),</w:t>
      </w:r>
      <w:r w:rsidRPr="005B103C">
        <w:t xml:space="preserve"> </w:t>
      </w:r>
      <w:r w:rsidRPr="00B96444">
        <w:t xml:space="preserve">rules </w:t>
      </w:r>
      <w:r w:rsidRPr="005B103C">
        <w:t>of East</w:t>
      </w:r>
      <w:r w:rsidRPr="00B96444">
        <w:t xml:space="preserve"> India</w:t>
      </w:r>
      <w:r w:rsidRPr="005B103C">
        <w:t xml:space="preserve">n </w:t>
      </w:r>
      <w:r w:rsidRPr="00B96444">
        <w:t xml:space="preserve">organization, </w:t>
      </w:r>
      <w:r w:rsidRPr="005B103C">
        <w:t>common English</w:t>
      </w:r>
      <w:r w:rsidRPr="00B96444">
        <w:t xml:space="preserve"> regulation, Hindu regulation, Muslim</w:t>
      </w:r>
      <w:r w:rsidRPr="005B103C">
        <w:t xml:space="preserve"> </w:t>
      </w:r>
      <w:r w:rsidRPr="00B96444">
        <w:t>law</w:t>
      </w:r>
      <w:r w:rsidRPr="005B103C">
        <w:t xml:space="preserve">, </w:t>
      </w:r>
      <w:r w:rsidRPr="00B96444">
        <w:t xml:space="preserve">and many </w:t>
      </w:r>
      <w:r w:rsidRPr="005B103C">
        <w:t>customary bodies</w:t>
      </w:r>
      <w:r w:rsidRPr="00B96444">
        <w:t>”.</w:t>
      </w:r>
      <w:r w:rsidR="0065349F">
        <w:rPr>
          <w:rStyle w:val="FootnoteReference"/>
        </w:rPr>
        <w:footnoteReference w:id="1"/>
      </w:r>
    </w:p>
    <w:p w14:paraId="691D1B8E" w14:textId="28DDCF38" w:rsidR="00B96444" w:rsidRPr="005B103C" w:rsidRDefault="00F5157F" w:rsidP="00294436">
      <w:r w:rsidRPr="005B103C">
        <w:t>The draft of the Indian Penal Code</w:t>
      </w:r>
      <w:r w:rsidR="00D979EC">
        <w:t xml:space="preserve"> was prepared by the First Law Commission, chaired by</w:t>
      </w:r>
      <w:r w:rsidR="00E8083B">
        <w:t xml:space="preserve"> </w:t>
      </w:r>
      <w:r w:rsidRPr="005B103C">
        <w:t>Thomas Babington Macaulay</w:t>
      </w:r>
      <w:r w:rsidR="00E8083B">
        <w:t xml:space="preserve"> in 1837</w:t>
      </w:r>
      <w:r w:rsidRPr="005B103C">
        <w:t>, covering</w:t>
      </w:r>
      <w:r w:rsidR="00AF69CD" w:rsidRPr="005B103C">
        <w:t xml:space="preserve"> </w:t>
      </w:r>
      <w:r w:rsidR="00840655">
        <w:t>the most controversial part</w:t>
      </w:r>
      <w:r w:rsidR="00D2715B">
        <w:t xml:space="preserve"> i.e.,</w:t>
      </w:r>
      <w:r w:rsidRPr="005B103C">
        <w:t xml:space="preserve"> sedition.</w:t>
      </w:r>
      <w:r w:rsidR="00787AD6" w:rsidRPr="00787AD6">
        <w:t xml:space="preserve"> The section113 of this draft was similarly modified in its frame to the cutting edges</w:t>
      </w:r>
      <w:r w:rsidR="00EB2B3F">
        <w:t xml:space="preserve"> i.e.,</w:t>
      </w:r>
      <w:r w:rsidR="00EB2B3F" w:rsidRPr="005B103C">
        <w:t xml:space="preserve"> </w:t>
      </w:r>
      <w:r w:rsidRPr="005B103C">
        <w:t xml:space="preserve">124A of the </w:t>
      </w:r>
      <w:r w:rsidR="00EB2B3F">
        <w:t xml:space="preserve">current </w:t>
      </w:r>
      <w:r w:rsidRPr="005B103C">
        <w:t>Indian Penal Code</w:t>
      </w:r>
      <w:r w:rsidR="00EB2B3F">
        <w:t xml:space="preserve"> of 1860</w:t>
      </w:r>
      <w:r w:rsidRPr="005B103C">
        <w:t>.</w:t>
      </w:r>
      <w:r w:rsidR="007008C1" w:rsidRPr="007008C1">
        <w:t xml:space="preserve"> The proposed punishment was converted into existential imprisonment</w:t>
      </w:r>
      <w:r w:rsidRPr="005B103C">
        <w:t>.</w:t>
      </w:r>
      <w:r w:rsidR="00A008B5" w:rsidRPr="00A008B5">
        <w:t xml:space="preserve"> However, at the time the IPC was first adopted in 1860, this section was no longer included in the IPC as a result of what came to be known as an ‘oversight’.</w:t>
      </w:r>
      <w:r w:rsidR="0044651B" w:rsidRPr="0044651B">
        <w:t xml:space="preserve"> 124A, which criminalizes “disaffection with the government-connected through regulation” or Sedition, was eventually added by an amendment in 1870, by a then-regulation member of the well-known Governor’s Council, </w:t>
      </w:r>
      <w:r w:rsidR="00091622">
        <w:t xml:space="preserve">Sir </w:t>
      </w:r>
      <w:r w:rsidR="0044651B" w:rsidRPr="0044651B">
        <w:t xml:space="preserve">James </w:t>
      </w:r>
      <w:proofErr w:type="spellStart"/>
      <w:r w:rsidR="0044651B" w:rsidRPr="0044651B">
        <w:t>Fitzjames</w:t>
      </w:r>
      <w:proofErr w:type="spellEnd"/>
      <w:r w:rsidR="0044651B" w:rsidRPr="0044651B">
        <w:t xml:space="preserve"> Stephen</w:t>
      </w:r>
      <w:r w:rsidRPr="005B103C">
        <w:t>.</w:t>
      </w:r>
      <w:r w:rsidR="0065349F">
        <w:rPr>
          <w:rStyle w:val="FootnoteReference"/>
        </w:rPr>
        <w:footnoteReference w:id="2"/>
      </w:r>
    </w:p>
    <w:p w14:paraId="0A6C9A92" w14:textId="7FBBCD04" w:rsidR="00C23AC5" w:rsidRPr="005B103C" w:rsidRDefault="00027682" w:rsidP="00294436">
      <w:r w:rsidRPr="00027682">
        <w:t xml:space="preserve">The regulation of sedition in India was first applied in 1891, 20 years after it was first laid down in the case of Queen Empress vs. </w:t>
      </w:r>
      <w:proofErr w:type="spellStart"/>
      <w:r w:rsidRPr="00027682">
        <w:t>Jogendra</w:t>
      </w:r>
      <w:proofErr w:type="spellEnd"/>
      <w:r w:rsidRPr="00027682">
        <w:t xml:space="preserve"> </w:t>
      </w:r>
      <w:r>
        <w:t>C</w:t>
      </w:r>
      <w:r w:rsidRPr="00027682">
        <w:t>hunder Bose</w:t>
      </w:r>
      <w:r>
        <w:t xml:space="preserve">. </w:t>
      </w:r>
      <w:r w:rsidR="00F436B9" w:rsidRPr="005B103C">
        <w:t>The owner, supervisor,</w:t>
      </w:r>
      <w:r w:rsidR="00DD1F7A">
        <w:t xml:space="preserve"> </w:t>
      </w:r>
      <w:r w:rsidR="00B43602">
        <w:t>printer</w:t>
      </w:r>
      <w:r w:rsidR="00DD1F7A">
        <w:t>,</w:t>
      </w:r>
      <w:r w:rsidR="00F436B9" w:rsidRPr="005B103C">
        <w:t xml:space="preserve"> and </w:t>
      </w:r>
      <w:r w:rsidR="00B43602">
        <w:t>editor</w:t>
      </w:r>
      <w:r w:rsidR="00F436B9" w:rsidRPr="005B103C">
        <w:t xml:space="preserve"> of the </w:t>
      </w:r>
      <w:proofErr w:type="spellStart"/>
      <w:r w:rsidR="00F436B9" w:rsidRPr="005B103C">
        <w:t>B</w:t>
      </w:r>
      <w:r w:rsidR="00B43602">
        <w:t>ang</w:t>
      </w:r>
      <w:r w:rsidR="000873A3">
        <w:t>oba</w:t>
      </w:r>
      <w:r w:rsidR="00B43602">
        <w:t>si</w:t>
      </w:r>
      <w:proofErr w:type="spellEnd"/>
      <w:r w:rsidR="000873A3">
        <w:t xml:space="preserve"> (Bengali Magazine)</w:t>
      </w:r>
      <w:r w:rsidR="00F436B9" w:rsidRPr="005B103C">
        <w:t>, had tried under the</w:t>
      </w:r>
      <w:r w:rsidR="00274FEC">
        <w:t xml:space="preserve"> said</w:t>
      </w:r>
      <w:r w:rsidR="00F436B9" w:rsidRPr="005B103C">
        <w:t xml:space="preserve"> law to publish an article </w:t>
      </w:r>
      <w:r w:rsidR="00F228C2">
        <w:t>by critically examining</w:t>
      </w:r>
      <w:r w:rsidR="00F436B9" w:rsidRPr="005B103C">
        <w:t xml:space="preserve"> the British authorities’ </w:t>
      </w:r>
      <w:r w:rsidR="001F5810">
        <w:t>Age of Consent</w:t>
      </w:r>
      <w:r w:rsidR="00F436B9" w:rsidRPr="005B103C">
        <w:t xml:space="preserve"> law that increased the </w:t>
      </w:r>
      <w:r w:rsidR="00AF7591">
        <w:t xml:space="preserve">age limit of consent </w:t>
      </w:r>
      <w:r w:rsidR="00F436B9" w:rsidRPr="005B103C">
        <w:t>for sex</w:t>
      </w:r>
      <w:r w:rsidR="00982B6D">
        <w:t xml:space="preserve">. </w:t>
      </w:r>
      <w:r w:rsidR="00DB3CAB" w:rsidRPr="00DB3CAB">
        <w:t xml:space="preserve">There </w:t>
      </w:r>
      <w:r w:rsidR="00DB3CAB">
        <w:t xml:space="preserve">was </w:t>
      </w:r>
      <w:r w:rsidR="00DB3CAB" w:rsidRPr="00DB3CAB">
        <w:t>no verdict in this case. The jury could not reach a unanimous decision.</w:t>
      </w:r>
      <w:r w:rsidR="00982B6D">
        <w:t xml:space="preserve"> </w:t>
      </w:r>
      <w:r w:rsidR="00F436B9" w:rsidRPr="005B103C">
        <w:t xml:space="preserve">W. Comer </w:t>
      </w:r>
      <w:proofErr w:type="spellStart"/>
      <w:r w:rsidR="00F436B9" w:rsidRPr="005B103C">
        <w:t>Petheram</w:t>
      </w:r>
      <w:proofErr w:type="spellEnd"/>
      <w:r w:rsidR="00F436B9" w:rsidRPr="005B103C">
        <w:t xml:space="preserve">, Chief Justice of the </w:t>
      </w:r>
      <w:r w:rsidR="00DB3CAB">
        <w:t xml:space="preserve">Calcutta </w:t>
      </w:r>
      <w:r w:rsidR="00D47A27">
        <w:t>Court</w:t>
      </w:r>
      <w:r w:rsidR="00F436B9" w:rsidRPr="005B103C">
        <w:t>, stated that “he would not make any verdict that was not unanimous in this situation”, and Bose was released on bail.</w:t>
      </w:r>
      <w:r w:rsidR="00D47A27">
        <w:t>”</w:t>
      </w:r>
      <w:r w:rsidR="0065349F">
        <w:rPr>
          <w:rStyle w:val="FootnoteReference"/>
        </w:rPr>
        <w:footnoteReference w:id="3"/>
      </w:r>
    </w:p>
    <w:p w14:paraId="300088B0" w14:textId="77777777" w:rsidR="00142BF0" w:rsidRDefault="00C23AC5" w:rsidP="005B103C">
      <w:r w:rsidRPr="005B103C">
        <w:br w:type="page"/>
      </w:r>
    </w:p>
    <w:p w14:paraId="534693EB" w14:textId="0DD6160C" w:rsidR="00142BF0" w:rsidRPr="00F00966" w:rsidRDefault="00142BF0" w:rsidP="005B103C">
      <w:pPr>
        <w:rPr>
          <w:b/>
          <w:bCs/>
          <w:sz w:val="32"/>
          <w:szCs w:val="32"/>
          <w:u w:val="single"/>
        </w:rPr>
      </w:pPr>
      <w:r>
        <w:lastRenderedPageBreak/>
        <w:t xml:space="preserve">       </w:t>
      </w:r>
      <w:r w:rsidRPr="00F00966">
        <w:rPr>
          <w:b/>
          <w:bCs/>
          <w:sz w:val="32"/>
          <w:szCs w:val="32"/>
          <w:u w:val="single"/>
        </w:rPr>
        <w:t>Law of Sedition</w:t>
      </w:r>
      <w:r w:rsidR="00A945E6">
        <w:rPr>
          <w:b/>
          <w:bCs/>
          <w:sz w:val="32"/>
          <w:szCs w:val="32"/>
          <w:u w:val="single"/>
        </w:rPr>
        <w:t xml:space="preserve"> </w:t>
      </w:r>
      <w:r w:rsidR="00D47A27">
        <w:rPr>
          <w:b/>
          <w:bCs/>
          <w:sz w:val="32"/>
          <w:szCs w:val="32"/>
          <w:u w:val="single"/>
        </w:rPr>
        <w:t>(</w:t>
      </w:r>
      <w:r w:rsidR="00A945E6">
        <w:rPr>
          <w:b/>
          <w:bCs/>
          <w:sz w:val="32"/>
          <w:szCs w:val="32"/>
          <w:u w:val="single"/>
        </w:rPr>
        <w:t xml:space="preserve">Section 124A) </w:t>
      </w:r>
      <w:r w:rsidRPr="00F00966">
        <w:rPr>
          <w:b/>
          <w:bCs/>
          <w:sz w:val="32"/>
          <w:szCs w:val="32"/>
          <w:u w:val="single"/>
        </w:rPr>
        <w:t>under the Indian Penal Code</w:t>
      </w:r>
    </w:p>
    <w:p w14:paraId="38EB9CD5" w14:textId="236483C0" w:rsidR="00294436" w:rsidRDefault="001A19AA" w:rsidP="005B103C">
      <w:r w:rsidRPr="005B103C">
        <w:t xml:space="preserve">Section 124A of the Indian </w:t>
      </w:r>
      <w:r w:rsidR="00AC41E4">
        <w:t>Penal Code, 1860</w:t>
      </w:r>
      <w:r w:rsidRPr="005B103C">
        <w:t xml:space="preserve"> defines sedition as a cogni</w:t>
      </w:r>
      <w:r w:rsidR="005B103C">
        <w:t>z</w:t>
      </w:r>
      <w:r w:rsidRPr="005B103C">
        <w:t xml:space="preserve">able </w:t>
      </w:r>
      <w:r w:rsidR="00F00966">
        <w:t>offense</w:t>
      </w:r>
      <w:r w:rsidRPr="005B103C">
        <w:t xml:space="preserve">, which is not bailable, and the matter will be heard by the Court of Sessions. </w:t>
      </w:r>
    </w:p>
    <w:p w14:paraId="259B1035" w14:textId="4E5E2983" w:rsidR="00294436" w:rsidRDefault="001A19AA" w:rsidP="005B103C">
      <w:r w:rsidRPr="005B103C">
        <w:t xml:space="preserve">The provisions of </w:t>
      </w:r>
      <w:r w:rsidR="00CF66F5">
        <w:t>S</w:t>
      </w:r>
      <w:r w:rsidRPr="005B103C">
        <w:t xml:space="preserve">ection 124A of the IPC </w:t>
      </w:r>
      <w:r w:rsidR="00CF66F5">
        <w:t>defined;</w:t>
      </w:r>
      <w:r w:rsidRPr="005B103C">
        <w:t xml:space="preserve"> “Any person who, in words, in writing, or by sign, or by any other means, incites hatred, contempt, or enmity against, the Government of India, established by law, shall be liable to imprisonment for a term of life, with the possibility of an additional term of imprisonment of three years, with the addition of a fine, or with a fine of five years.”</w:t>
      </w:r>
      <w:r w:rsidR="0065349F">
        <w:rPr>
          <w:rStyle w:val="FootnoteReference"/>
        </w:rPr>
        <w:footnoteReference w:id="4"/>
      </w:r>
    </w:p>
    <w:p w14:paraId="3788540C" w14:textId="474BDFC0" w:rsidR="00AB00CD" w:rsidRPr="005B103C" w:rsidRDefault="001A19AA" w:rsidP="005B103C">
      <w:r w:rsidRPr="005B103C">
        <w:t xml:space="preserve">Sedition was not a crime in the original Act of 1860. It was only in the year 1870 that sedition was made a criminal </w:t>
      </w:r>
      <w:r w:rsidR="00F00966">
        <w:t>offense</w:t>
      </w:r>
      <w:r w:rsidRPr="005B103C">
        <w:t xml:space="preserve"> in the IPC. Sedition became a way of silencing the voice of freedom and India's independence. It was used as a weapon of censure against the likes of Babri Masjid, Lal Bahadur Shastri, Babri Narayan</w:t>
      </w:r>
      <w:r w:rsidR="00815FF3" w:rsidRPr="005B103C">
        <w:t>,</w:t>
      </w:r>
      <w:r w:rsidRPr="005B103C">
        <w:t xml:space="preserve"> and many other freedom fighters in India.</w:t>
      </w:r>
    </w:p>
    <w:p w14:paraId="444C635C" w14:textId="3005EA89" w:rsidR="00294436" w:rsidRDefault="00C65773" w:rsidP="005B103C">
      <w:r w:rsidRPr="005B103C">
        <w:t>In the section on sedition, the word ‘sedition’ was added word for word. Many were found guilty of asserting sick will against the authorities, even when there was no violence involved in the use of it.</w:t>
      </w:r>
      <w:r w:rsidR="00664654" w:rsidRPr="00664654">
        <w:t xml:space="preserve"> However, the situation changed in 1942 when the Federal Court of Justice (then the Supreme Court of British India) decided to uphold the charge of Sedition in </w:t>
      </w:r>
      <w:proofErr w:type="spellStart"/>
      <w:r w:rsidR="00664654" w:rsidRPr="00664654">
        <w:t>Niharendu</w:t>
      </w:r>
      <w:proofErr w:type="spellEnd"/>
      <w:r w:rsidR="00664654" w:rsidRPr="00664654">
        <w:t xml:space="preserve"> Dutt Majumdar v</w:t>
      </w:r>
      <w:r w:rsidR="000D6921">
        <w:t>.</w:t>
      </w:r>
      <w:r w:rsidR="00664654" w:rsidRPr="00664654">
        <w:t xml:space="preserve"> King Emperor</w:t>
      </w:r>
      <w:r w:rsidR="005434FD">
        <w:rPr>
          <w:rStyle w:val="FootnoteReference"/>
        </w:rPr>
        <w:footnoteReference w:id="5"/>
      </w:r>
      <w:r w:rsidR="00664654" w:rsidRPr="00664654">
        <w:t>.</w:t>
      </w:r>
      <w:r w:rsidRPr="005B103C">
        <w:t xml:space="preserve"> as an </w:t>
      </w:r>
      <w:r w:rsidR="00815FF3" w:rsidRPr="005B103C">
        <w:t>offense</w:t>
      </w:r>
      <w:r w:rsidRPr="005B103C">
        <w:t xml:space="preserve"> only if it incites public ill health or violence. </w:t>
      </w:r>
      <w:r w:rsidR="00897E94">
        <w:t>“</w:t>
      </w:r>
      <w:r w:rsidRPr="005B103C">
        <w:t>Sedition’ is made an offence not because it serves to minister to the vanity of governments, but because when Government and the law are no longer respected because there is no respect for them, anarchy follows.</w:t>
      </w:r>
      <w:r w:rsidR="00897E94">
        <w:t>”</w:t>
      </w:r>
      <w:r w:rsidR="00FE76B3">
        <w:rPr>
          <w:rStyle w:val="FootnoteReference"/>
        </w:rPr>
        <w:footnoteReference w:id="6"/>
      </w:r>
    </w:p>
    <w:p w14:paraId="5E8473C7" w14:textId="5350229B" w:rsidR="001A19AA" w:rsidRPr="005B103C" w:rsidRDefault="00C65773" w:rsidP="005B103C">
      <w:r w:rsidRPr="005B103C">
        <w:t xml:space="preserve"> Public disorder or the reasonable expectation or likelihood that there will be public disorder is</w:t>
      </w:r>
      <w:r w:rsidR="00815FF3" w:rsidRPr="005B103C">
        <w:t>, therefore,</w:t>
      </w:r>
      <w:r w:rsidRPr="005B103C">
        <w:t xml:space="preserve"> the essence of the offence.</w:t>
      </w:r>
    </w:p>
    <w:p w14:paraId="65496906" w14:textId="62465735" w:rsidR="00747A02" w:rsidRPr="005B103C" w:rsidRDefault="00747A02" w:rsidP="005B103C">
      <w:r w:rsidRPr="005B103C">
        <w:t>Sedition was removed from the Constitution of India after Independence. This was due to KM Munshi's proposal to remove sedition as a cheap restriction on freedom of expression.</w:t>
      </w:r>
    </w:p>
    <w:p w14:paraId="7ADFDDF0" w14:textId="77777777" w:rsidR="002D32AA" w:rsidRDefault="00747A02" w:rsidP="005B103C">
      <w:r w:rsidRPr="005B103C">
        <w:br w:type="page"/>
      </w:r>
    </w:p>
    <w:p w14:paraId="622F9D13" w14:textId="51379BE6" w:rsidR="002D32AA" w:rsidRPr="002D32AA" w:rsidRDefault="002D32AA" w:rsidP="005B103C">
      <w:pPr>
        <w:rPr>
          <w:b/>
          <w:bCs/>
          <w:sz w:val="32"/>
          <w:szCs w:val="32"/>
          <w:u w:val="single"/>
        </w:rPr>
      </w:pPr>
      <w:r>
        <w:lastRenderedPageBreak/>
        <w:t xml:space="preserve">             </w:t>
      </w:r>
      <w:r w:rsidR="00E00CC1">
        <w:t xml:space="preserve">    </w:t>
      </w:r>
      <w:r>
        <w:t xml:space="preserve">      </w:t>
      </w:r>
      <w:r w:rsidRPr="002D32AA">
        <w:rPr>
          <w:b/>
          <w:bCs/>
          <w:sz w:val="32"/>
          <w:szCs w:val="32"/>
          <w:u w:val="single"/>
        </w:rPr>
        <w:t>Legal History of Sedition Law in India</w:t>
      </w:r>
    </w:p>
    <w:p w14:paraId="03158824" w14:textId="04F10AE8" w:rsidR="00747A02" w:rsidRPr="00B96444" w:rsidRDefault="00142BF0" w:rsidP="005B103C">
      <w:r>
        <w:t>1</w:t>
      </w:r>
      <w:r w:rsidRPr="005F52B9">
        <w:t xml:space="preserve">. </w:t>
      </w:r>
      <w:r w:rsidR="001F3091" w:rsidRPr="005036DA">
        <w:rPr>
          <w:b/>
          <w:bCs/>
          <w:u w:val="single"/>
        </w:rPr>
        <w:t>Tara Singh Gopi Chan</w:t>
      </w:r>
      <w:r w:rsidR="005F52B9">
        <w:rPr>
          <w:b/>
          <w:bCs/>
          <w:u w:val="single"/>
        </w:rPr>
        <w:t>d’s</w:t>
      </w:r>
      <w:r w:rsidR="005F52B9">
        <w:t xml:space="preserve"> </w:t>
      </w:r>
      <w:r w:rsidR="00690D41">
        <w:t>case</w:t>
      </w:r>
      <w:r w:rsidR="001F3091" w:rsidRPr="005B103C">
        <w:t xml:space="preserve"> </w:t>
      </w:r>
      <w:r>
        <w:t>was</w:t>
      </w:r>
      <w:r w:rsidR="006D7C5D">
        <w:t xml:space="preserve"> </w:t>
      </w:r>
      <w:r w:rsidR="006D7C5D" w:rsidRPr="006D7C5D">
        <w:t xml:space="preserve">the first instance </w:t>
      </w:r>
      <w:r w:rsidR="006D7C5D">
        <w:t>in which</w:t>
      </w:r>
      <w:r w:rsidR="006D7C5D" w:rsidRPr="006D7C5D">
        <w:t xml:space="preserve"> sedition </w:t>
      </w:r>
      <w:r w:rsidR="006D7C5D">
        <w:t>was</w:t>
      </w:r>
      <w:r w:rsidR="006D7C5D" w:rsidRPr="006D7C5D">
        <w:t xml:space="preserve"> challenged as a fundamental right under the Constitution of India</w:t>
      </w:r>
      <w:r w:rsidR="007F7501">
        <w:t>.</w:t>
      </w:r>
      <w:r w:rsidR="006D7C5D" w:rsidRPr="006D7C5D">
        <w:t xml:space="preserve"> </w:t>
      </w:r>
      <w:r w:rsidR="001F3091" w:rsidRPr="005B103C">
        <w:t xml:space="preserve">Referring to the reference made by the federal court docket in the case of Ramesh Thapar, the national high court broadly interpreted the definition of sedition to include </w:t>
      </w:r>
      <w:r w:rsidR="007F7501">
        <w:t>“</w:t>
      </w:r>
      <w:r w:rsidR="001F3091" w:rsidRPr="005B103C">
        <w:t>incitement to commit acts of violence or to commit acts of public disorder</w:t>
      </w:r>
      <w:r w:rsidR="00D334D3">
        <w:t>”</w:t>
      </w:r>
      <w:r w:rsidR="001F3091" w:rsidRPr="005B103C">
        <w:t xml:space="preserve">. The national high court held that </w:t>
      </w:r>
      <w:r w:rsidR="00D334D3">
        <w:t>“</w:t>
      </w:r>
      <w:r w:rsidR="001F3091" w:rsidRPr="005B103C">
        <w:t>the restriction of freedom of expression is limited beyond the reasonable restriction and that sedition limits freedom of expression.</w:t>
      </w:r>
      <w:r w:rsidR="00D334D3">
        <w:t>”</w:t>
      </w:r>
      <w:r w:rsidR="0065349F">
        <w:rPr>
          <w:rStyle w:val="FootnoteReference"/>
        </w:rPr>
        <w:footnoteReference w:id="7"/>
      </w:r>
    </w:p>
    <w:p w14:paraId="5104D72A" w14:textId="6D04C995" w:rsidR="002B7745" w:rsidRPr="005B103C" w:rsidRDefault="00142BF0" w:rsidP="005B103C">
      <w:r>
        <w:t xml:space="preserve">2. </w:t>
      </w:r>
      <w:r w:rsidR="00260AA3" w:rsidRPr="005036DA">
        <w:rPr>
          <w:b/>
          <w:bCs/>
          <w:u w:val="single"/>
        </w:rPr>
        <w:t>Sabir Raza case (1955)</w:t>
      </w:r>
      <w:r w:rsidR="00260AA3" w:rsidRPr="005B103C">
        <w:t xml:space="preserve"> The Allahabad high court ruled that </w:t>
      </w:r>
      <w:r w:rsidR="00DB0E78">
        <w:t>“</w:t>
      </w:r>
      <w:r w:rsidR="00260AA3" w:rsidRPr="005B103C">
        <w:t>public order could not be used as a restriction on the freedom of speech and expression that incites disaffection against the government</w:t>
      </w:r>
      <w:r w:rsidR="00DB0E78">
        <w:t>”</w:t>
      </w:r>
      <w:r w:rsidR="00260AA3" w:rsidRPr="005B103C">
        <w:t>. The court further interpreted that a threat to the state's security can best be described as the existence of a threat to the government's device, whereas an insignificant threat to the position of the person protecting it or an exciting sensation of hatred, contempt or disaffection towards it does not constitute a threat to the country's security. As a result, sedition was declared to be unconstitutional.</w:t>
      </w:r>
      <w:r w:rsidR="0065349F">
        <w:rPr>
          <w:rStyle w:val="FootnoteReference"/>
        </w:rPr>
        <w:footnoteReference w:id="8"/>
      </w:r>
    </w:p>
    <w:p w14:paraId="69948F13" w14:textId="50E92AE9" w:rsidR="009533C3" w:rsidRPr="005B103C" w:rsidRDefault="00142BF0" w:rsidP="005B103C">
      <w:r>
        <w:t>3.</w:t>
      </w:r>
      <w:r w:rsidR="009533C3" w:rsidRPr="005036DA">
        <w:rPr>
          <w:b/>
          <w:bCs/>
          <w:u w:val="single"/>
        </w:rPr>
        <w:t>Ram Nandan case (1959)</w:t>
      </w:r>
      <w:r w:rsidR="009533C3" w:rsidRPr="005B103C">
        <w:t xml:space="preserve"> In th</w:t>
      </w:r>
      <w:r w:rsidR="00DB0E78">
        <w:t>is</w:t>
      </w:r>
      <w:r w:rsidR="009533C3" w:rsidRPr="005B103C">
        <w:t xml:space="preserve"> case against the </w:t>
      </w:r>
      <w:r w:rsidR="009572E1" w:rsidRPr="005B103C">
        <w:t>Agri</w:t>
      </w:r>
      <w:r w:rsidR="00786F5E" w:rsidRPr="005B103C">
        <w:t>-labour</w:t>
      </w:r>
      <w:r w:rsidR="009533C3" w:rsidRPr="005B103C">
        <w:t xml:space="preserve"> activist Ram Nandan the Allahabad High Court declared that </w:t>
      </w:r>
      <w:r w:rsidR="00786F5E" w:rsidRPr="005B103C">
        <w:t>S</w:t>
      </w:r>
      <w:r w:rsidR="009533C3" w:rsidRPr="005B103C">
        <w:t>edition is an illegal act. The judgment turned into an observation that where the rules on freedom of expression cannot be justified because of the possibility of a public disease. A political ideology that is different from the ruling elite is not a threat to the state.</w:t>
      </w:r>
      <w:r w:rsidR="0065349F">
        <w:rPr>
          <w:rStyle w:val="FootnoteReference"/>
        </w:rPr>
        <w:footnoteReference w:id="9"/>
      </w:r>
    </w:p>
    <w:p w14:paraId="343ECDB1" w14:textId="5C421AA3" w:rsidR="009572E1" w:rsidRPr="005B103C" w:rsidRDefault="00BD7D2D" w:rsidP="005B103C">
      <w:r w:rsidRPr="005B103C">
        <w:t xml:space="preserve">4. </w:t>
      </w:r>
      <w:r w:rsidR="009572E1" w:rsidRPr="005B103C">
        <w:t>In</w:t>
      </w:r>
      <w:r w:rsidRPr="005B103C">
        <w:t xml:space="preserve"> </w:t>
      </w:r>
      <w:r w:rsidR="009572E1" w:rsidRPr="005B103C">
        <w:t xml:space="preserve">the </w:t>
      </w:r>
      <w:r w:rsidR="009572E1" w:rsidRPr="005036DA">
        <w:rPr>
          <w:b/>
          <w:bCs/>
          <w:u w:val="single"/>
        </w:rPr>
        <w:t>Kedar Nath</w:t>
      </w:r>
      <w:r w:rsidRPr="005036DA">
        <w:rPr>
          <w:b/>
          <w:bCs/>
          <w:u w:val="single"/>
        </w:rPr>
        <w:t xml:space="preserve"> Singh case (1962)</w:t>
      </w:r>
      <w:r w:rsidRPr="005B103C">
        <w:t xml:space="preserve"> The</w:t>
      </w:r>
      <w:r w:rsidR="00932585">
        <w:t xml:space="preserve"> Hon’ble</w:t>
      </w:r>
      <w:r w:rsidRPr="005B103C">
        <w:t xml:space="preserve"> Supreme Court of India for the first time </w:t>
      </w:r>
      <w:r w:rsidR="00AF091B" w:rsidRPr="005B103C">
        <w:t>dealt</w:t>
      </w:r>
      <w:r w:rsidRPr="005B103C">
        <w:t xml:space="preserve"> with the question of constitutionality in this case. Unlike the judgments delivered by the high courts, the court ruled that sedition is constitutional. However, the court made a significant addition to the definition of sedition. According to the interpretation given by the Federal courtroom, sedition can be valid only if the intention is to instigate violence. The exceptions to the offence of sedition may be applicable best in this case.</w:t>
      </w:r>
      <w:r w:rsidR="009572E1" w:rsidRPr="005B103C">
        <w:t xml:space="preserve"> They did not cause public illness through violence. The court also gave instructions on how to use segment 124A.</w:t>
      </w:r>
      <w:r w:rsidR="0065349F">
        <w:rPr>
          <w:rStyle w:val="FootnoteReference"/>
        </w:rPr>
        <w:footnoteReference w:id="10"/>
      </w:r>
    </w:p>
    <w:p w14:paraId="6626F8CD" w14:textId="77777777" w:rsidR="00570911" w:rsidRDefault="00570911" w:rsidP="005B103C"/>
    <w:p w14:paraId="785CD647" w14:textId="77777777" w:rsidR="00570911" w:rsidRDefault="00570911" w:rsidP="005B103C"/>
    <w:p w14:paraId="38AB1B10" w14:textId="0023CC2F" w:rsidR="00815FF3" w:rsidRPr="005B103C" w:rsidRDefault="00833DCC" w:rsidP="005B103C">
      <w:r>
        <w:t xml:space="preserve">5. </w:t>
      </w:r>
      <w:r w:rsidR="00440953" w:rsidRPr="005B103C">
        <w:t xml:space="preserve">The judgment </w:t>
      </w:r>
      <w:r w:rsidR="00570911">
        <w:t>in which the</w:t>
      </w:r>
      <w:r w:rsidR="00440953" w:rsidRPr="005B103C">
        <w:t xml:space="preserve"> bench headed by the </w:t>
      </w:r>
      <w:r w:rsidR="005036DA">
        <w:t>Chief</w:t>
      </w:r>
      <w:r w:rsidR="00440953" w:rsidRPr="005B103C">
        <w:t xml:space="preserve"> Judge of India dismissed the writ petition filed by the non-governmental </w:t>
      </w:r>
      <w:r w:rsidR="00815FF3" w:rsidRPr="005B103C">
        <w:t>organization</w:t>
      </w:r>
      <w:r w:rsidR="00440953" w:rsidRPr="005B103C">
        <w:t xml:space="preserve"> Common Cause. The court ruled that Kedar</w:t>
      </w:r>
      <w:r w:rsidR="00815FF3" w:rsidRPr="005B103C">
        <w:t xml:space="preserve"> Nath’s</w:t>
      </w:r>
      <w:r w:rsidR="00440953" w:rsidRPr="005B103C">
        <w:t xml:space="preserve"> standards should have been adhered to with the help of the Government. The court held that there was no need to reconsider the matter</w:t>
      </w:r>
      <w:r w:rsidR="00C55AD7">
        <w:t>.</w:t>
      </w:r>
      <w:r w:rsidR="0065349F">
        <w:rPr>
          <w:rStyle w:val="FootnoteReference"/>
        </w:rPr>
        <w:footnoteReference w:id="11"/>
      </w:r>
    </w:p>
    <w:p w14:paraId="4B49B233" w14:textId="77777777" w:rsidR="0065349F" w:rsidRDefault="00815FF3" w:rsidP="00833DCC">
      <w:pPr>
        <w:rPr>
          <w:b/>
          <w:bCs/>
        </w:rPr>
      </w:pPr>
      <w:r w:rsidRPr="00142BF0">
        <w:rPr>
          <w:b/>
          <w:bCs/>
        </w:rPr>
        <w:t xml:space="preserve">                                    </w:t>
      </w:r>
    </w:p>
    <w:p w14:paraId="4D682843" w14:textId="77777777" w:rsidR="0065349F" w:rsidRDefault="0065349F" w:rsidP="00833DCC">
      <w:pPr>
        <w:rPr>
          <w:b/>
          <w:bCs/>
        </w:rPr>
      </w:pPr>
    </w:p>
    <w:p w14:paraId="5E383F1D" w14:textId="77777777" w:rsidR="0065349F" w:rsidRDefault="0065349F" w:rsidP="00833DCC">
      <w:pPr>
        <w:rPr>
          <w:b/>
          <w:bCs/>
        </w:rPr>
      </w:pPr>
    </w:p>
    <w:p w14:paraId="7F58F6B5" w14:textId="77777777" w:rsidR="0065349F" w:rsidRDefault="0065349F" w:rsidP="00833DCC">
      <w:pPr>
        <w:rPr>
          <w:b/>
          <w:bCs/>
        </w:rPr>
      </w:pPr>
    </w:p>
    <w:p w14:paraId="2193D4A7" w14:textId="77777777" w:rsidR="0065349F" w:rsidRDefault="0065349F" w:rsidP="00833DCC">
      <w:pPr>
        <w:rPr>
          <w:b/>
          <w:bCs/>
        </w:rPr>
      </w:pPr>
    </w:p>
    <w:p w14:paraId="409BE4B9" w14:textId="77777777" w:rsidR="0065349F" w:rsidRDefault="0065349F" w:rsidP="00833DCC">
      <w:pPr>
        <w:rPr>
          <w:b/>
          <w:bCs/>
        </w:rPr>
      </w:pPr>
    </w:p>
    <w:p w14:paraId="6ADF79F8" w14:textId="77777777" w:rsidR="0065349F" w:rsidRDefault="0065349F" w:rsidP="00833DCC">
      <w:pPr>
        <w:rPr>
          <w:b/>
          <w:bCs/>
        </w:rPr>
      </w:pPr>
    </w:p>
    <w:p w14:paraId="1BB1946D" w14:textId="77777777" w:rsidR="0065349F" w:rsidRDefault="0065349F" w:rsidP="00833DCC">
      <w:pPr>
        <w:rPr>
          <w:b/>
          <w:bCs/>
        </w:rPr>
      </w:pPr>
    </w:p>
    <w:p w14:paraId="08C2C228" w14:textId="77777777" w:rsidR="0065349F" w:rsidRDefault="0065349F" w:rsidP="00833DCC">
      <w:pPr>
        <w:rPr>
          <w:b/>
          <w:bCs/>
        </w:rPr>
      </w:pPr>
    </w:p>
    <w:p w14:paraId="1E4B8734" w14:textId="77777777" w:rsidR="0065349F" w:rsidRDefault="0065349F" w:rsidP="00833DCC">
      <w:pPr>
        <w:rPr>
          <w:b/>
          <w:bCs/>
        </w:rPr>
      </w:pPr>
    </w:p>
    <w:p w14:paraId="44CDA391" w14:textId="77777777" w:rsidR="0065349F" w:rsidRDefault="0065349F" w:rsidP="00833DCC">
      <w:pPr>
        <w:rPr>
          <w:b/>
          <w:bCs/>
        </w:rPr>
      </w:pPr>
    </w:p>
    <w:p w14:paraId="0AD94B1F" w14:textId="77777777" w:rsidR="0065349F" w:rsidRDefault="0065349F" w:rsidP="00833DCC">
      <w:pPr>
        <w:rPr>
          <w:b/>
          <w:bCs/>
        </w:rPr>
      </w:pPr>
    </w:p>
    <w:p w14:paraId="6B83882E" w14:textId="77777777" w:rsidR="0065349F" w:rsidRDefault="0065349F" w:rsidP="00833DCC">
      <w:pPr>
        <w:rPr>
          <w:b/>
          <w:bCs/>
        </w:rPr>
      </w:pPr>
    </w:p>
    <w:p w14:paraId="618DEE96" w14:textId="77777777" w:rsidR="0065349F" w:rsidRDefault="0065349F" w:rsidP="00833DCC">
      <w:pPr>
        <w:rPr>
          <w:b/>
          <w:bCs/>
        </w:rPr>
      </w:pPr>
    </w:p>
    <w:p w14:paraId="29B5033B" w14:textId="77777777" w:rsidR="0065349F" w:rsidRDefault="0065349F" w:rsidP="00833DCC">
      <w:pPr>
        <w:rPr>
          <w:b/>
          <w:bCs/>
        </w:rPr>
      </w:pPr>
    </w:p>
    <w:p w14:paraId="4924DC25" w14:textId="77777777" w:rsidR="0065349F" w:rsidRDefault="0065349F" w:rsidP="00833DCC">
      <w:pPr>
        <w:rPr>
          <w:b/>
          <w:bCs/>
        </w:rPr>
      </w:pPr>
    </w:p>
    <w:p w14:paraId="75269D0E" w14:textId="77777777" w:rsidR="0065349F" w:rsidRDefault="0065349F" w:rsidP="00833DCC">
      <w:pPr>
        <w:rPr>
          <w:b/>
          <w:bCs/>
        </w:rPr>
      </w:pPr>
    </w:p>
    <w:p w14:paraId="4EBD9475" w14:textId="77777777" w:rsidR="0065349F" w:rsidRDefault="0065349F" w:rsidP="00833DCC">
      <w:pPr>
        <w:rPr>
          <w:b/>
          <w:bCs/>
        </w:rPr>
      </w:pPr>
    </w:p>
    <w:p w14:paraId="2E67DD26" w14:textId="77777777" w:rsidR="0065349F" w:rsidRDefault="0065349F" w:rsidP="00833DCC">
      <w:pPr>
        <w:rPr>
          <w:b/>
          <w:bCs/>
        </w:rPr>
      </w:pPr>
    </w:p>
    <w:p w14:paraId="30148851" w14:textId="77777777" w:rsidR="0065349F" w:rsidRDefault="0065349F" w:rsidP="00833DCC">
      <w:pPr>
        <w:rPr>
          <w:b/>
          <w:bCs/>
        </w:rPr>
      </w:pPr>
    </w:p>
    <w:p w14:paraId="66EBF949" w14:textId="43A5E733" w:rsidR="00833DCC" w:rsidRDefault="00815FF3" w:rsidP="00833DCC">
      <w:pPr>
        <w:rPr>
          <w:b/>
          <w:bCs/>
          <w:sz w:val="28"/>
          <w:szCs w:val="28"/>
          <w:u w:val="single"/>
        </w:rPr>
      </w:pPr>
      <w:r w:rsidRPr="00142BF0">
        <w:rPr>
          <w:b/>
          <w:bCs/>
        </w:rPr>
        <w:t xml:space="preserve">    </w:t>
      </w:r>
      <w:r w:rsidR="0065349F">
        <w:rPr>
          <w:b/>
          <w:bCs/>
        </w:rPr>
        <w:t xml:space="preserve">                               </w:t>
      </w:r>
      <w:r w:rsidRPr="00142BF0">
        <w:rPr>
          <w:b/>
          <w:bCs/>
        </w:rPr>
        <w:t xml:space="preserve">      </w:t>
      </w:r>
      <w:r w:rsidRPr="00142BF0">
        <w:rPr>
          <w:b/>
          <w:bCs/>
          <w:sz w:val="28"/>
          <w:szCs w:val="28"/>
          <w:u w:val="single"/>
        </w:rPr>
        <w:t>Landmark Judgements</w:t>
      </w:r>
    </w:p>
    <w:p w14:paraId="29BF8E42" w14:textId="7BE220F7" w:rsidR="00833DCC" w:rsidRPr="00833DCC" w:rsidRDefault="00BC2BF3" w:rsidP="005B103C">
      <w:pPr>
        <w:pStyle w:val="ListParagraph"/>
        <w:numPr>
          <w:ilvl w:val="0"/>
          <w:numId w:val="3"/>
        </w:numPr>
        <w:rPr>
          <w:b/>
          <w:bCs/>
          <w:sz w:val="28"/>
          <w:szCs w:val="28"/>
          <w:u w:val="single"/>
        </w:rPr>
      </w:pPr>
      <w:r w:rsidRPr="005B103C">
        <w:t xml:space="preserve">In this case, Vinod Dua, a senior journalist, was accused of making false statements about the shortage of test </w:t>
      </w:r>
      <w:r w:rsidR="00833DCC">
        <w:t>centers</w:t>
      </w:r>
      <w:r w:rsidRPr="005B103C">
        <w:t xml:space="preserve"> </w:t>
      </w:r>
      <w:r w:rsidR="00F00966">
        <w:t>by</w:t>
      </w:r>
      <w:r w:rsidRPr="005B103C">
        <w:t xml:space="preserve"> the government. He also alleged that there were not enough statistics on PPE kits. He further stated that the export of ventilation and sanitizers had been stopped later than claimed. He further alleged that the Prime Minister</w:t>
      </w:r>
      <w:r w:rsidR="003D5C08">
        <w:t xml:space="preserve"> of India</w:t>
      </w:r>
      <w:r w:rsidRPr="005B103C">
        <w:t xml:space="preserve"> had obtained votes through </w:t>
      </w:r>
      <w:r w:rsidR="00916167">
        <w:t>A</w:t>
      </w:r>
      <w:r w:rsidRPr="005B103C">
        <w:t xml:space="preserve">cts of terrorism and pointed out that </w:t>
      </w:r>
      <w:r w:rsidR="00C003C1">
        <w:t>L</w:t>
      </w:r>
      <w:r w:rsidR="00C55AD7">
        <w:t>abor</w:t>
      </w:r>
      <w:r w:rsidRPr="005B103C">
        <w:t xml:space="preserve"> migration had increased during the lockdown. It is alleged that the statements made by Vinod Dua were made </w:t>
      </w:r>
      <w:r w:rsidR="0005351C">
        <w:t>to provoke</w:t>
      </w:r>
      <w:r w:rsidRPr="005B103C">
        <w:t xml:space="preserve"> fear, hatred, contempt</w:t>
      </w:r>
      <w:r w:rsidR="00C55AD7">
        <w:t>,</w:t>
      </w:r>
      <w:r w:rsidRPr="005B103C">
        <w:t xml:space="preserve"> and disaffection against the government. </w:t>
      </w:r>
    </w:p>
    <w:p w14:paraId="0862AD7C" w14:textId="12369C53" w:rsidR="00833DCC" w:rsidRDefault="00BC2BF3" w:rsidP="00833DCC">
      <w:pPr>
        <w:pStyle w:val="ListParagraph"/>
      </w:pPr>
      <w:r w:rsidRPr="00142BF0">
        <w:t>The question now being asked is whether Vinod Dua violated Section 124A of the Indian Penal Cod</w:t>
      </w:r>
      <w:r w:rsidR="00142BF0">
        <w:t>e</w:t>
      </w:r>
      <w:r w:rsidR="00916167">
        <w:t xml:space="preserve"> (1860)</w:t>
      </w:r>
      <w:r w:rsidR="00142BF0">
        <w:t xml:space="preserve">.  </w:t>
      </w:r>
    </w:p>
    <w:p w14:paraId="524C9DE6" w14:textId="0070B263" w:rsidR="00BC2BF3" w:rsidRPr="00833DCC" w:rsidRDefault="00A7106E" w:rsidP="00833DCC">
      <w:pPr>
        <w:pStyle w:val="ListParagraph"/>
        <w:rPr>
          <w:b/>
          <w:bCs/>
          <w:sz w:val="28"/>
          <w:szCs w:val="28"/>
          <w:u w:val="single"/>
        </w:rPr>
      </w:pPr>
      <w:r w:rsidRPr="005B103C">
        <w:t xml:space="preserve">The statements made in the abovementioned circumstances can be safely interpreted as an expression of disapproval </w:t>
      </w:r>
      <w:r w:rsidR="004F63F6">
        <w:t>towards</w:t>
      </w:r>
      <w:r w:rsidRPr="005B103C">
        <w:t xml:space="preserve"> the Government</w:t>
      </w:r>
      <w:r w:rsidR="00291029">
        <w:t>’s role</w:t>
      </w:r>
      <w:r w:rsidR="007130B8">
        <w:t xml:space="preserve"> </w:t>
      </w:r>
      <w:r w:rsidRPr="005B103C">
        <w:t>so that the winning situation can be dealt with quickly and effectively. Since the statements were no longer made for the purpose of incitement of violence or public ill health, they will be protected as exceptions to sedition. The petitioner was within the permissible limits set out in the selection of the court docket in the Kedar Nath Singh case. It is possible that the positive factual information contained in the announcement was now incorrect. However, considering the overall content of the YouTube display as well as the statements as a whole, it cannot be said that the petitioner exceeded the limits set out in that court docket in that case.</w:t>
      </w:r>
      <w:r w:rsidR="0065349F">
        <w:rPr>
          <w:rStyle w:val="FootnoteReference"/>
        </w:rPr>
        <w:footnoteReference w:id="12"/>
      </w:r>
    </w:p>
    <w:p w14:paraId="6707A7DB" w14:textId="2A47F920" w:rsidR="00833DCC" w:rsidRDefault="00D03D20" w:rsidP="00833DCC">
      <w:pPr>
        <w:pStyle w:val="ListParagraph"/>
        <w:numPr>
          <w:ilvl w:val="0"/>
          <w:numId w:val="3"/>
        </w:numPr>
      </w:pPr>
      <w:r w:rsidRPr="005B103C">
        <w:t>The State argued that Disha and Shantanu were in contact through messaging apps and that Shantanu changed his identity to Disha in New Delhi during the violent clashes. The State further argued that the toolkit files circulated on social media showed disaffection with the government and were of a seditious nature. Disha, an environmental activist from Bengaluru, was named as the editor of the toolkit, which was created by an employer called the Poetic Justice Foundation. The Pro-</w:t>
      </w:r>
      <w:proofErr w:type="spellStart"/>
      <w:r w:rsidRPr="005B103C">
        <w:t>Khalistani</w:t>
      </w:r>
      <w:proofErr w:type="spellEnd"/>
      <w:r w:rsidRPr="005B103C">
        <w:t xml:space="preserve"> organization was alleged to have been behind the toolkit. The State also presented </w:t>
      </w:r>
      <w:r w:rsidRPr="005B103C">
        <w:lastRenderedPageBreak/>
        <w:t>records of a Zoom meeting between Disha and members of the Poetic Justice Federation.</w:t>
      </w:r>
    </w:p>
    <w:p w14:paraId="00EBB97C" w14:textId="31B9CA41" w:rsidR="00786F5E" w:rsidRPr="005B103C" w:rsidRDefault="00D03D20" w:rsidP="00833DCC">
      <w:pPr>
        <w:pStyle w:val="ListParagraph"/>
      </w:pPr>
      <w:r w:rsidRPr="005B103C">
        <w:t xml:space="preserve"> The question now being asked is whether Disha was engaged in peaceful protests and dissent, or was she actually involved in a seditious activity</w:t>
      </w:r>
      <w:r w:rsidR="00E05E93" w:rsidRPr="005B103C">
        <w:t>.</w:t>
      </w:r>
    </w:p>
    <w:p w14:paraId="7D2DB0FF" w14:textId="3F90EDC4" w:rsidR="008D4526" w:rsidRPr="005B103C" w:rsidRDefault="00E05E93" w:rsidP="005B103C">
      <w:pPr>
        <w:ind w:left="360"/>
      </w:pPr>
      <w:r w:rsidRPr="005B103C">
        <w:t>Residents are the moral guardians of the state in any democracy. They can’t be put behind bars in real life because they choose not to agree with the state’s politics. The reason for engaging with people of questionable backgrounds is important. Effortless isn’t the answer. There is no direct connection between the defendant’s actions and the violence that took place on 26 January 2021. The proper to are looking for a global audience with no geographical boundaries to engage in conversation is part of Article 19.</w:t>
      </w:r>
      <w:r w:rsidR="00900FD7">
        <w:rPr>
          <w:rStyle w:val="FootnoteReference"/>
        </w:rPr>
        <w:footnoteReference w:id="13"/>
      </w:r>
    </w:p>
    <w:p w14:paraId="743EA8C0" w14:textId="27CD34F9" w:rsidR="00833DCC" w:rsidRDefault="001F0000" w:rsidP="00833DCC">
      <w:pPr>
        <w:pStyle w:val="ListParagraph"/>
        <w:numPr>
          <w:ilvl w:val="0"/>
          <w:numId w:val="3"/>
        </w:numPr>
      </w:pPr>
      <w:r w:rsidRPr="005B103C">
        <w:t xml:space="preserve">The case of </w:t>
      </w:r>
      <w:r w:rsidRPr="00833DCC">
        <w:rPr>
          <w:b/>
          <w:bCs/>
          <w:u w:val="single"/>
        </w:rPr>
        <w:t>Sanskar Marathe v</w:t>
      </w:r>
      <w:r w:rsidR="000F6907">
        <w:rPr>
          <w:b/>
          <w:bCs/>
          <w:u w:val="single"/>
        </w:rPr>
        <w:t xml:space="preserve"> </w:t>
      </w:r>
      <w:r w:rsidRPr="00833DCC">
        <w:rPr>
          <w:b/>
          <w:bCs/>
          <w:u w:val="single"/>
        </w:rPr>
        <w:t>State of Maharashtra</w:t>
      </w:r>
      <w:r w:rsidRPr="005B103C">
        <w:t xml:space="preserve"> was brought before the Court of First Instance of the Supreme Court of India, Patiala Seva Kendra, Jaipur, Maharashtra, on the plea of defamation of Parliament, the Charter of India, the Ashok </w:t>
      </w:r>
      <w:r w:rsidR="001440DF">
        <w:t>Chakra</w:t>
      </w:r>
      <w:r w:rsidR="009F3A91">
        <w:t xml:space="preserve"> logo</w:t>
      </w:r>
      <w:r w:rsidRPr="005B103C">
        <w:t xml:space="preserve"> and </w:t>
      </w:r>
      <w:r w:rsidR="009F3A91">
        <w:t>s</w:t>
      </w:r>
      <w:r w:rsidRPr="005B103C">
        <w:t>ection 124A of the I</w:t>
      </w:r>
      <w:r w:rsidR="009F3A91">
        <w:t>PC,1860</w:t>
      </w:r>
      <w:r w:rsidRPr="005B103C">
        <w:t>. The main plea in th</w:t>
      </w:r>
      <w:r w:rsidR="009F3A91">
        <w:t>is</w:t>
      </w:r>
      <w:r w:rsidRPr="005B103C">
        <w:t xml:space="preserve"> case was filed by a political cartoonist and social activist, Aseem</w:t>
      </w:r>
      <w:r w:rsidR="00833DCC">
        <w:t xml:space="preserve"> </w:t>
      </w:r>
      <w:r w:rsidR="00833DCC" w:rsidRPr="005B103C">
        <w:t>Trivedi</w:t>
      </w:r>
      <w:r w:rsidRPr="005B103C">
        <w:t xml:space="preserve">, against the State of Maharashtra's decision to drop the charges of sedition registered against him. Trivedi uploaded several of his cartoons on a website called 'Cartoons </w:t>
      </w:r>
      <w:r w:rsidR="00833DCC">
        <w:t>Against</w:t>
      </w:r>
      <w:r w:rsidRPr="005B103C">
        <w:t xml:space="preserve"> Corruption'. The police had issued a non-bailable arrest warrant against Trivedi with the help of the additional Metropolitan Judge of the Peace. Trivedi was released on bail by the Judge. </w:t>
      </w:r>
    </w:p>
    <w:p w14:paraId="0C5CF563" w14:textId="77777777" w:rsidR="00833DCC" w:rsidRDefault="00833DCC" w:rsidP="00833DCC">
      <w:pPr>
        <w:pStyle w:val="ListParagraph"/>
      </w:pPr>
    </w:p>
    <w:p w14:paraId="3E4DBA63" w14:textId="22DCD17A" w:rsidR="00E05E93" w:rsidRPr="005B103C" w:rsidRDefault="001F0000" w:rsidP="00833DCC">
      <w:pPr>
        <w:pStyle w:val="ListParagraph"/>
      </w:pPr>
      <w:r w:rsidRPr="005B103C">
        <w:t>The Court has been asked the following questions: What is the legal effect of the invocation of stage 124A in a case on which the police relied? Did the police rely on the fact that Trivedi was prima facie guilty of sedition?</w:t>
      </w:r>
    </w:p>
    <w:p w14:paraId="2D0F6EAE" w14:textId="77777777" w:rsidR="00833DCC" w:rsidRDefault="00833DCC" w:rsidP="005B103C">
      <w:pPr>
        <w:pStyle w:val="ListParagraph"/>
      </w:pPr>
    </w:p>
    <w:p w14:paraId="4BA434A7" w14:textId="77777777" w:rsidR="00456EBD" w:rsidRDefault="00B24E46" w:rsidP="00456EBD">
      <w:pPr>
        <w:pStyle w:val="ListParagraph"/>
      </w:pPr>
      <w:r w:rsidRPr="005B103C">
        <w:t xml:space="preserve">The public interest Litigation was thrown out as the government gave tips to police personnel stating that the previous situations were met when invoking Section 124A. The court noted that disloyalty to the government is not always the same as expressing strong words against its actions or measures that will improve the situation of the people or prevent the cancellation or amendment of those actions or measures by legal means. Freedom of speech includes </w:t>
      </w:r>
      <w:r w:rsidR="00A30669">
        <w:t>F</w:t>
      </w:r>
      <w:r w:rsidRPr="005B103C">
        <w:t xml:space="preserve">reedom of </w:t>
      </w:r>
      <w:r w:rsidR="00A30669">
        <w:t>Speech</w:t>
      </w:r>
      <w:r w:rsidRPr="005B103C">
        <w:t xml:space="preserve"> and the </w:t>
      </w:r>
      <w:r w:rsidR="00A30669">
        <w:t>R</w:t>
      </w:r>
      <w:r w:rsidRPr="005B103C">
        <w:t xml:space="preserve">ight to express one's opinion. Open complaints about government policies and operations are not a reason to restrict </w:t>
      </w:r>
    </w:p>
    <w:p w14:paraId="031A0DE4" w14:textId="77777777" w:rsidR="00456EBD" w:rsidRDefault="00456EBD" w:rsidP="00456EBD">
      <w:pPr>
        <w:pStyle w:val="ListParagraph"/>
      </w:pPr>
    </w:p>
    <w:p w14:paraId="6CBD36FA" w14:textId="11AADA1A" w:rsidR="001F0000" w:rsidRPr="005B103C" w:rsidRDefault="00B24E46" w:rsidP="00456EBD">
      <w:pPr>
        <w:pStyle w:val="ListParagraph"/>
      </w:pPr>
      <w:r w:rsidRPr="005B103C">
        <w:t xml:space="preserve">expression. The freedom of speech and expression must be accompanied by explicit indignation against corruption within the political system. </w:t>
      </w:r>
      <w:r w:rsidR="00456EBD">
        <w:t>This Freedom</w:t>
      </w:r>
      <w:r w:rsidRPr="005B103C">
        <w:t xml:space="preserve"> cannot be infringed upon when there is no incitement of violence or public disorder.</w:t>
      </w:r>
      <w:r w:rsidR="0065349F">
        <w:rPr>
          <w:rStyle w:val="FootnoteReference"/>
        </w:rPr>
        <w:footnoteReference w:id="14"/>
      </w:r>
    </w:p>
    <w:p w14:paraId="35A130FA" w14:textId="2985EBB5" w:rsidR="00A419B0" w:rsidRPr="005B103C" w:rsidRDefault="00A419B0" w:rsidP="005B103C"/>
    <w:p w14:paraId="11B03CDF" w14:textId="5FE004BA" w:rsidR="00A419B0" w:rsidRPr="005B103C" w:rsidRDefault="00A419B0" w:rsidP="005B103C"/>
    <w:p w14:paraId="688EDE1A" w14:textId="77777777" w:rsidR="0065349F" w:rsidRDefault="00DD4F96" w:rsidP="00B24E46">
      <w:r>
        <w:t xml:space="preserve">                        </w:t>
      </w:r>
    </w:p>
    <w:p w14:paraId="2633D2A9" w14:textId="77777777" w:rsidR="0065349F" w:rsidRDefault="0065349F" w:rsidP="00B24E46"/>
    <w:p w14:paraId="0DD29336" w14:textId="77777777" w:rsidR="0065349F" w:rsidRDefault="0065349F" w:rsidP="00B24E46"/>
    <w:p w14:paraId="049CBFE8" w14:textId="77777777" w:rsidR="0065349F" w:rsidRDefault="0065349F" w:rsidP="00B24E46"/>
    <w:p w14:paraId="5D8F1405" w14:textId="77777777" w:rsidR="0065349F" w:rsidRDefault="0065349F" w:rsidP="00B24E46"/>
    <w:p w14:paraId="7B84B28C" w14:textId="77777777" w:rsidR="0065349F" w:rsidRDefault="0065349F" w:rsidP="00B24E46"/>
    <w:p w14:paraId="41549338" w14:textId="77777777" w:rsidR="0065349F" w:rsidRDefault="0065349F" w:rsidP="00B24E46"/>
    <w:p w14:paraId="0160F416" w14:textId="77777777" w:rsidR="0065349F" w:rsidRDefault="0065349F" w:rsidP="00B24E46"/>
    <w:p w14:paraId="067ED396" w14:textId="77777777" w:rsidR="0065349F" w:rsidRDefault="0065349F" w:rsidP="00B24E46"/>
    <w:p w14:paraId="5A80230E" w14:textId="77777777" w:rsidR="0065349F" w:rsidRDefault="0065349F" w:rsidP="00B24E46"/>
    <w:p w14:paraId="6DCBB175" w14:textId="77777777" w:rsidR="0065349F" w:rsidRDefault="0065349F" w:rsidP="00B24E46"/>
    <w:p w14:paraId="1EC04F72" w14:textId="77777777" w:rsidR="0065349F" w:rsidRDefault="0065349F" w:rsidP="00B24E46"/>
    <w:p w14:paraId="72073FBB" w14:textId="77777777" w:rsidR="0065349F" w:rsidRDefault="0065349F" w:rsidP="00B24E46"/>
    <w:p w14:paraId="6D8A4981" w14:textId="77777777" w:rsidR="0065349F" w:rsidRDefault="0065349F" w:rsidP="00B24E46"/>
    <w:p w14:paraId="4EBFDFB8" w14:textId="77777777" w:rsidR="0065349F" w:rsidRDefault="0065349F" w:rsidP="00B24E46"/>
    <w:p w14:paraId="561BDEC3" w14:textId="77777777" w:rsidR="0065349F" w:rsidRDefault="0065349F" w:rsidP="00B24E46"/>
    <w:p w14:paraId="0B49E136" w14:textId="77777777" w:rsidR="0065349F" w:rsidRDefault="0065349F" w:rsidP="00B24E46"/>
    <w:p w14:paraId="4EDED264" w14:textId="77777777" w:rsidR="0065349F" w:rsidRDefault="0065349F" w:rsidP="00B24E46"/>
    <w:p w14:paraId="31DFA412" w14:textId="77777777" w:rsidR="0065349F" w:rsidRDefault="0065349F" w:rsidP="00B24E46"/>
    <w:p w14:paraId="31CDDA22" w14:textId="240B7AA5" w:rsidR="00DD4F96" w:rsidRPr="00DD4F96" w:rsidRDefault="0065349F" w:rsidP="00B24E46">
      <w:pPr>
        <w:rPr>
          <w:b/>
          <w:bCs/>
          <w:sz w:val="32"/>
          <w:szCs w:val="32"/>
          <w:u w:val="single"/>
        </w:rPr>
      </w:pPr>
      <w:r>
        <w:t xml:space="preserve">                         </w:t>
      </w:r>
      <w:r w:rsidR="00DD4F96" w:rsidRPr="00DD4F96">
        <w:rPr>
          <w:b/>
          <w:bCs/>
          <w:sz w:val="32"/>
          <w:szCs w:val="32"/>
          <w:u w:val="single"/>
        </w:rPr>
        <w:t>How it is a threat to freedom of Speech?</w:t>
      </w:r>
    </w:p>
    <w:p w14:paraId="1ADFDBA9" w14:textId="0E4FCE49" w:rsidR="00F416DF" w:rsidRDefault="00A419B0" w:rsidP="00B24E46">
      <w:r w:rsidRPr="00A419B0">
        <w:t>In</w:t>
      </w:r>
      <w:r w:rsidR="00DA79B4">
        <w:t xml:space="preserve"> the past few</w:t>
      </w:r>
      <w:r w:rsidRPr="00A419B0">
        <w:t xml:space="preserve"> years, the </w:t>
      </w:r>
      <w:r w:rsidR="00DA79B4">
        <w:t>Law</w:t>
      </w:r>
      <w:r w:rsidRPr="00A419B0">
        <w:t xml:space="preserve"> of sedition has come </w:t>
      </w:r>
      <w:r w:rsidR="00663F56">
        <w:t>into</w:t>
      </w:r>
      <w:r w:rsidRPr="00A419B0">
        <w:t xml:space="preserve"> the limelight after a number of</w:t>
      </w:r>
      <w:r w:rsidR="00306A24">
        <w:t xml:space="preserve"> complaints were </w:t>
      </w:r>
      <w:r w:rsidRPr="00A419B0">
        <w:t xml:space="preserve">registered against </w:t>
      </w:r>
      <w:r w:rsidR="00306A24">
        <w:t>J</w:t>
      </w:r>
      <w:r w:rsidRPr="00A419B0">
        <w:t xml:space="preserve">ournalists, </w:t>
      </w:r>
      <w:r w:rsidR="00306A24">
        <w:t>A</w:t>
      </w:r>
      <w:r w:rsidRPr="00A419B0">
        <w:t xml:space="preserve">ctivists, </w:t>
      </w:r>
      <w:r w:rsidR="00306A24">
        <w:t>S</w:t>
      </w:r>
      <w:r w:rsidRPr="00A419B0">
        <w:t xml:space="preserve">tudents, </w:t>
      </w:r>
      <w:r w:rsidR="00306A24">
        <w:t>S</w:t>
      </w:r>
      <w:r w:rsidRPr="00A419B0">
        <w:t xml:space="preserve">ocial </w:t>
      </w:r>
      <w:r w:rsidR="00306A24">
        <w:t>W</w:t>
      </w:r>
      <w:r w:rsidRPr="00A419B0">
        <w:t xml:space="preserve">orkers, </w:t>
      </w:r>
      <w:r w:rsidR="00306A24">
        <w:t>I</w:t>
      </w:r>
      <w:r w:rsidRPr="00A419B0">
        <w:t xml:space="preserve">ntellectuals, </w:t>
      </w:r>
      <w:r w:rsidR="00ED1151" w:rsidRPr="00A419B0">
        <w:t>and Folk</w:t>
      </w:r>
      <w:r w:rsidRPr="00A419B0">
        <w:t xml:space="preserve"> </w:t>
      </w:r>
      <w:r w:rsidR="00663F56">
        <w:t>M</w:t>
      </w:r>
      <w:r w:rsidRPr="00A419B0">
        <w:t>usician</w:t>
      </w:r>
      <w:r w:rsidR="00663F56">
        <w:t>s who criticize the governmen</w:t>
      </w:r>
      <w:r w:rsidR="00740FFE">
        <w:t>t policies or its functionaries</w:t>
      </w:r>
      <w:r w:rsidRPr="00A419B0">
        <w:t xml:space="preserve"> </w:t>
      </w:r>
      <w:r w:rsidR="00ED1151">
        <w:t xml:space="preserve">and faced action by the Government on </w:t>
      </w:r>
      <w:r w:rsidRPr="00A419B0">
        <w:t>the basis of Article 124A of the Indian Penal Code (IPC). Anushka Singh explains that the rule has also been used against protesters.</w:t>
      </w:r>
      <w:r w:rsidR="00663F56">
        <w:t xml:space="preserve"> </w:t>
      </w:r>
      <w:r w:rsidRPr="00A419B0">
        <w:t xml:space="preserve">For example, the </w:t>
      </w:r>
      <w:r w:rsidR="001D2820">
        <w:t>large number of</w:t>
      </w:r>
      <w:r w:rsidRPr="00A419B0">
        <w:t xml:space="preserve"> cases of sedition in 2011 and 2016 against anti-nuke protesters in Chennai, Tamil Nadu; against seasoned reservation agitators such as the Jats of Haryana and Patidar agitators in Gujarat, 2015 and 2016.</w:t>
      </w:r>
      <w:r w:rsidR="0065349F">
        <w:rPr>
          <w:rStyle w:val="FootnoteReference"/>
        </w:rPr>
        <w:footnoteReference w:id="15"/>
      </w:r>
    </w:p>
    <w:p w14:paraId="32A61BD1" w14:textId="0F7D13BB" w:rsidR="00B24E46" w:rsidRDefault="00A419B0" w:rsidP="00B24E46">
      <w:r w:rsidRPr="00A419B0">
        <w:t xml:space="preserve"> The case of sedition in 2019 against </w:t>
      </w:r>
      <w:proofErr w:type="spellStart"/>
      <w:r w:rsidRPr="00A419B0">
        <w:t>Pathalgadi</w:t>
      </w:r>
      <w:proofErr w:type="spellEnd"/>
      <w:r w:rsidRPr="00A419B0">
        <w:t xml:space="preserve"> protesters at </w:t>
      </w:r>
      <w:proofErr w:type="spellStart"/>
      <w:r w:rsidRPr="00A419B0">
        <w:t>Khunti</w:t>
      </w:r>
      <w:proofErr w:type="spellEnd"/>
      <w:r w:rsidRPr="00A419B0">
        <w:t xml:space="preserve"> in Uttar Pradesh. The use of the </w:t>
      </w:r>
      <w:r w:rsidR="001D2820">
        <w:t xml:space="preserve">law </w:t>
      </w:r>
      <w:r w:rsidRPr="00A419B0">
        <w:t xml:space="preserve">against </w:t>
      </w:r>
      <w:r w:rsidR="001D2820">
        <w:t>A</w:t>
      </w:r>
      <w:r w:rsidRPr="00A419B0">
        <w:t>nti-citizenship (</w:t>
      </w:r>
      <w:r w:rsidR="00F00966">
        <w:t>Amendment</w:t>
      </w:r>
      <w:r w:rsidRPr="00A419B0">
        <w:t xml:space="preserve">) Act </w:t>
      </w:r>
      <w:r w:rsidR="001D2820">
        <w:t>protestors</w:t>
      </w:r>
      <w:r w:rsidRPr="00A419B0">
        <w:t xml:space="preserve"> in Delhi and Assam, 2020 and 2021.</w:t>
      </w:r>
    </w:p>
    <w:p w14:paraId="1AB9B3BD" w14:textId="15F2E361" w:rsidR="00A419B0" w:rsidRDefault="00E5726F" w:rsidP="00B24E46">
      <w:r w:rsidRPr="00E5726F">
        <w:t>According to the Crime in India 2019 data from the NCRB, there were 93 sedition cases filed in 2019, which is a rise of 65 percent compared to 2016. The charge of conviction also decreased from 33 percent to 33 percent in 2019. In August 2018, the Law Commission released a consultation paper on the history of sedition in India, comparing it to the United States, Australia</w:t>
      </w:r>
      <w:r w:rsidR="00D14DCB">
        <w:t xml:space="preserve">, United </w:t>
      </w:r>
      <w:r w:rsidR="0057217B">
        <w:t>Kingdom</w:t>
      </w:r>
      <w:r w:rsidRPr="00E5726F">
        <w:t xml:space="preserve">. It also raised a number of questions for further </w:t>
      </w:r>
      <w:r w:rsidR="00833DCC">
        <w:t>discussions</w:t>
      </w:r>
      <w:r w:rsidRPr="00E5726F">
        <w:t>, such as whether maintaining the supply of seditious material should be considered a crime. “Singing from the same tune is not a measure of patriotism in a democracy,” said the Law Commission.</w:t>
      </w:r>
      <w:r w:rsidR="007C0DBF">
        <w:rPr>
          <w:rStyle w:val="FootnoteReference"/>
        </w:rPr>
        <w:footnoteReference w:id="16"/>
      </w:r>
    </w:p>
    <w:p w14:paraId="0549063E" w14:textId="6A4C2555" w:rsidR="0065349F" w:rsidRDefault="000B5818" w:rsidP="00B24E46">
      <w:r w:rsidRPr="000B5818">
        <w:t xml:space="preserve">In 2021, several petitions were filed challenging the Constitutionality of the Sedition Regulation. These included a petition filed by </w:t>
      </w:r>
      <w:r w:rsidR="0057217B">
        <w:t>the</w:t>
      </w:r>
      <w:r w:rsidRPr="000B5818">
        <w:t xml:space="preserve"> </w:t>
      </w:r>
      <w:r w:rsidR="0057217B">
        <w:t>J</w:t>
      </w:r>
      <w:r w:rsidRPr="000B5818">
        <w:t>ournalists Kishore Wang</w:t>
      </w:r>
      <w:r w:rsidR="00142BF0">
        <w:t xml:space="preserve"> </w:t>
      </w:r>
      <w:proofErr w:type="spellStart"/>
      <w:r w:rsidR="00F00966">
        <w:t>Chhemcha</w:t>
      </w:r>
      <w:proofErr w:type="spellEnd"/>
      <w:r w:rsidRPr="000B5818">
        <w:t xml:space="preserve"> (Manipur) and Kanhaiya L Shukla (Chhattisgarh) challenging the constitutional validity of the </w:t>
      </w:r>
      <w:r w:rsidR="00142BF0">
        <w:t>Sedition</w:t>
      </w:r>
      <w:r w:rsidRPr="000B5818">
        <w:t xml:space="preserve"> </w:t>
      </w:r>
      <w:r w:rsidR="0065605D">
        <w:t>Law</w:t>
      </w:r>
      <w:r w:rsidRPr="000B5818">
        <w:t>.</w:t>
      </w:r>
    </w:p>
    <w:p w14:paraId="3DDEFBAB" w14:textId="77777777" w:rsidR="00EF5D69" w:rsidRDefault="000B5818" w:rsidP="00B24E46">
      <w:r w:rsidRPr="000B5818">
        <w:t xml:space="preserve"> Another petition was filed by the Editors' Guild of India challeng</w:t>
      </w:r>
      <w:r w:rsidR="00153F78">
        <w:t>ing</w:t>
      </w:r>
      <w:r w:rsidRPr="000B5818">
        <w:t xml:space="preserve"> the </w:t>
      </w:r>
      <w:r w:rsidR="00153F78">
        <w:t>C</w:t>
      </w:r>
      <w:r w:rsidRPr="000B5818">
        <w:t>onstitutiona</w:t>
      </w:r>
      <w:r w:rsidR="00153F78">
        <w:t>lity</w:t>
      </w:r>
      <w:r w:rsidRPr="000B5818">
        <w:t xml:space="preserve"> of Section 124A and Section 505 of the Indian Penal Code (IPC) as unconstitutional for violation of fundamental rights as laid down in the Constitution.</w:t>
      </w:r>
    </w:p>
    <w:p w14:paraId="24FD731E" w14:textId="7DC413A9" w:rsidR="000B5818" w:rsidRDefault="000B5818" w:rsidP="00B24E46">
      <w:r w:rsidRPr="000B5818">
        <w:lastRenderedPageBreak/>
        <w:t xml:space="preserve"> S.G </w:t>
      </w:r>
      <w:proofErr w:type="spellStart"/>
      <w:r w:rsidRPr="000B5818">
        <w:t>Vombatkere</w:t>
      </w:r>
      <w:proofErr w:type="spellEnd"/>
      <w:r w:rsidRPr="000B5818">
        <w:t xml:space="preserve"> (Retired Army</w:t>
      </w:r>
      <w:r w:rsidR="00F416DF">
        <w:t xml:space="preserve"> Officer</w:t>
      </w:r>
      <w:r w:rsidRPr="000B5818">
        <w:t>)</w:t>
      </w:r>
      <w:r w:rsidR="00EF5D69">
        <w:t xml:space="preserve">, a </w:t>
      </w:r>
      <w:r w:rsidRPr="000B5818">
        <w:t xml:space="preserve">well-known figure in public life, filed a public interest litigation against the constitutional validity of </w:t>
      </w:r>
      <w:r w:rsidR="00707ABB">
        <w:t>Section</w:t>
      </w:r>
      <w:r w:rsidRPr="000B5818">
        <w:t xml:space="preserve"> 124A of the IPC before the ideal courtroom </w:t>
      </w:r>
      <w:r w:rsidR="00F00966">
        <w:t xml:space="preserve">was </w:t>
      </w:r>
      <w:r w:rsidRPr="000B5818">
        <w:t xml:space="preserve">difficult. Other petitioners were </w:t>
      </w:r>
      <w:r w:rsidR="00F00966" w:rsidRPr="000B5818">
        <w:t>the</w:t>
      </w:r>
      <w:r w:rsidRPr="000B5818">
        <w:t xml:space="preserve"> journalist's affiliation (Assam), former </w:t>
      </w:r>
      <w:r w:rsidR="00707ABB">
        <w:t xml:space="preserve">head of the Ministry </w:t>
      </w:r>
      <w:r w:rsidRPr="000B5818">
        <w:t xml:space="preserve">of </w:t>
      </w:r>
      <w:r w:rsidR="002100D1">
        <w:t>Communications</w:t>
      </w:r>
      <w:r w:rsidRPr="000B5818">
        <w:t xml:space="preserve"> and former editor of</w:t>
      </w:r>
      <w:r w:rsidR="002100D1">
        <w:t xml:space="preserve"> </w:t>
      </w:r>
      <w:r w:rsidRPr="000B5818">
        <w:t xml:space="preserve">the </w:t>
      </w:r>
      <w:r w:rsidR="00142BF0" w:rsidRPr="000B5818">
        <w:t>India</w:t>
      </w:r>
      <w:r w:rsidRPr="000B5818">
        <w:t xml:space="preserve"> </w:t>
      </w:r>
      <w:r w:rsidR="00F00966">
        <w:t>Explicit</w:t>
      </w:r>
      <w:r w:rsidRPr="000B5818">
        <w:t xml:space="preserve">, the human beings’ </w:t>
      </w:r>
      <w:r w:rsidR="00142BF0">
        <w:t>Union</w:t>
      </w:r>
      <w:r w:rsidRPr="000B5818">
        <w:t xml:space="preserve"> for </w:t>
      </w:r>
      <w:r w:rsidR="00F00966">
        <w:t>Civil</w:t>
      </w:r>
      <w:r w:rsidRPr="000B5818">
        <w:t xml:space="preserve"> </w:t>
      </w:r>
      <w:r w:rsidR="00142BF0">
        <w:t>Liberties</w:t>
      </w:r>
      <w:r w:rsidRPr="000B5818">
        <w:t xml:space="preserve">, member of parliament (Trinamool Congress), Patricia Mukhim (editor-in-chief of the </w:t>
      </w:r>
      <w:r w:rsidR="00142BF0" w:rsidRPr="000B5818">
        <w:t>Shillong</w:t>
      </w:r>
      <w:r w:rsidRPr="000B5818">
        <w:t xml:space="preserve"> times), Anil </w:t>
      </w:r>
      <w:proofErr w:type="spellStart"/>
      <w:r w:rsidRPr="000B5818">
        <w:t>Chamadia</w:t>
      </w:r>
      <w:proofErr w:type="spellEnd"/>
      <w:r w:rsidRPr="000B5818">
        <w:t xml:space="preserve"> (chairman of the media research institution).</w:t>
      </w:r>
      <w:r w:rsidR="00ED456F">
        <w:rPr>
          <w:rStyle w:val="FootnoteReference"/>
        </w:rPr>
        <w:footnoteReference w:id="17"/>
      </w:r>
    </w:p>
    <w:p w14:paraId="1B792E32" w14:textId="76F128B6" w:rsidR="00F416DF" w:rsidRDefault="00226BA0" w:rsidP="00B24E46">
      <w:r w:rsidRPr="00226BA0">
        <w:t xml:space="preserve">At </w:t>
      </w:r>
      <w:r w:rsidR="00C86ABC">
        <w:t>the Court</w:t>
      </w:r>
      <w:r w:rsidRPr="00226BA0">
        <w:t xml:space="preserve"> in connection with the </w:t>
      </w:r>
      <w:proofErr w:type="spellStart"/>
      <w:r w:rsidR="00142BF0" w:rsidRPr="00C86ABC">
        <w:t>V</w:t>
      </w:r>
      <w:r w:rsidRPr="00C86ABC">
        <w:t>ombatkere</w:t>
      </w:r>
      <w:r w:rsidR="00C86ABC">
        <w:t>’s</w:t>
      </w:r>
      <w:proofErr w:type="spellEnd"/>
      <w:r w:rsidR="00C86ABC">
        <w:t xml:space="preserve"> case</w:t>
      </w:r>
      <w:r w:rsidRPr="00226BA0">
        <w:t xml:space="preserve"> and other cases on the 7th of </w:t>
      </w:r>
      <w:r w:rsidR="00142BF0">
        <w:t>May</w:t>
      </w:r>
      <w:r w:rsidRPr="00226BA0">
        <w:t xml:space="preserve"> 2022, a legal professional, Tushar </w:t>
      </w:r>
      <w:r w:rsidR="00142BF0">
        <w:t>Mehta</w:t>
      </w:r>
      <w:r w:rsidRPr="00226BA0">
        <w:t xml:space="preserve">, stated in a written statement that the judgment of the court in </w:t>
      </w:r>
      <w:r w:rsidR="00F00966" w:rsidRPr="00F416DF">
        <w:rPr>
          <w:b/>
          <w:bCs/>
          <w:u w:val="single"/>
        </w:rPr>
        <w:t>Kedar</w:t>
      </w:r>
      <w:r w:rsidRPr="00F416DF">
        <w:rPr>
          <w:b/>
          <w:bCs/>
          <w:u w:val="single"/>
        </w:rPr>
        <w:t xml:space="preserve"> </w:t>
      </w:r>
      <w:r w:rsidR="00F00966" w:rsidRPr="00F416DF">
        <w:rPr>
          <w:b/>
          <w:bCs/>
          <w:u w:val="single"/>
        </w:rPr>
        <w:t>Nath</w:t>
      </w:r>
      <w:r w:rsidRPr="00F416DF">
        <w:rPr>
          <w:b/>
          <w:bCs/>
          <w:u w:val="single"/>
        </w:rPr>
        <w:t xml:space="preserve"> </w:t>
      </w:r>
      <w:r w:rsidR="00142BF0" w:rsidRPr="00F416DF">
        <w:rPr>
          <w:b/>
          <w:bCs/>
          <w:u w:val="single"/>
        </w:rPr>
        <w:t>Singh</w:t>
      </w:r>
      <w:r w:rsidR="0038580D">
        <w:rPr>
          <w:b/>
          <w:bCs/>
          <w:u w:val="single"/>
        </w:rPr>
        <w:t xml:space="preserve">’s </w:t>
      </w:r>
      <w:r w:rsidR="0038580D">
        <w:t>case turned</w:t>
      </w:r>
      <w:r w:rsidRPr="00226BA0">
        <w:t xml:space="preserve"> into a </w:t>
      </w:r>
      <w:r w:rsidR="00C91DFA">
        <w:t>landmark</w:t>
      </w:r>
      <w:r w:rsidRPr="00226BA0">
        <w:t xml:space="preserve"> precedent and the petitioners have now failed to provide any justification as to why the court should file a locating on which the judgment of </w:t>
      </w:r>
      <w:r w:rsidR="00F00966" w:rsidRPr="00226BA0">
        <w:t>Kedar</w:t>
      </w:r>
      <w:r w:rsidRPr="00226BA0">
        <w:t xml:space="preserve"> </w:t>
      </w:r>
      <w:r w:rsidR="00F00966" w:rsidRPr="00226BA0">
        <w:t>Nath</w:t>
      </w:r>
      <w:r w:rsidRPr="00226BA0">
        <w:t xml:space="preserve"> </w:t>
      </w:r>
      <w:r w:rsidR="00F00966">
        <w:t>Sin</w:t>
      </w:r>
      <w:r w:rsidRPr="00226BA0">
        <w:t xml:space="preserve">gh has turned into outright illegality and needs to be reconsidered. The law, which dates back to </w:t>
      </w:r>
      <w:r w:rsidR="00F00966">
        <w:t>13</w:t>
      </w:r>
      <w:r w:rsidR="00F00966" w:rsidRPr="00F00966">
        <w:rPr>
          <w:vertAlign w:val="superscript"/>
        </w:rPr>
        <w:t>th</w:t>
      </w:r>
      <w:r w:rsidR="00F00966">
        <w:t>-century</w:t>
      </w:r>
      <w:r w:rsidRPr="00226BA0">
        <w:t xml:space="preserve"> monarchical England, has been on the statute books for 152 years.</w:t>
      </w:r>
      <w:r w:rsidR="00E906CE">
        <w:rPr>
          <w:rStyle w:val="FootnoteReference"/>
        </w:rPr>
        <w:footnoteReference w:id="18"/>
      </w:r>
    </w:p>
    <w:p w14:paraId="4AFEFA35" w14:textId="09D2CDD7" w:rsidR="00F416DF" w:rsidRDefault="00226BA0" w:rsidP="00B24E46">
      <w:r w:rsidRPr="00226BA0">
        <w:t xml:space="preserve"> Now it is on the statute books of India, which has been described as </w:t>
      </w:r>
      <w:r w:rsidR="00C91DFA">
        <w:t>“T</w:t>
      </w:r>
      <w:r w:rsidRPr="00226BA0">
        <w:t>he strongest courtroom in the world</w:t>
      </w:r>
      <w:r w:rsidR="00C91DFA">
        <w:t>”</w:t>
      </w:r>
      <w:r w:rsidRPr="00226BA0">
        <w:t xml:space="preserve"> by William Hubbard, a </w:t>
      </w:r>
      <w:r w:rsidR="00F62038">
        <w:t>professor</w:t>
      </w:r>
      <w:r w:rsidRPr="00226BA0">
        <w:t xml:space="preserve"> of law at </w:t>
      </w:r>
      <w:r w:rsidR="00F00966" w:rsidRPr="00226BA0">
        <w:t>Chicago</w:t>
      </w:r>
      <w:r w:rsidR="00F62038">
        <w:t xml:space="preserve"> College</w:t>
      </w:r>
      <w:r w:rsidRPr="00226BA0">
        <w:t xml:space="preserve">, </w:t>
      </w:r>
      <w:r w:rsidR="00585398">
        <w:t>E</w:t>
      </w:r>
      <w:r w:rsidRPr="00226BA0">
        <w:t xml:space="preserve">ditor of the </w:t>
      </w:r>
      <w:r w:rsidR="00585398">
        <w:t>J</w:t>
      </w:r>
      <w:r w:rsidRPr="00226BA0">
        <w:t xml:space="preserve">ournal </w:t>
      </w:r>
      <w:r w:rsidR="00585398">
        <w:t>L</w:t>
      </w:r>
      <w:r w:rsidRPr="00226BA0">
        <w:t xml:space="preserve">egal </w:t>
      </w:r>
      <w:r w:rsidR="00585398">
        <w:t>S</w:t>
      </w:r>
      <w:r w:rsidRPr="00226BA0">
        <w:t>tudies</w:t>
      </w:r>
      <w:r w:rsidR="00F416DF">
        <w:t>,</w:t>
      </w:r>
      <w:r w:rsidRPr="00226BA0">
        <w:t xml:space="preserve"> and </w:t>
      </w:r>
      <w:r w:rsidR="00585398">
        <w:t>A</w:t>
      </w:r>
      <w:r w:rsidRPr="00226BA0">
        <w:t xml:space="preserve">uthor of </w:t>
      </w:r>
      <w:r w:rsidR="00585398">
        <w:rPr>
          <w:b/>
          <w:bCs/>
          <w:u w:val="single"/>
        </w:rPr>
        <w:t>“</w:t>
      </w:r>
      <w:r w:rsidRPr="00F416DF">
        <w:rPr>
          <w:b/>
          <w:bCs/>
          <w:u w:val="single"/>
        </w:rPr>
        <w:t xml:space="preserve">The Supreme Court of </w:t>
      </w:r>
      <w:r w:rsidR="00F00966" w:rsidRPr="00F416DF">
        <w:rPr>
          <w:b/>
          <w:bCs/>
          <w:u w:val="single"/>
        </w:rPr>
        <w:t>India</w:t>
      </w:r>
      <w:r w:rsidRPr="00F416DF">
        <w:rPr>
          <w:b/>
          <w:bCs/>
          <w:u w:val="single"/>
        </w:rPr>
        <w:t>: an empirical evaluate</w:t>
      </w:r>
      <w:r w:rsidR="00585398">
        <w:t>”</w:t>
      </w:r>
      <w:r w:rsidRPr="00226BA0">
        <w:t>. In a conversation with the financial events, he explains:</w:t>
      </w:r>
      <w:r w:rsidR="00C90D2C">
        <w:t xml:space="preserve"> </w:t>
      </w:r>
      <w:r w:rsidR="00C90D2C" w:rsidRPr="00C90D2C">
        <w:t xml:space="preserve">The ideal courtroom of India is not the only one to make this observation, but it holds a special place in the history of the country for many reasons. It is by far the biggest </w:t>
      </w:r>
      <w:r w:rsidR="00F62038">
        <w:t>C</w:t>
      </w:r>
      <w:r w:rsidR="00C90D2C" w:rsidRPr="00C90D2C">
        <w:t>ommon-</w:t>
      </w:r>
      <w:r w:rsidR="00F62038">
        <w:t>L</w:t>
      </w:r>
      <w:r w:rsidR="00C90D2C" w:rsidRPr="00C90D2C">
        <w:t>aw court docket in the world. The Indian Constitution gives it far-reaching powers to initiate proceedings and exercise direct appellate jurisdiction over all courts in the country. Additionally, the primary structure doctrine provides it with the power to review constitutional changes.</w:t>
      </w:r>
    </w:p>
    <w:p w14:paraId="36E3ADF6" w14:textId="069CD28B" w:rsidR="00C90D2C" w:rsidRDefault="00C90D2C" w:rsidP="00B24E46">
      <w:r w:rsidRPr="00C90D2C">
        <w:t xml:space="preserve"> These powers set it apart from other effective courts in the world, including the Supreme Court of the United States (SCOTUS). Furthermore, the </w:t>
      </w:r>
      <w:r w:rsidR="005208B8">
        <w:t>Supreme Court of India</w:t>
      </w:r>
      <w:r w:rsidRPr="00C90D2C">
        <w:t xml:space="preserve"> remains a highly respected group among the people of India (and in the past), which gives it legitimacy when it comes to sporting events.</w:t>
      </w:r>
      <w:r w:rsidR="00130E33">
        <w:rPr>
          <w:rStyle w:val="FootnoteReference"/>
        </w:rPr>
        <w:footnoteReference w:id="19"/>
      </w:r>
    </w:p>
    <w:p w14:paraId="22982239" w14:textId="4E978303" w:rsidR="00DD4F96" w:rsidRPr="00DD4F96" w:rsidRDefault="00C90D2C" w:rsidP="00B24E46">
      <w:pPr>
        <w:rPr>
          <w:b/>
          <w:bCs/>
          <w:sz w:val="32"/>
          <w:szCs w:val="32"/>
          <w:u w:val="single"/>
        </w:rPr>
      </w:pPr>
      <w:r>
        <w:br w:type="page"/>
      </w:r>
      <w:r w:rsidR="00DD4F96">
        <w:lastRenderedPageBreak/>
        <w:t xml:space="preserve">                                                      </w:t>
      </w:r>
      <w:r w:rsidR="00DD4F96" w:rsidRPr="00DD4F96">
        <w:rPr>
          <w:b/>
          <w:bCs/>
          <w:sz w:val="32"/>
          <w:szCs w:val="32"/>
          <w:u w:val="single"/>
        </w:rPr>
        <w:t>Conclusion</w:t>
      </w:r>
      <w:r w:rsidR="00DD4F96">
        <w:rPr>
          <w:b/>
          <w:bCs/>
          <w:sz w:val="32"/>
          <w:szCs w:val="32"/>
          <w:u w:val="single"/>
        </w:rPr>
        <w:t xml:space="preserve">  </w:t>
      </w:r>
    </w:p>
    <w:p w14:paraId="2179FBF1" w14:textId="77777777" w:rsidR="00A6475D" w:rsidRDefault="00C04AE6" w:rsidP="00B24E46">
      <w:r w:rsidRPr="00C04AE6">
        <w:t>Human rights activists, along with various civil rights corporations, have called for the abolition of Section 124A, arguing that a colonial-era repressive provision should not have a place in a democratic country.</w:t>
      </w:r>
    </w:p>
    <w:p w14:paraId="2C01DC26" w14:textId="77777777" w:rsidR="00A6475D" w:rsidRDefault="00C04AE6" w:rsidP="00B24E46">
      <w:r w:rsidRPr="00C04AE6">
        <w:t xml:space="preserve"> In line with them, the provision defines sedition as any act that threatens the rights and liberty of the people. It has been repeatedly brought into force, even when there is no prospect of public order or instigation of violence. </w:t>
      </w:r>
    </w:p>
    <w:p w14:paraId="0BBE7F17" w14:textId="2ED48850" w:rsidR="000B5818" w:rsidRDefault="00C04AE6" w:rsidP="00B24E46">
      <w:r w:rsidRPr="00C04AE6">
        <w:t xml:space="preserve">The law commission published a consultation paper in 2018 asking for reconsideration of the legal guidelines under segment 124A. It has been observed that Britain, the author of the Regulation of Sedition in conjunction with Australia, Indonesia, and South Korea, </w:t>
      </w:r>
      <w:r w:rsidR="00A6475D">
        <w:t>has</w:t>
      </w:r>
      <w:r w:rsidRPr="00C04AE6">
        <w:t xml:space="preserve"> abolished their respective anti-sedition laws. It has been questioned whether a law enacted by the British to suppress the independence movement should still be valid in India.</w:t>
      </w:r>
    </w:p>
    <w:p w14:paraId="4593D45F" w14:textId="77777777" w:rsidR="00A6475D" w:rsidRDefault="004156C9" w:rsidP="00F00966">
      <w:r w:rsidRPr="004156C9">
        <w:t xml:space="preserve">Since its inception in 1870, the sedition law has been used to suppress any form of protest, opposition, or grievances of the government. </w:t>
      </w:r>
    </w:p>
    <w:p w14:paraId="673B5DDA" w14:textId="77777777" w:rsidR="00A6475D" w:rsidRDefault="004156C9" w:rsidP="00F00966">
      <w:r w:rsidRPr="004156C9">
        <w:t xml:space="preserve">The Kedar Nath judgment in which the court upheld the sedition law was rendered at a time </w:t>
      </w:r>
      <w:r w:rsidR="00F00966">
        <w:t>when</w:t>
      </w:r>
      <w:r w:rsidRPr="004156C9">
        <w:t xml:space="preserve"> doctrines such as the ‘chilling effect’ on unfastened speech which is causing mental hindrances through legal sanctions were unheard of.</w:t>
      </w:r>
    </w:p>
    <w:p w14:paraId="77941503" w14:textId="0AC87442" w:rsidR="00A6475D" w:rsidRDefault="004156C9" w:rsidP="00F00966">
      <w:r w:rsidRPr="004156C9">
        <w:t xml:space="preserve"> The growing number of sedition cases in the past couple of years shows that the authorities are using this superb law in an indiscriminate manner. The facts clearly show that phase 124A has been widely abused due to its misuse, its subjective utility, and its ambiguity</w:t>
      </w:r>
      <w:r w:rsidR="00F00966">
        <w:t>,</w:t>
      </w:r>
      <w:r w:rsidRPr="004156C9">
        <w:t xml:space="preserve"> and is often used as a tool to harass people for petty reasons.</w:t>
      </w:r>
    </w:p>
    <w:p w14:paraId="4720B8D4" w14:textId="77777777" w:rsidR="00A6475D" w:rsidRDefault="00A6475D">
      <w:r>
        <w:br w:type="page"/>
      </w:r>
    </w:p>
    <w:p w14:paraId="2221EE87" w14:textId="20317CCF" w:rsidR="004156C9" w:rsidRDefault="004156C9" w:rsidP="00F00966"/>
    <w:p w14:paraId="5C9DDEFC" w14:textId="77777777" w:rsidR="00E00CC1" w:rsidRPr="00E00CC1" w:rsidRDefault="00E00CC1" w:rsidP="00E00CC1">
      <w:pPr>
        <w:rPr>
          <w:b/>
          <w:bCs/>
          <w:u w:val="single"/>
        </w:rPr>
      </w:pPr>
      <w:r w:rsidRPr="00E00CC1">
        <w:t xml:space="preserve">                                                        </w:t>
      </w:r>
      <w:r w:rsidRPr="00E00CC1">
        <w:rPr>
          <w:b/>
          <w:bCs/>
          <w:u w:val="single"/>
        </w:rPr>
        <w:t>Bibliography</w:t>
      </w:r>
    </w:p>
    <w:p w14:paraId="2F805C90" w14:textId="121455C8" w:rsidR="00E00CC1" w:rsidRPr="00E00CC1" w:rsidRDefault="00E00CC1" w:rsidP="00E00CC1">
      <w:r w:rsidRPr="00E00CC1">
        <w:t xml:space="preserve"> </w:t>
      </w:r>
      <w:r>
        <w:t xml:space="preserve"> </w:t>
      </w:r>
      <w:r w:rsidRPr="00E00CC1">
        <w:t xml:space="preserve">      </w:t>
      </w:r>
      <w:r w:rsidRPr="00E00CC1">
        <w:rPr>
          <w:b/>
          <w:bCs/>
          <w:u w:val="single"/>
        </w:rPr>
        <w:t>Articles</w:t>
      </w:r>
      <w:r w:rsidRPr="00E00CC1">
        <w:t>:</w:t>
      </w:r>
    </w:p>
    <w:p w14:paraId="6A6BD32E" w14:textId="32B7874B" w:rsidR="00E00CC1" w:rsidRPr="00E00CC1" w:rsidRDefault="00E00CC1" w:rsidP="00E00CC1">
      <w:pPr>
        <w:numPr>
          <w:ilvl w:val="0"/>
          <w:numId w:val="4"/>
        </w:numPr>
      </w:pPr>
      <w:r w:rsidRPr="00E00CC1">
        <w:rPr>
          <w:b/>
          <w:bCs/>
        </w:rPr>
        <w:t>Manning, R. B. 1980</w:t>
      </w:r>
      <w:r w:rsidRPr="00E00CC1">
        <w:t>. </w:t>
      </w:r>
      <w:r w:rsidRPr="00E00CC1">
        <w:rPr>
          <w:i/>
          <w:iCs/>
        </w:rPr>
        <w:t>The Origins of the Doctrine of Sedition</w:t>
      </w:r>
      <w:r w:rsidRPr="00E00CC1">
        <w:t>, Albion: </w:t>
      </w:r>
      <w:r w:rsidRPr="00E00CC1">
        <w:rPr>
          <w:i/>
          <w:iCs/>
        </w:rPr>
        <w:t>A Quarterly Journal Concerned with British Studies</w:t>
      </w:r>
      <w:r w:rsidRPr="00E00CC1">
        <w:t>, The North American Conference on British Studies, Vol 12. No 2. (Summer 1980).</w:t>
      </w:r>
    </w:p>
    <w:p w14:paraId="459187DE" w14:textId="3C444221" w:rsidR="00E00CC1" w:rsidRDefault="00E00CC1" w:rsidP="00E00CC1">
      <w:pPr>
        <w:numPr>
          <w:ilvl w:val="0"/>
          <w:numId w:val="4"/>
        </w:numPr>
      </w:pPr>
      <w:r w:rsidRPr="00E00CC1">
        <w:rPr>
          <w:b/>
          <w:bCs/>
        </w:rPr>
        <w:t>Galanter, M. 1968.</w:t>
      </w:r>
      <w:r w:rsidRPr="00E00CC1">
        <w:t> The Displacement of Traditional Law in Modern India; </w:t>
      </w:r>
      <w:r w:rsidRPr="00E00CC1">
        <w:rPr>
          <w:i/>
          <w:iCs/>
        </w:rPr>
        <w:t>Journal of Social Issues</w:t>
      </w:r>
      <w:r w:rsidRPr="00E00CC1">
        <w:t> 24. pp. 65-91, in David Skuy, Macaulay and the Indian Penal Code of 1862: The Myth of the Inherent Superiority and Modernity of the English Legal System Compared to India’s Legal System in the Nineteenth Century. </w:t>
      </w:r>
      <w:r w:rsidRPr="00E00CC1">
        <w:rPr>
          <w:i/>
          <w:iCs/>
        </w:rPr>
        <w:t>Modern Asian Studies.</w:t>
      </w:r>
      <w:r w:rsidRPr="00E00CC1">
        <w:t> Jul 1998. Vol. 32. No. 3 (July 1998)</w:t>
      </w:r>
      <w:r>
        <w:t>.</w:t>
      </w:r>
    </w:p>
    <w:p w14:paraId="3C70F9CB" w14:textId="59488C20" w:rsidR="00AE15E5" w:rsidRPr="00AE15E5" w:rsidRDefault="00AE15E5" w:rsidP="00E00CC1">
      <w:pPr>
        <w:numPr>
          <w:ilvl w:val="0"/>
          <w:numId w:val="4"/>
        </w:numPr>
      </w:pPr>
      <w:r w:rsidRPr="00AE15E5">
        <w:rPr>
          <w:b/>
          <w:bCs/>
        </w:rPr>
        <w:t>Paul, S. 2019. </w:t>
      </w:r>
      <w:hyperlink r:id="rId11" w:tgtFrame="_blank" w:history="1">
        <w:r w:rsidRPr="00AE15E5">
          <w:rPr>
            <w:rStyle w:val="Hyperlink"/>
          </w:rPr>
          <w:t>In Conversation with Prof. William Hubbard</w:t>
        </w:r>
      </w:hyperlink>
      <w:r w:rsidRPr="00AE15E5">
        <w:t>, </w:t>
      </w:r>
      <w:r w:rsidRPr="00AE15E5">
        <w:rPr>
          <w:i/>
          <w:iCs/>
        </w:rPr>
        <w:t>The Economic Times</w:t>
      </w:r>
      <w:r w:rsidRPr="00AE15E5">
        <w:t>, October 9.</w:t>
      </w:r>
    </w:p>
    <w:p w14:paraId="7B1628A9" w14:textId="312BA15D" w:rsidR="00E00CC1" w:rsidRPr="00E00CC1" w:rsidRDefault="00E00CC1" w:rsidP="00E00CC1">
      <w:pPr>
        <w:rPr>
          <w:b/>
          <w:bCs/>
          <w:u w:val="single"/>
        </w:rPr>
      </w:pPr>
      <w:r>
        <w:rPr>
          <w:b/>
          <w:bCs/>
        </w:rPr>
        <w:t xml:space="preserve">   </w:t>
      </w:r>
      <w:r w:rsidRPr="00E00CC1">
        <w:rPr>
          <w:b/>
          <w:bCs/>
        </w:rPr>
        <w:t xml:space="preserve">   </w:t>
      </w:r>
      <w:r w:rsidRPr="00E00CC1">
        <w:rPr>
          <w:b/>
          <w:bCs/>
          <w:u w:val="single"/>
        </w:rPr>
        <w:t>Webliography:</w:t>
      </w:r>
    </w:p>
    <w:p w14:paraId="1C22D382" w14:textId="77777777" w:rsidR="00E00CC1" w:rsidRPr="00E00CC1" w:rsidRDefault="00000000" w:rsidP="00E00CC1">
      <w:pPr>
        <w:numPr>
          <w:ilvl w:val="0"/>
          <w:numId w:val="4"/>
        </w:numPr>
      </w:pPr>
      <w:hyperlink r:id="rId12" w:history="1">
        <w:r w:rsidR="00E00CC1" w:rsidRPr="00E00CC1">
          <w:rPr>
            <w:rStyle w:val="Hyperlink"/>
          </w:rPr>
          <w:t>https://www.thehindu.com/news/national/1962-verdict-which-upheld-validity-of-sedition-law-is-a-binding-precedent-government-tells-supreme-court/article65392379.ece</w:t>
        </w:r>
      </w:hyperlink>
      <w:r w:rsidR="00E00CC1" w:rsidRPr="00E00CC1">
        <w:t xml:space="preserve"> </w:t>
      </w:r>
    </w:p>
    <w:p w14:paraId="7F18DC4B" w14:textId="77777777" w:rsidR="00E00CC1" w:rsidRPr="00E00CC1" w:rsidRDefault="00000000" w:rsidP="00E00CC1">
      <w:pPr>
        <w:numPr>
          <w:ilvl w:val="0"/>
          <w:numId w:val="4"/>
        </w:numPr>
      </w:pPr>
      <w:hyperlink r:id="rId13" w:history="1">
        <w:r w:rsidR="00E00CC1" w:rsidRPr="00E00CC1">
          <w:rPr>
            <w:rStyle w:val="Hyperlink"/>
          </w:rPr>
          <w:t>https://www.scobserver.in/journal/is-sedition-constitutional-from-tara-chand-1950-to-aditya-ranjan-2021/</w:t>
        </w:r>
      </w:hyperlink>
    </w:p>
    <w:p w14:paraId="77C820AE" w14:textId="77777777" w:rsidR="00E00CC1" w:rsidRPr="00E00CC1" w:rsidRDefault="00000000" w:rsidP="00E00CC1">
      <w:pPr>
        <w:numPr>
          <w:ilvl w:val="0"/>
          <w:numId w:val="4"/>
        </w:numPr>
      </w:pPr>
      <w:hyperlink r:id="rId14" w:history="1">
        <w:r w:rsidR="00E00CC1" w:rsidRPr="00E00CC1">
          <w:rPr>
            <w:rStyle w:val="Hyperlink"/>
          </w:rPr>
          <w:t>https://thewire.in/law/explainer-how-the-sedition-law-has-been-used-in-the-modi-era</w:t>
        </w:r>
      </w:hyperlink>
      <w:r w:rsidR="00E00CC1" w:rsidRPr="00E00CC1">
        <w:t xml:space="preserve"> </w:t>
      </w:r>
    </w:p>
    <w:p w14:paraId="72AA5259" w14:textId="77777777" w:rsidR="00E00CC1" w:rsidRDefault="00000000" w:rsidP="00E00CC1">
      <w:pPr>
        <w:numPr>
          <w:ilvl w:val="0"/>
          <w:numId w:val="4"/>
        </w:numPr>
      </w:pPr>
      <w:hyperlink r:id="rId15" w:history="1">
        <w:r w:rsidR="00E00CC1" w:rsidRPr="00E00CC1">
          <w:rPr>
            <w:rStyle w:val="Hyperlink"/>
          </w:rPr>
          <w:t>https://indiankanoon.org/</w:t>
        </w:r>
      </w:hyperlink>
    </w:p>
    <w:p w14:paraId="6E3B59C6" w14:textId="551DC8B9" w:rsidR="00E00CC1" w:rsidRPr="00E00CC1" w:rsidRDefault="00E00CC1" w:rsidP="00E00CC1">
      <w:pPr>
        <w:ind w:left="360"/>
      </w:pPr>
      <w:r w:rsidRPr="00E00CC1">
        <w:rPr>
          <w:b/>
          <w:bCs/>
          <w:u w:val="single"/>
        </w:rPr>
        <w:t>Act/Statues</w:t>
      </w:r>
      <w:r w:rsidRPr="00E00CC1">
        <w:t>:</w:t>
      </w:r>
    </w:p>
    <w:p w14:paraId="5C25D63B" w14:textId="77777777" w:rsidR="00E00CC1" w:rsidRDefault="00E00CC1" w:rsidP="00E00CC1">
      <w:pPr>
        <w:numPr>
          <w:ilvl w:val="0"/>
          <w:numId w:val="4"/>
        </w:numPr>
      </w:pPr>
      <w:r w:rsidRPr="00E00CC1">
        <w:t>Indian Penal Code,1860 (Act 5 of 1860)</w:t>
      </w:r>
    </w:p>
    <w:p w14:paraId="10A806DC" w14:textId="555FED77" w:rsidR="00E00CC1" w:rsidRPr="00E00CC1" w:rsidRDefault="00E00CC1" w:rsidP="00E00CC1">
      <w:pPr>
        <w:ind w:left="360"/>
      </w:pPr>
      <w:r w:rsidRPr="00E00CC1">
        <w:rPr>
          <w:b/>
          <w:bCs/>
          <w:u w:val="single"/>
        </w:rPr>
        <w:t>Reports:</w:t>
      </w:r>
    </w:p>
    <w:p w14:paraId="191BF32D" w14:textId="18F27950" w:rsidR="00E00CC1" w:rsidRPr="00E00CC1" w:rsidRDefault="00E00CC1" w:rsidP="00374E05">
      <w:pPr>
        <w:numPr>
          <w:ilvl w:val="0"/>
          <w:numId w:val="4"/>
        </w:numPr>
      </w:pPr>
      <w:r w:rsidRPr="00E00CC1">
        <w:t>Law</w:t>
      </w:r>
      <w:r w:rsidR="00374E05">
        <w:t xml:space="preserve"> </w:t>
      </w:r>
      <w:r w:rsidRPr="00E00CC1">
        <w:t>Commission</w:t>
      </w:r>
      <w:r w:rsidR="00374E05">
        <w:t xml:space="preserve"> </w:t>
      </w:r>
      <w:r w:rsidRPr="00E00CC1">
        <w:t>of</w:t>
      </w:r>
      <w:r w:rsidR="00374E05">
        <w:t xml:space="preserve"> </w:t>
      </w:r>
      <w:r w:rsidRPr="00E00CC1">
        <w:t>India,</w:t>
      </w:r>
      <w:r w:rsidR="00374E05">
        <w:t xml:space="preserve"> </w:t>
      </w:r>
      <w:r w:rsidRPr="00E00CC1">
        <w:t xml:space="preserve">2018 </w:t>
      </w:r>
      <w:hyperlink r:id="rId16" w:history="1">
        <w:r w:rsidR="00374E05" w:rsidRPr="000C3ABE">
          <w:rPr>
            <w:rStyle w:val="Hyperlink"/>
          </w:rPr>
          <w:t>https://cdnbbsr.s3waas.gov.in/s3ca0daec69b5adc880fb464895726dbdf/uploads/2022/09/2022092610.pdf</w:t>
        </w:r>
      </w:hyperlink>
    </w:p>
    <w:p w14:paraId="6296A856" w14:textId="77777777" w:rsidR="00786F5E" w:rsidRPr="00B96444" w:rsidRDefault="00786F5E" w:rsidP="00B96444"/>
    <w:sectPr w:rsidR="00786F5E" w:rsidRPr="00B96444" w:rsidSect="00E00CC1">
      <w:pgSz w:w="11906" w:h="16838"/>
      <w:pgMar w:top="1440" w:right="1440" w:bottom="1440" w:left="1440" w:header="708" w:footer="708" w:gutter="0"/>
      <w:pgBorders w:offsetFrom="page">
        <w:top w:val="thickThinMediumGap" w:sz="24" w:space="24" w:color="auto"/>
        <w:left w:val="thickThinMediumGap" w:sz="24" w:space="24" w:color="auto"/>
        <w:bottom w:val="thickThinMediumGap" w:sz="24" w:space="24" w:color="auto"/>
        <w:right w:val="thickThinMediumGap" w:sz="2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9AC5220" w14:textId="77777777" w:rsidR="00FD6EB5" w:rsidRDefault="00FD6EB5" w:rsidP="0065349F">
      <w:pPr>
        <w:spacing w:after="0" w:line="240" w:lineRule="auto"/>
      </w:pPr>
      <w:r>
        <w:separator/>
      </w:r>
    </w:p>
  </w:endnote>
  <w:endnote w:type="continuationSeparator" w:id="0">
    <w:p w14:paraId="2B2A18F1" w14:textId="77777777" w:rsidR="00FD6EB5" w:rsidRDefault="00FD6EB5" w:rsidP="006534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onsolas">
    <w:panose1 w:val="020B0609020204030204"/>
    <w:charset w:val="00"/>
    <w:family w:val="roman"/>
    <w:notTrueType/>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2AA719" w14:textId="77777777" w:rsidR="00FD6EB5" w:rsidRDefault="00FD6EB5" w:rsidP="0065349F">
      <w:pPr>
        <w:spacing w:after="0" w:line="240" w:lineRule="auto"/>
      </w:pPr>
      <w:r>
        <w:separator/>
      </w:r>
    </w:p>
  </w:footnote>
  <w:footnote w:type="continuationSeparator" w:id="0">
    <w:p w14:paraId="7EB7C498" w14:textId="77777777" w:rsidR="00FD6EB5" w:rsidRDefault="00FD6EB5" w:rsidP="0065349F">
      <w:pPr>
        <w:spacing w:after="0" w:line="240" w:lineRule="auto"/>
      </w:pPr>
      <w:r>
        <w:continuationSeparator/>
      </w:r>
    </w:p>
  </w:footnote>
  <w:footnote w:id="1">
    <w:p w14:paraId="0401569D" w14:textId="586AF34D" w:rsidR="0065349F" w:rsidRDefault="0065349F">
      <w:pPr>
        <w:pStyle w:val="FootnoteText"/>
      </w:pPr>
      <w:r>
        <w:rPr>
          <w:rStyle w:val="FootnoteReference"/>
        </w:rPr>
        <w:footnoteRef/>
      </w:r>
      <w:r>
        <w:t xml:space="preserve"> </w:t>
      </w:r>
      <w:r w:rsidR="00146A6E" w:rsidRPr="00146A6E">
        <w:t>M. Galanter</w:t>
      </w:r>
      <w:r w:rsidR="00146A6E">
        <w:t>,</w:t>
      </w:r>
      <w:r w:rsidR="003809FB">
        <w:t xml:space="preserve"> </w:t>
      </w:r>
      <w:r w:rsidR="0010340E">
        <w:t>“</w:t>
      </w:r>
      <w:r w:rsidR="005769BC" w:rsidRPr="005769BC">
        <w:t>The Displacement of Traditional Law in Modern India</w:t>
      </w:r>
      <w:r w:rsidR="0010340E">
        <w:t>”</w:t>
      </w:r>
      <w:r w:rsidR="00D5542E">
        <w:t xml:space="preserve"> 65-91 </w:t>
      </w:r>
      <w:r w:rsidR="005769BC" w:rsidRPr="00D5542E">
        <w:rPr>
          <w:i/>
          <w:iCs/>
        </w:rPr>
        <w:t>Journal of Social Issues</w:t>
      </w:r>
      <w:r w:rsidR="005769BC" w:rsidRPr="005769BC">
        <w:t> 24</w:t>
      </w:r>
      <w:r w:rsidR="0035382D">
        <w:t>,</w:t>
      </w:r>
      <w:r w:rsidR="003809FB">
        <w:t xml:space="preserve"> </w:t>
      </w:r>
      <w:r w:rsidR="00D5542E">
        <w:t>(</w:t>
      </w:r>
      <w:r w:rsidR="003809FB">
        <w:t>1968</w:t>
      </w:r>
      <w:r w:rsidR="00D5542E">
        <w:t>)</w:t>
      </w:r>
      <w:r w:rsidR="00CC3451">
        <w:t>.</w:t>
      </w:r>
    </w:p>
  </w:footnote>
  <w:footnote w:id="2">
    <w:p w14:paraId="25E92E37" w14:textId="11CDC30B" w:rsidR="0065349F" w:rsidRPr="009F5C47" w:rsidRDefault="0065349F">
      <w:pPr>
        <w:pStyle w:val="FootnoteText"/>
      </w:pPr>
      <w:r>
        <w:rPr>
          <w:rStyle w:val="FootnoteReference"/>
        </w:rPr>
        <w:footnoteRef/>
      </w:r>
      <w:r>
        <w:t xml:space="preserve"> </w:t>
      </w:r>
      <w:r w:rsidR="009F5C47" w:rsidRPr="009F5C47">
        <w:t>Law Commission of India</w:t>
      </w:r>
      <w:r w:rsidR="0092026E">
        <w:t xml:space="preserve">, </w:t>
      </w:r>
      <w:r w:rsidR="000569C0">
        <w:t>“</w:t>
      </w:r>
      <w:r w:rsidR="006245DF" w:rsidRPr="006245DF">
        <w:t>Consultation paper on Sedition</w:t>
      </w:r>
      <w:r w:rsidR="006245DF">
        <w:t xml:space="preserve">” </w:t>
      </w:r>
      <w:r w:rsidR="00FF7A56">
        <w:t xml:space="preserve">9 </w:t>
      </w:r>
      <w:r w:rsidR="009F0603">
        <w:t>(August 2018)</w:t>
      </w:r>
    </w:p>
  </w:footnote>
  <w:footnote w:id="3">
    <w:p w14:paraId="076473CD" w14:textId="7CA796A5" w:rsidR="0065349F" w:rsidRDefault="0065349F">
      <w:pPr>
        <w:pStyle w:val="FootnoteText"/>
      </w:pPr>
      <w:r>
        <w:rPr>
          <w:rStyle w:val="FootnoteReference"/>
        </w:rPr>
        <w:footnoteRef/>
      </w:r>
      <w:r>
        <w:t xml:space="preserve"> </w:t>
      </w:r>
      <w:r w:rsidR="009F5C47">
        <w:t>Ibid</w:t>
      </w:r>
      <w:r w:rsidR="0090675D">
        <w:t xml:space="preserve">. at </w:t>
      </w:r>
      <w:r w:rsidR="00CB2A9A">
        <w:t>11</w:t>
      </w:r>
    </w:p>
  </w:footnote>
  <w:footnote w:id="4">
    <w:p w14:paraId="64CD9889" w14:textId="34230839" w:rsidR="0065349F" w:rsidRDefault="0065349F">
      <w:pPr>
        <w:pStyle w:val="FootnoteText"/>
      </w:pPr>
      <w:r>
        <w:rPr>
          <w:rStyle w:val="FootnoteReference"/>
        </w:rPr>
        <w:footnoteRef/>
      </w:r>
      <w:r w:rsidR="0013136F" w:rsidRPr="0013136F">
        <w:t xml:space="preserve"> Indian Penal Code, 1860 (Act 5 of 1860</w:t>
      </w:r>
      <w:r w:rsidR="0013136F">
        <w:t>) s. 124A</w:t>
      </w:r>
    </w:p>
  </w:footnote>
  <w:footnote w:id="5">
    <w:p w14:paraId="3D93DFEB" w14:textId="6BA72A7F" w:rsidR="005434FD" w:rsidRDefault="005434FD">
      <w:pPr>
        <w:pStyle w:val="FootnoteText"/>
      </w:pPr>
      <w:r>
        <w:rPr>
          <w:rStyle w:val="FootnoteReference"/>
        </w:rPr>
        <w:footnoteRef/>
      </w:r>
      <w:r>
        <w:t xml:space="preserve"> </w:t>
      </w:r>
      <w:r w:rsidR="000D6921" w:rsidRPr="000D6921">
        <w:t>(1942) FCR 48</w:t>
      </w:r>
    </w:p>
  </w:footnote>
  <w:footnote w:id="6">
    <w:p w14:paraId="2133C2C0" w14:textId="7CC395D6" w:rsidR="00FE76B3" w:rsidRDefault="00FE76B3">
      <w:pPr>
        <w:pStyle w:val="FootnoteText"/>
      </w:pPr>
      <w:r>
        <w:rPr>
          <w:rStyle w:val="FootnoteReference"/>
        </w:rPr>
        <w:footnoteRef/>
      </w:r>
      <w:r>
        <w:t xml:space="preserve"> </w:t>
      </w:r>
      <w:r w:rsidR="00D057F1" w:rsidRPr="00D057F1">
        <w:t>Federal Court Reports. 1942</w:t>
      </w:r>
      <w:r w:rsidR="00D057F1">
        <w:t>, March-April</w:t>
      </w:r>
    </w:p>
  </w:footnote>
  <w:footnote w:id="7">
    <w:p w14:paraId="6A1006FF" w14:textId="1B2AC541" w:rsidR="0065349F" w:rsidRDefault="0065349F">
      <w:pPr>
        <w:pStyle w:val="FootnoteText"/>
      </w:pPr>
      <w:r>
        <w:rPr>
          <w:rStyle w:val="FootnoteReference"/>
        </w:rPr>
        <w:footnoteRef/>
      </w:r>
      <w:r>
        <w:t xml:space="preserve"> </w:t>
      </w:r>
      <w:r w:rsidR="0063204E" w:rsidRPr="0048076A">
        <w:rPr>
          <w:i/>
          <w:iCs/>
        </w:rPr>
        <w:t>Tara Singh Gopi Chand v</w:t>
      </w:r>
      <w:r w:rsidR="00690D41" w:rsidRPr="0048076A">
        <w:rPr>
          <w:i/>
          <w:iCs/>
        </w:rPr>
        <w:t>.</w:t>
      </w:r>
      <w:r w:rsidR="0063204E" w:rsidRPr="0048076A">
        <w:rPr>
          <w:i/>
          <w:iCs/>
        </w:rPr>
        <w:t xml:space="preserve"> The State</w:t>
      </w:r>
      <w:r w:rsidR="00D575F5">
        <w:t xml:space="preserve"> </w:t>
      </w:r>
      <w:r w:rsidR="00C003C1">
        <w:t>(</w:t>
      </w:r>
      <w:r w:rsidR="00435ECF" w:rsidRPr="00435ECF">
        <w:t>1951</w:t>
      </w:r>
      <w:r w:rsidR="00C003C1">
        <w:t>)</w:t>
      </w:r>
      <w:r w:rsidR="00435ECF" w:rsidRPr="00435ECF">
        <w:t xml:space="preserve"> Cri</w:t>
      </w:r>
      <w:r w:rsidR="00C003C1">
        <w:t xml:space="preserve"> </w:t>
      </w:r>
      <w:r w:rsidR="00435ECF" w:rsidRPr="00435ECF">
        <w:t>LJ 449</w:t>
      </w:r>
    </w:p>
  </w:footnote>
  <w:footnote w:id="8">
    <w:p w14:paraId="176C4683" w14:textId="683B904F" w:rsidR="0065349F" w:rsidRDefault="0065349F">
      <w:pPr>
        <w:pStyle w:val="FootnoteText"/>
      </w:pPr>
      <w:r>
        <w:rPr>
          <w:rStyle w:val="FootnoteReference"/>
        </w:rPr>
        <w:footnoteRef/>
      </w:r>
      <w:r>
        <w:t xml:space="preserve"> </w:t>
      </w:r>
      <w:r w:rsidR="002902EC" w:rsidRPr="0048076A">
        <w:rPr>
          <w:i/>
          <w:iCs/>
        </w:rPr>
        <w:t>Sabir Raza v. The State</w:t>
      </w:r>
      <w:r w:rsidR="002902EC" w:rsidRPr="002902EC">
        <w:rPr>
          <w:i/>
          <w:iCs/>
        </w:rPr>
        <w:t>,</w:t>
      </w:r>
      <w:r w:rsidR="002902EC" w:rsidRPr="002902EC">
        <w:t> Cri App No. 1434 of 1955</w:t>
      </w:r>
    </w:p>
  </w:footnote>
  <w:footnote w:id="9">
    <w:p w14:paraId="46922F52" w14:textId="2CB1FF1F" w:rsidR="0065349F" w:rsidRDefault="0065349F">
      <w:pPr>
        <w:pStyle w:val="FootnoteText"/>
      </w:pPr>
      <w:r>
        <w:rPr>
          <w:rStyle w:val="FootnoteReference"/>
        </w:rPr>
        <w:footnoteRef/>
      </w:r>
      <w:r>
        <w:t xml:space="preserve"> </w:t>
      </w:r>
      <w:r w:rsidR="005D3AA0" w:rsidRPr="0048076A">
        <w:rPr>
          <w:i/>
          <w:iCs/>
        </w:rPr>
        <w:t>Ram Nandan v. State of UP</w:t>
      </w:r>
      <w:r w:rsidR="005D3AA0" w:rsidRPr="005D3AA0">
        <w:t>; </w:t>
      </w:r>
      <w:r w:rsidR="00C003C1">
        <w:t>(</w:t>
      </w:r>
      <w:r w:rsidR="005D3AA0" w:rsidRPr="005D3AA0">
        <w:t>AIR 1959 All 101</w:t>
      </w:r>
      <w:r w:rsidR="00C003C1">
        <w:t>)</w:t>
      </w:r>
    </w:p>
  </w:footnote>
  <w:footnote w:id="10">
    <w:p w14:paraId="4817BDC7" w14:textId="47591E83" w:rsidR="0065349F" w:rsidRDefault="0065349F">
      <w:pPr>
        <w:pStyle w:val="FootnoteText"/>
      </w:pPr>
      <w:r>
        <w:rPr>
          <w:rStyle w:val="FootnoteReference"/>
        </w:rPr>
        <w:footnoteRef/>
      </w:r>
      <w:r>
        <w:t xml:space="preserve"> </w:t>
      </w:r>
      <w:r w:rsidR="003F2B2E" w:rsidRPr="0048076A">
        <w:rPr>
          <w:i/>
          <w:iCs/>
        </w:rPr>
        <w:t>Kedar Nath Singh v. State of Bihar</w:t>
      </w:r>
      <w:r w:rsidR="003F2B2E" w:rsidRPr="003F2B2E">
        <w:t>; </w:t>
      </w:r>
      <w:r w:rsidR="00C003C1">
        <w:t>(</w:t>
      </w:r>
      <w:r w:rsidR="003F2B2E" w:rsidRPr="003F2B2E">
        <w:t>1962</w:t>
      </w:r>
      <w:r w:rsidR="00C003C1">
        <w:t>)</w:t>
      </w:r>
      <w:r w:rsidR="003F2B2E" w:rsidRPr="003F2B2E">
        <w:t xml:space="preserve"> Supp. (2) S.C.R. 769</w:t>
      </w:r>
    </w:p>
  </w:footnote>
  <w:footnote w:id="11">
    <w:p w14:paraId="489442D1" w14:textId="2DA8180D" w:rsidR="00F1241D" w:rsidRPr="00F1241D" w:rsidRDefault="0065349F" w:rsidP="00F1241D">
      <w:pPr>
        <w:pStyle w:val="FootnoteText"/>
      </w:pPr>
      <w:r>
        <w:rPr>
          <w:rStyle w:val="FootnoteReference"/>
        </w:rPr>
        <w:footnoteRef/>
      </w:r>
      <w:r>
        <w:t xml:space="preserve"> </w:t>
      </w:r>
      <w:r w:rsidR="00F1241D" w:rsidRPr="00133093">
        <w:rPr>
          <w:i/>
          <w:iCs/>
        </w:rPr>
        <w:t xml:space="preserve">Common Cause (A Regd. Society) vs. Union of India and </w:t>
      </w:r>
      <w:r w:rsidR="00C003C1" w:rsidRPr="00133093">
        <w:rPr>
          <w:i/>
          <w:iCs/>
        </w:rPr>
        <w:t>A</w:t>
      </w:r>
      <w:r w:rsidR="00C003C1">
        <w:rPr>
          <w:i/>
          <w:iCs/>
        </w:rPr>
        <w:t>nr.</w:t>
      </w:r>
      <w:r w:rsidR="00F1241D">
        <w:t xml:space="preserve"> </w:t>
      </w:r>
      <w:r w:rsidR="00C003C1">
        <w:t>(</w:t>
      </w:r>
      <w:r w:rsidR="005964B6" w:rsidRPr="005964B6">
        <w:t>AIR 2018 SC 1665</w:t>
      </w:r>
      <w:r w:rsidR="00C003C1">
        <w:t>)</w:t>
      </w:r>
    </w:p>
    <w:p w14:paraId="3F9FD685" w14:textId="7AD42AEE" w:rsidR="0065349F" w:rsidRDefault="0065349F">
      <w:pPr>
        <w:pStyle w:val="FootnoteText"/>
      </w:pPr>
    </w:p>
  </w:footnote>
  <w:footnote w:id="12">
    <w:p w14:paraId="700AD5ED" w14:textId="6B14F242" w:rsidR="0065349F" w:rsidRDefault="0065349F">
      <w:pPr>
        <w:pStyle w:val="FootnoteText"/>
      </w:pPr>
      <w:r>
        <w:rPr>
          <w:rStyle w:val="FootnoteReference"/>
        </w:rPr>
        <w:footnoteRef/>
      </w:r>
      <w:r>
        <w:t xml:space="preserve"> </w:t>
      </w:r>
      <w:r w:rsidR="00E62C3E" w:rsidRPr="000B730D">
        <w:rPr>
          <w:i/>
          <w:iCs/>
        </w:rPr>
        <w:t>Vinod Dua vs Union of India</w:t>
      </w:r>
      <w:r w:rsidR="00E62C3E">
        <w:t xml:space="preserve"> </w:t>
      </w:r>
      <w:r w:rsidR="00900FD7" w:rsidRPr="00900FD7">
        <w:t>Writ Petition (Criminal) No.154 of 2020</w:t>
      </w:r>
    </w:p>
  </w:footnote>
  <w:footnote w:id="13">
    <w:p w14:paraId="35FE3CFD" w14:textId="4744BF40" w:rsidR="00900FD7" w:rsidRDefault="00900FD7">
      <w:pPr>
        <w:pStyle w:val="FootnoteText"/>
      </w:pPr>
      <w:r>
        <w:rPr>
          <w:rStyle w:val="FootnoteReference"/>
        </w:rPr>
        <w:footnoteRef/>
      </w:r>
      <w:r w:rsidR="00747880">
        <w:rPr>
          <w:b/>
          <w:bCs/>
        </w:rPr>
        <w:t xml:space="preserve"> </w:t>
      </w:r>
      <w:r w:rsidR="00747880" w:rsidRPr="00747880">
        <w:t>Disha A. Ravi vs State (NCT of Delhi) &amp; Ors</w:t>
      </w:r>
      <w:r w:rsidR="00747880">
        <w:rPr>
          <w:b/>
          <w:bCs/>
        </w:rPr>
        <w:t>.</w:t>
      </w:r>
      <w:r w:rsidR="006166C5">
        <w:t xml:space="preserve"> </w:t>
      </w:r>
      <w:r w:rsidR="006166C5" w:rsidRPr="006166C5">
        <w:t>W.P. (C) 2297/2021</w:t>
      </w:r>
    </w:p>
  </w:footnote>
  <w:footnote w:id="14">
    <w:p w14:paraId="5724782E" w14:textId="7DC26789" w:rsidR="0065349F" w:rsidRDefault="0065349F">
      <w:pPr>
        <w:pStyle w:val="FootnoteText"/>
      </w:pPr>
      <w:r>
        <w:rPr>
          <w:rStyle w:val="FootnoteReference"/>
        </w:rPr>
        <w:footnoteRef/>
      </w:r>
      <w:r>
        <w:t xml:space="preserve"> </w:t>
      </w:r>
      <w:r w:rsidR="00F66C4A" w:rsidRPr="00456EBD">
        <w:rPr>
          <w:i/>
          <w:iCs/>
        </w:rPr>
        <w:t>Sanskar Marathe v. State of Maharashtra</w:t>
      </w:r>
      <w:r w:rsidR="00F66C4A" w:rsidRPr="00F66C4A">
        <w:t xml:space="preserve"> </w:t>
      </w:r>
      <w:r w:rsidR="00C003C1">
        <w:t>(</w:t>
      </w:r>
      <w:r w:rsidR="00F66C4A" w:rsidRPr="00F66C4A">
        <w:t>2015</w:t>
      </w:r>
      <w:r w:rsidR="00C003C1">
        <w:t>)</w:t>
      </w:r>
      <w:r w:rsidR="00F66C4A" w:rsidRPr="00F66C4A">
        <w:t xml:space="preserve"> SCC Online Bom 587</w:t>
      </w:r>
      <w:r w:rsidR="00456EBD">
        <w:t>.</w:t>
      </w:r>
    </w:p>
  </w:footnote>
  <w:footnote w:id="15">
    <w:p w14:paraId="0A694BEE" w14:textId="7FC3B3AF" w:rsidR="0065349F" w:rsidRDefault="0065349F">
      <w:pPr>
        <w:pStyle w:val="FootnoteText"/>
      </w:pPr>
      <w:r>
        <w:rPr>
          <w:rStyle w:val="FootnoteReference"/>
        </w:rPr>
        <w:footnoteRef/>
      </w:r>
      <w:r w:rsidR="00831E6D">
        <w:t xml:space="preserve"> </w:t>
      </w:r>
      <w:r w:rsidR="00831E6D" w:rsidRPr="00A57258">
        <w:t>A.</w:t>
      </w:r>
      <w:r w:rsidR="00831E6D">
        <w:t xml:space="preserve"> Singh</w:t>
      </w:r>
      <w:r w:rsidR="00C52E07">
        <w:t>,</w:t>
      </w:r>
      <w:r w:rsidR="00A57258" w:rsidRPr="00A57258">
        <w:t xml:space="preserve"> </w:t>
      </w:r>
      <w:r w:rsidR="00440BA7">
        <w:t>“</w:t>
      </w:r>
      <w:r w:rsidR="004C61A9" w:rsidRPr="00440BA7">
        <w:rPr>
          <w:i/>
          <w:iCs/>
        </w:rPr>
        <w:t>Sed</w:t>
      </w:r>
      <w:r w:rsidR="00C52E07" w:rsidRPr="00440BA7">
        <w:rPr>
          <w:i/>
          <w:iCs/>
        </w:rPr>
        <w:t>i</w:t>
      </w:r>
      <w:r w:rsidR="004C61A9" w:rsidRPr="00440BA7">
        <w:rPr>
          <w:i/>
          <w:iCs/>
        </w:rPr>
        <w:t>tion and its Political Functions</w:t>
      </w:r>
      <w:r w:rsidR="00C52E07" w:rsidRPr="00440BA7">
        <w:rPr>
          <w:i/>
          <w:iCs/>
        </w:rPr>
        <w:t>: The law of the Executive</w:t>
      </w:r>
      <w:r w:rsidR="00440BA7">
        <w:rPr>
          <w:i/>
          <w:iCs/>
        </w:rPr>
        <w:t>”</w:t>
      </w:r>
      <w:r w:rsidR="00A57258" w:rsidRPr="00440BA7">
        <w:rPr>
          <w:i/>
          <w:iCs/>
        </w:rPr>
        <w:t>, </w:t>
      </w:r>
      <w:r w:rsidR="00A57258" w:rsidRPr="00440BA7">
        <w:t xml:space="preserve">Economic &amp; </w:t>
      </w:r>
      <w:r w:rsidR="00130E33" w:rsidRPr="00440BA7">
        <w:t>Political Weekly</w:t>
      </w:r>
      <w:r w:rsidR="00A57258" w:rsidRPr="00A57258">
        <w:rPr>
          <w:i/>
          <w:iCs/>
        </w:rPr>
        <w:t>,</w:t>
      </w:r>
      <w:r w:rsidR="00A57258" w:rsidRPr="00A57258">
        <w:t> Vol. 57, Issue No. 26-27, June 2</w:t>
      </w:r>
      <w:r w:rsidR="005766DC">
        <w:t>5, 2022.</w:t>
      </w:r>
    </w:p>
  </w:footnote>
  <w:footnote w:id="16">
    <w:p w14:paraId="6776643E" w14:textId="06DB3A57" w:rsidR="007C0DBF" w:rsidRDefault="007C0DBF">
      <w:pPr>
        <w:pStyle w:val="FootnoteText"/>
      </w:pPr>
      <w:r>
        <w:rPr>
          <w:rStyle w:val="FootnoteReference"/>
        </w:rPr>
        <w:footnoteRef/>
      </w:r>
      <w:r>
        <w:t xml:space="preserve"> Supra Note 2 at </w:t>
      </w:r>
      <w:r w:rsidR="00ED456F">
        <w:t>30</w:t>
      </w:r>
    </w:p>
  </w:footnote>
  <w:footnote w:id="17">
    <w:p w14:paraId="11FE27F6" w14:textId="0B1CC2E3" w:rsidR="006B7500" w:rsidRDefault="00ED456F">
      <w:pPr>
        <w:pStyle w:val="FootnoteText"/>
      </w:pPr>
      <w:r>
        <w:rPr>
          <w:rStyle w:val="FootnoteReference"/>
        </w:rPr>
        <w:footnoteRef/>
      </w:r>
      <w:r w:rsidR="00BE2C55">
        <w:t xml:space="preserve"> </w:t>
      </w:r>
      <w:r w:rsidR="00BE2C55" w:rsidRPr="00F64A95">
        <w:rPr>
          <w:i/>
          <w:iCs/>
        </w:rPr>
        <w:t>Editor Guild</w:t>
      </w:r>
      <w:r w:rsidR="006B7500" w:rsidRPr="00F64A95">
        <w:rPr>
          <w:i/>
          <w:iCs/>
        </w:rPr>
        <w:t xml:space="preserve"> of India and Ors. v. Union of Indian and Ors</w:t>
      </w:r>
      <w:r w:rsidR="006B7500">
        <w:t>.</w:t>
      </w:r>
      <w:r w:rsidR="00F64A95">
        <w:t xml:space="preserve"> (2021)</w:t>
      </w:r>
      <w:r>
        <w:t xml:space="preserve"> </w:t>
      </w:r>
    </w:p>
    <w:p w14:paraId="4A804383" w14:textId="237D1E3F" w:rsidR="00ED456F" w:rsidRDefault="00000000">
      <w:pPr>
        <w:pStyle w:val="FootnoteText"/>
      </w:pPr>
      <w:hyperlink r:id="rId1" w:history="1">
        <w:r w:rsidR="00E906CE" w:rsidRPr="00E906CE">
          <w:rPr>
            <w:rStyle w:val="Hyperlink"/>
          </w:rPr>
          <w:t>https://www.scobserver.in/wp-content/uploads/2021/09/Sedition_WritPetition_EditorsGuildofIndia.pdf</w:t>
        </w:r>
      </w:hyperlink>
    </w:p>
  </w:footnote>
  <w:footnote w:id="18">
    <w:p w14:paraId="53754918" w14:textId="064C2560" w:rsidR="00E906CE" w:rsidRDefault="00E906CE">
      <w:pPr>
        <w:pStyle w:val="FootnoteText"/>
      </w:pPr>
      <w:r>
        <w:rPr>
          <w:rStyle w:val="FootnoteReference"/>
        </w:rPr>
        <w:footnoteRef/>
      </w:r>
      <w:r>
        <w:t xml:space="preserve"> </w:t>
      </w:r>
      <w:hyperlink r:id="rId2" w:history="1">
        <w:r w:rsidR="00084979" w:rsidRPr="00084979">
          <w:rPr>
            <w:rStyle w:val="Hyperlink"/>
          </w:rPr>
          <w:t>https://indiankanoon.org/doc/134384639/</w:t>
        </w:r>
      </w:hyperlink>
    </w:p>
  </w:footnote>
  <w:footnote w:id="19">
    <w:p w14:paraId="1DFFC277" w14:textId="315F7BD6" w:rsidR="00130E33" w:rsidRDefault="00130E33">
      <w:pPr>
        <w:pStyle w:val="FootnoteText"/>
      </w:pPr>
      <w:r>
        <w:rPr>
          <w:rStyle w:val="FootnoteReference"/>
        </w:rPr>
        <w:footnoteRef/>
      </w:r>
      <w:r>
        <w:t>S, Paul</w:t>
      </w:r>
      <w:r>
        <w:rPr>
          <w:b/>
          <w:bCs/>
        </w:rPr>
        <w:t>,</w:t>
      </w:r>
      <w:r w:rsidRPr="00130E33">
        <w:rPr>
          <w:b/>
          <w:bCs/>
        </w:rPr>
        <w:t xml:space="preserve"> </w:t>
      </w:r>
      <w:r w:rsidRPr="00130E33">
        <w:t>2019. </w:t>
      </w:r>
      <w:hyperlink r:id="rId3" w:tgtFrame="_blank" w:history="1">
        <w:r w:rsidRPr="00130E33">
          <w:rPr>
            <w:rStyle w:val="Hyperlink"/>
          </w:rPr>
          <w:t>In Conversation with Prof. William Hubbard</w:t>
        </w:r>
      </w:hyperlink>
      <w:r w:rsidRPr="00130E33">
        <w:t>, </w:t>
      </w:r>
      <w:r w:rsidRPr="00130E33">
        <w:rPr>
          <w:i/>
          <w:iCs/>
        </w:rPr>
        <w:t>The Economic Times</w:t>
      </w:r>
      <w:r w:rsidRPr="00130E33">
        <w:t>, October 9</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2C73B1A"/>
    <w:multiLevelType w:val="hybridMultilevel"/>
    <w:tmpl w:val="13B0A79C"/>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15:restartNumberingAfterBreak="0">
    <w:nsid w:val="4F0F2ADD"/>
    <w:multiLevelType w:val="hybridMultilevel"/>
    <w:tmpl w:val="163C792E"/>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15:restartNumberingAfterBreak="0">
    <w:nsid w:val="558632EE"/>
    <w:multiLevelType w:val="hybridMultilevel"/>
    <w:tmpl w:val="D39EE71C"/>
    <w:lvl w:ilvl="0" w:tplc="C3BC7D40">
      <w:start w:val="1"/>
      <w:numFmt w:val="decimal"/>
      <w:lvlText w:val="%1."/>
      <w:lvlJc w:val="left"/>
      <w:pPr>
        <w:ind w:left="720" w:hanging="360"/>
      </w:pPr>
      <w:rPr>
        <w:rFonts w:hint="default"/>
        <w:b/>
        <w:bCs/>
        <w:u w:val="single"/>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15:restartNumberingAfterBreak="0">
    <w:nsid w:val="64100198"/>
    <w:multiLevelType w:val="hybridMultilevel"/>
    <w:tmpl w:val="C02E43C4"/>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539587254">
    <w:abstractNumId w:val="1"/>
  </w:num>
  <w:num w:numId="2" w16cid:durableId="1774518595">
    <w:abstractNumId w:val="0"/>
  </w:num>
  <w:num w:numId="3" w16cid:durableId="1945654006">
    <w:abstractNumId w:val="2"/>
  </w:num>
  <w:num w:numId="4" w16cid:durableId="64227498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0FF0"/>
    <w:rsid w:val="00027682"/>
    <w:rsid w:val="00030FF0"/>
    <w:rsid w:val="00032375"/>
    <w:rsid w:val="0005351C"/>
    <w:rsid w:val="000569C0"/>
    <w:rsid w:val="00084979"/>
    <w:rsid w:val="000873A3"/>
    <w:rsid w:val="00090C66"/>
    <w:rsid w:val="00091622"/>
    <w:rsid w:val="000B5818"/>
    <w:rsid w:val="000B730D"/>
    <w:rsid w:val="000D6921"/>
    <w:rsid w:val="000F6907"/>
    <w:rsid w:val="0010340E"/>
    <w:rsid w:val="0011408C"/>
    <w:rsid w:val="00130E33"/>
    <w:rsid w:val="0013136F"/>
    <w:rsid w:val="00133093"/>
    <w:rsid w:val="00142BF0"/>
    <w:rsid w:val="001440DF"/>
    <w:rsid w:val="00146A6E"/>
    <w:rsid w:val="00153F78"/>
    <w:rsid w:val="001A19AA"/>
    <w:rsid w:val="001B0153"/>
    <w:rsid w:val="001D2820"/>
    <w:rsid w:val="001E768D"/>
    <w:rsid w:val="001F0000"/>
    <w:rsid w:val="001F3091"/>
    <w:rsid w:val="001F5810"/>
    <w:rsid w:val="002100D1"/>
    <w:rsid w:val="00214297"/>
    <w:rsid w:val="00226BA0"/>
    <w:rsid w:val="00252FCC"/>
    <w:rsid w:val="00260AA3"/>
    <w:rsid w:val="00274FEC"/>
    <w:rsid w:val="002902EC"/>
    <w:rsid w:val="00291029"/>
    <w:rsid w:val="00294436"/>
    <w:rsid w:val="002B7745"/>
    <w:rsid w:val="002C0747"/>
    <w:rsid w:val="002D32AA"/>
    <w:rsid w:val="00306A24"/>
    <w:rsid w:val="003322F0"/>
    <w:rsid w:val="0035382D"/>
    <w:rsid w:val="00374E05"/>
    <w:rsid w:val="003809FB"/>
    <w:rsid w:val="0038580D"/>
    <w:rsid w:val="003D5C08"/>
    <w:rsid w:val="003F2B2E"/>
    <w:rsid w:val="003F37F7"/>
    <w:rsid w:val="004156C9"/>
    <w:rsid w:val="00435ECF"/>
    <w:rsid w:val="00440953"/>
    <w:rsid w:val="00440BA7"/>
    <w:rsid w:val="0044651B"/>
    <w:rsid w:val="004526DE"/>
    <w:rsid w:val="00456EBD"/>
    <w:rsid w:val="0048076A"/>
    <w:rsid w:val="004B4DB4"/>
    <w:rsid w:val="004C61A9"/>
    <w:rsid w:val="004C6A3F"/>
    <w:rsid w:val="004F63F6"/>
    <w:rsid w:val="004F6B30"/>
    <w:rsid w:val="005036DA"/>
    <w:rsid w:val="005208B8"/>
    <w:rsid w:val="00520AB1"/>
    <w:rsid w:val="00536A48"/>
    <w:rsid w:val="005434FD"/>
    <w:rsid w:val="00570911"/>
    <w:rsid w:val="0057217B"/>
    <w:rsid w:val="005766DC"/>
    <w:rsid w:val="005769BC"/>
    <w:rsid w:val="00585398"/>
    <w:rsid w:val="005964B6"/>
    <w:rsid w:val="005B02D9"/>
    <w:rsid w:val="005B103C"/>
    <w:rsid w:val="005B35B1"/>
    <w:rsid w:val="005B5191"/>
    <w:rsid w:val="005C22F5"/>
    <w:rsid w:val="005D3AA0"/>
    <w:rsid w:val="005F52B9"/>
    <w:rsid w:val="00602382"/>
    <w:rsid w:val="00606882"/>
    <w:rsid w:val="006166C5"/>
    <w:rsid w:val="006245DF"/>
    <w:rsid w:val="0063204E"/>
    <w:rsid w:val="0065349F"/>
    <w:rsid w:val="00655E8F"/>
    <w:rsid w:val="0065605D"/>
    <w:rsid w:val="00663F56"/>
    <w:rsid w:val="00664654"/>
    <w:rsid w:val="00665C7C"/>
    <w:rsid w:val="00690D41"/>
    <w:rsid w:val="006A4899"/>
    <w:rsid w:val="006B7500"/>
    <w:rsid w:val="006D7C5D"/>
    <w:rsid w:val="007008C1"/>
    <w:rsid w:val="00707ABB"/>
    <w:rsid w:val="007130B8"/>
    <w:rsid w:val="00740FFE"/>
    <w:rsid w:val="00747880"/>
    <w:rsid w:val="00747A02"/>
    <w:rsid w:val="00775587"/>
    <w:rsid w:val="00786F5E"/>
    <w:rsid w:val="00787AD6"/>
    <w:rsid w:val="007C0DBF"/>
    <w:rsid w:val="007D381B"/>
    <w:rsid w:val="007D43C6"/>
    <w:rsid w:val="007F7501"/>
    <w:rsid w:val="00815FF3"/>
    <w:rsid w:val="00831E6D"/>
    <w:rsid w:val="00833DCC"/>
    <w:rsid w:val="00840655"/>
    <w:rsid w:val="00897E94"/>
    <w:rsid w:val="008D4526"/>
    <w:rsid w:val="00900FD7"/>
    <w:rsid w:val="0090675D"/>
    <w:rsid w:val="00916167"/>
    <w:rsid w:val="00916AA9"/>
    <w:rsid w:val="0092026E"/>
    <w:rsid w:val="00932585"/>
    <w:rsid w:val="009533C3"/>
    <w:rsid w:val="009572E1"/>
    <w:rsid w:val="00976337"/>
    <w:rsid w:val="00982B6D"/>
    <w:rsid w:val="00983E3F"/>
    <w:rsid w:val="009F0603"/>
    <w:rsid w:val="009F3A91"/>
    <w:rsid w:val="009F5C47"/>
    <w:rsid w:val="00A008B5"/>
    <w:rsid w:val="00A30669"/>
    <w:rsid w:val="00A419B0"/>
    <w:rsid w:val="00A57258"/>
    <w:rsid w:val="00A640A9"/>
    <w:rsid w:val="00A6475D"/>
    <w:rsid w:val="00A7106E"/>
    <w:rsid w:val="00A945E6"/>
    <w:rsid w:val="00AA58FB"/>
    <w:rsid w:val="00AB00CD"/>
    <w:rsid w:val="00AC41E4"/>
    <w:rsid w:val="00AE0554"/>
    <w:rsid w:val="00AE15E5"/>
    <w:rsid w:val="00AE4922"/>
    <w:rsid w:val="00AF091B"/>
    <w:rsid w:val="00AF69CD"/>
    <w:rsid w:val="00AF7591"/>
    <w:rsid w:val="00B011EC"/>
    <w:rsid w:val="00B24E46"/>
    <w:rsid w:val="00B43602"/>
    <w:rsid w:val="00B507A1"/>
    <w:rsid w:val="00B96444"/>
    <w:rsid w:val="00BC2BF3"/>
    <w:rsid w:val="00BD7D2D"/>
    <w:rsid w:val="00BE2C55"/>
    <w:rsid w:val="00C003C1"/>
    <w:rsid w:val="00C04AE6"/>
    <w:rsid w:val="00C23AC5"/>
    <w:rsid w:val="00C52E07"/>
    <w:rsid w:val="00C55AD7"/>
    <w:rsid w:val="00C6103A"/>
    <w:rsid w:val="00C65773"/>
    <w:rsid w:val="00C86ABC"/>
    <w:rsid w:val="00C90D2C"/>
    <w:rsid w:val="00C91DFA"/>
    <w:rsid w:val="00C958DE"/>
    <w:rsid w:val="00CA07C7"/>
    <w:rsid w:val="00CB2A9A"/>
    <w:rsid w:val="00CC3451"/>
    <w:rsid w:val="00CF66F5"/>
    <w:rsid w:val="00D03D20"/>
    <w:rsid w:val="00D057F1"/>
    <w:rsid w:val="00D14DCB"/>
    <w:rsid w:val="00D2715B"/>
    <w:rsid w:val="00D334D3"/>
    <w:rsid w:val="00D42BBA"/>
    <w:rsid w:val="00D47A27"/>
    <w:rsid w:val="00D5542E"/>
    <w:rsid w:val="00D56FA8"/>
    <w:rsid w:val="00D575F5"/>
    <w:rsid w:val="00D979EC"/>
    <w:rsid w:val="00DA79B4"/>
    <w:rsid w:val="00DB0E78"/>
    <w:rsid w:val="00DB3CAB"/>
    <w:rsid w:val="00DD1F7A"/>
    <w:rsid w:val="00DD4F96"/>
    <w:rsid w:val="00DE3F5F"/>
    <w:rsid w:val="00E00CC1"/>
    <w:rsid w:val="00E0117F"/>
    <w:rsid w:val="00E05E93"/>
    <w:rsid w:val="00E20BE3"/>
    <w:rsid w:val="00E5726F"/>
    <w:rsid w:val="00E62C3E"/>
    <w:rsid w:val="00E8083B"/>
    <w:rsid w:val="00E906CE"/>
    <w:rsid w:val="00EB2B3F"/>
    <w:rsid w:val="00EC5345"/>
    <w:rsid w:val="00ED1151"/>
    <w:rsid w:val="00ED456F"/>
    <w:rsid w:val="00EE42FB"/>
    <w:rsid w:val="00EF5D69"/>
    <w:rsid w:val="00F00966"/>
    <w:rsid w:val="00F03C91"/>
    <w:rsid w:val="00F1241D"/>
    <w:rsid w:val="00F228C2"/>
    <w:rsid w:val="00F416DF"/>
    <w:rsid w:val="00F436B9"/>
    <w:rsid w:val="00F5157F"/>
    <w:rsid w:val="00F62038"/>
    <w:rsid w:val="00F64A95"/>
    <w:rsid w:val="00F66C4A"/>
    <w:rsid w:val="00F872D2"/>
    <w:rsid w:val="00FB61F5"/>
    <w:rsid w:val="00FD4537"/>
    <w:rsid w:val="00FD6EB5"/>
    <w:rsid w:val="00FE76B3"/>
    <w:rsid w:val="00FF7A5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A38968"/>
  <w15:chartTrackingRefBased/>
  <w15:docId w15:val="{F391C17B-3A7D-4590-8FF9-1E6995A25F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kern w:val="2"/>
        <w:sz w:val="24"/>
        <w:szCs w:val="24"/>
        <w:lang w:val="en-IN" w:eastAsia="en-US" w:bidi="ar-SA"/>
        <w14:ligatures w14:val="standardContextual"/>
      </w:rPr>
    </w:rPrDefault>
    <w:pPrDefault>
      <w:pPr>
        <w:spacing w:after="160" w:line="360"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uiPriority w:val="9"/>
    <w:semiHidden/>
    <w:unhideWhenUsed/>
    <w:qFormat/>
    <w:rsid w:val="00F1241D"/>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7106E"/>
    <w:pPr>
      <w:ind w:left="720"/>
      <w:contextualSpacing/>
    </w:pPr>
  </w:style>
  <w:style w:type="character" w:styleId="Hyperlink">
    <w:name w:val="Hyperlink"/>
    <w:basedOn w:val="DefaultParagraphFont"/>
    <w:uiPriority w:val="99"/>
    <w:unhideWhenUsed/>
    <w:rsid w:val="00E00CC1"/>
    <w:rPr>
      <w:color w:val="0563C1" w:themeColor="hyperlink"/>
      <w:u w:val="single"/>
    </w:rPr>
  </w:style>
  <w:style w:type="character" w:styleId="UnresolvedMention">
    <w:name w:val="Unresolved Mention"/>
    <w:basedOn w:val="DefaultParagraphFont"/>
    <w:uiPriority w:val="99"/>
    <w:semiHidden/>
    <w:unhideWhenUsed/>
    <w:rsid w:val="00E00CC1"/>
    <w:rPr>
      <w:color w:val="605E5C"/>
      <w:shd w:val="clear" w:color="auto" w:fill="E1DFDD"/>
    </w:rPr>
  </w:style>
  <w:style w:type="paragraph" w:styleId="FootnoteText">
    <w:name w:val="footnote text"/>
    <w:basedOn w:val="Normal"/>
    <w:link w:val="FootnoteTextChar"/>
    <w:uiPriority w:val="99"/>
    <w:semiHidden/>
    <w:unhideWhenUsed/>
    <w:rsid w:val="0065349F"/>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65349F"/>
    <w:rPr>
      <w:sz w:val="20"/>
      <w:szCs w:val="20"/>
    </w:rPr>
  </w:style>
  <w:style w:type="character" w:styleId="FootnoteReference">
    <w:name w:val="footnote reference"/>
    <w:basedOn w:val="DefaultParagraphFont"/>
    <w:uiPriority w:val="99"/>
    <w:semiHidden/>
    <w:unhideWhenUsed/>
    <w:rsid w:val="0065349F"/>
    <w:rPr>
      <w:vertAlign w:val="superscript"/>
    </w:rPr>
  </w:style>
  <w:style w:type="character" w:customStyle="1" w:styleId="Heading2Char">
    <w:name w:val="Heading 2 Char"/>
    <w:basedOn w:val="DefaultParagraphFont"/>
    <w:link w:val="Heading2"/>
    <w:uiPriority w:val="9"/>
    <w:semiHidden/>
    <w:rsid w:val="00F1241D"/>
    <w:rPr>
      <w:rFonts w:asciiTheme="majorHAnsi" w:eastAsiaTheme="majorEastAsia" w:hAnsiTheme="majorHAnsi" w:cstheme="majorBidi"/>
      <w:color w:val="2F5496" w:themeColor="accent1" w:themeShade="BF"/>
      <w:sz w:val="26"/>
      <w:szCs w:val="26"/>
    </w:rPr>
  </w:style>
  <w:style w:type="paragraph" w:styleId="HTMLPreformatted">
    <w:name w:val="HTML Preformatted"/>
    <w:basedOn w:val="Normal"/>
    <w:link w:val="HTMLPreformattedChar"/>
    <w:uiPriority w:val="99"/>
    <w:semiHidden/>
    <w:unhideWhenUsed/>
    <w:rsid w:val="00900FD7"/>
    <w:pPr>
      <w:spacing w:after="0" w:line="240" w:lineRule="auto"/>
    </w:pPr>
    <w:rPr>
      <w:rFonts w:ascii="Consolas" w:hAnsi="Consolas"/>
      <w:sz w:val="20"/>
      <w:szCs w:val="20"/>
    </w:rPr>
  </w:style>
  <w:style w:type="character" w:customStyle="1" w:styleId="HTMLPreformattedChar">
    <w:name w:val="HTML Preformatted Char"/>
    <w:basedOn w:val="DefaultParagraphFont"/>
    <w:link w:val="HTMLPreformatted"/>
    <w:uiPriority w:val="99"/>
    <w:semiHidden/>
    <w:rsid w:val="00900FD7"/>
    <w:rPr>
      <w:rFonts w:ascii="Consolas" w:hAnsi="Consola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28834220">
      <w:bodyDiv w:val="1"/>
      <w:marLeft w:val="0"/>
      <w:marRight w:val="0"/>
      <w:marTop w:val="0"/>
      <w:marBottom w:val="0"/>
      <w:divBdr>
        <w:top w:val="none" w:sz="0" w:space="0" w:color="auto"/>
        <w:left w:val="none" w:sz="0" w:space="0" w:color="auto"/>
        <w:bottom w:val="none" w:sz="0" w:space="0" w:color="auto"/>
        <w:right w:val="none" w:sz="0" w:space="0" w:color="auto"/>
      </w:divBdr>
      <w:divsChild>
        <w:div w:id="1851794957">
          <w:marLeft w:val="0"/>
          <w:marRight w:val="0"/>
          <w:marTop w:val="0"/>
          <w:marBottom w:val="0"/>
          <w:divBdr>
            <w:top w:val="none" w:sz="0" w:space="0" w:color="auto"/>
            <w:left w:val="none" w:sz="0" w:space="0" w:color="auto"/>
            <w:bottom w:val="none" w:sz="0" w:space="0" w:color="auto"/>
            <w:right w:val="none" w:sz="0" w:space="0" w:color="auto"/>
          </w:divBdr>
        </w:div>
        <w:div w:id="1229924968">
          <w:marLeft w:val="0"/>
          <w:marRight w:val="0"/>
          <w:marTop w:val="0"/>
          <w:marBottom w:val="0"/>
          <w:divBdr>
            <w:top w:val="none" w:sz="0" w:space="0" w:color="auto"/>
            <w:left w:val="none" w:sz="0" w:space="0" w:color="auto"/>
            <w:bottom w:val="none" w:sz="0" w:space="0" w:color="auto"/>
            <w:right w:val="none" w:sz="0" w:space="0" w:color="auto"/>
          </w:divBdr>
        </w:div>
        <w:div w:id="1970669226">
          <w:marLeft w:val="0"/>
          <w:marRight w:val="0"/>
          <w:marTop w:val="0"/>
          <w:marBottom w:val="0"/>
          <w:divBdr>
            <w:top w:val="none" w:sz="0" w:space="0" w:color="auto"/>
            <w:left w:val="none" w:sz="0" w:space="0" w:color="auto"/>
            <w:bottom w:val="none" w:sz="0" w:space="0" w:color="auto"/>
            <w:right w:val="none" w:sz="0" w:space="0" w:color="auto"/>
          </w:divBdr>
        </w:div>
      </w:divsChild>
    </w:div>
    <w:div w:id="851143379">
      <w:bodyDiv w:val="1"/>
      <w:marLeft w:val="0"/>
      <w:marRight w:val="0"/>
      <w:marTop w:val="0"/>
      <w:marBottom w:val="0"/>
      <w:divBdr>
        <w:top w:val="none" w:sz="0" w:space="0" w:color="auto"/>
        <w:left w:val="none" w:sz="0" w:space="0" w:color="auto"/>
        <w:bottom w:val="none" w:sz="0" w:space="0" w:color="auto"/>
        <w:right w:val="none" w:sz="0" w:space="0" w:color="auto"/>
      </w:divBdr>
    </w:div>
    <w:div w:id="17894271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tush.aar7263@gmail.com" TargetMode="External"/><Relationship Id="rId13" Type="http://schemas.openxmlformats.org/officeDocument/2006/relationships/hyperlink" Target="https://www.scobserver.in/journal/is-sedition-constitutional-from-tara-chand-1950-to-aditya-ranjan-2021/"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thehindu.com/news/national/1962-verdict-which-upheld-validity-of-sedition-law-is-a-binding-precedent-government-tells-supreme-court/article65392379.ece"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cdnbbsr.s3waas.gov.in/s3ca0daec69b5adc880fb464895726dbdf/uploads/2022/09/2022092610.pdf"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economictimes.indiatimes.com/blogs/courts-commerce-and-the-constitution/in-conversation-with-prof-william-hubbard/" TargetMode="External"/><Relationship Id="rId5" Type="http://schemas.openxmlformats.org/officeDocument/2006/relationships/webSettings" Target="webSettings.xml"/><Relationship Id="rId15" Type="http://schemas.openxmlformats.org/officeDocument/2006/relationships/hyperlink" Target="https://indiankanoon.org/" TargetMode="External"/><Relationship Id="rId10" Type="http://schemas.openxmlformats.org/officeDocument/2006/relationships/hyperlink" Target="https://juriscentre.com/" TargetMode="External"/><Relationship Id="rId4" Type="http://schemas.openxmlformats.org/officeDocument/2006/relationships/settings" Target="settings.xml"/><Relationship Id="rId9" Type="http://schemas.openxmlformats.org/officeDocument/2006/relationships/hyperlink" Target="mailto:info@juriscentre.com" TargetMode="External"/><Relationship Id="rId14" Type="http://schemas.openxmlformats.org/officeDocument/2006/relationships/hyperlink" Target="https://thewire.in/law/explainer-how-the-sedition-law-has-been-used-in-the-modi-era"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s://economictimes.indiatimes.com/blogs/courts-commerce-and-the-constitution/in-conversation-with-prof-william-hubbard/" TargetMode="External"/><Relationship Id="rId2" Type="http://schemas.openxmlformats.org/officeDocument/2006/relationships/hyperlink" Target="https://indiankanoon.org/doc/134384639/" TargetMode="External"/><Relationship Id="rId1" Type="http://schemas.openxmlformats.org/officeDocument/2006/relationships/hyperlink" Target="https://www.scobserver.in/wp-content/uploads/2021/09/Sedition_WritPetition_EditorsGuildofIndia.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04E2051-421A-4BCA-82FF-ABB926A798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201</TotalTime>
  <Pages>12</Pages>
  <Words>2988</Words>
  <Characters>17038</Characters>
  <Application>Microsoft Office Word</Application>
  <DocSecurity>0</DocSecurity>
  <Lines>141</Lines>
  <Paragraphs>39</Paragraphs>
  <ScaleCrop>false</ScaleCrop>
  <Company/>
  <LinksUpToDate>false</LinksUpToDate>
  <CharactersWithSpaces>19987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Tushar ...</dc:creator>
  <cp:keywords/>
  <dc:description/>
  <cp:lastModifiedBy>Tushar ...</cp:lastModifiedBy>
  <cp:revision>207</cp:revision>
  <dcterms:created xsi:type="dcterms:W3CDTF">2023-05-22T17:34:00Z</dcterms:created>
  <dcterms:modified xsi:type="dcterms:W3CDTF">2023-05-25T07:33:00Z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15c9b978-00e0-4616-abf6-5f2232c2024b</vt:lpwstr>
  </property>
</Properties>
</file>