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06278B" w14:textId="77777777" w:rsidR="00384F16" w:rsidRDefault="00384F16" w:rsidP="00384F16">
      <w:pPr>
        <w:pStyle w:val="Heading1"/>
      </w:pPr>
      <w:bookmarkStart w:id="0" w:name="_Toc135256631"/>
      <w:bookmarkStart w:id="1" w:name="_Toc135593814"/>
      <w:r>
        <w:t>Declaration</w:t>
      </w:r>
      <w:bookmarkEnd w:id="1"/>
    </w:p>
    <w:p w14:paraId="6A27D2D0" w14:textId="77777777" w:rsidR="00384F16" w:rsidRDefault="00384F16" w:rsidP="00384F16">
      <w:pPr>
        <w:pStyle w:val="Heading1"/>
      </w:pPr>
    </w:p>
    <w:p w14:paraId="11D51291" w14:textId="2F5B2DB9" w:rsidR="00384F16" w:rsidRPr="00384F16" w:rsidRDefault="00384F16" w:rsidP="00384F16">
      <w:pPr>
        <w:rPr>
          <w:rFonts w:ascii="Times New Roman" w:eastAsiaTheme="majorEastAsia" w:hAnsi="Times New Roman" w:cs="Times New Roman"/>
          <w:kern w:val="0"/>
          <w:lang w:val="en-US"/>
          <w14:ligatures w14:val="none"/>
        </w:rPr>
      </w:pPr>
      <w:r w:rsidRPr="00384F16">
        <w:rPr>
          <w:rFonts w:ascii="Times New Roman" w:hAnsi="Times New Roman" w:cs="Times New Roman"/>
        </w:rPr>
        <w:t>I declare that th</w:t>
      </w:r>
      <w:r w:rsidRPr="00384F16">
        <w:rPr>
          <w:rFonts w:ascii="Times New Roman" w:hAnsi="Times New Roman" w:cs="Times New Roman"/>
        </w:rPr>
        <w:t xml:space="preserve">is research paper </w:t>
      </w:r>
      <w:r w:rsidRPr="00384F16">
        <w:rPr>
          <w:rFonts w:ascii="Times New Roman" w:hAnsi="Times New Roman" w:cs="Times New Roman"/>
        </w:rPr>
        <w:t xml:space="preserve">titled </w:t>
      </w:r>
      <w:r w:rsidRPr="00384F16">
        <w:rPr>
          <w:rFonts w:ascii="Times New Roman" w:hAnsi="Times New Roman" w:cs="Times New Roman"/>
        </w:rPr>
        <w:t>‘</w:t>
      </w:r>
      <w:r w:rsidRPr="00384F16">
        <w:rPr>
          <w:rFonts w:ascii="Times New Roman" w:eastAsiaTheme="majorEastAsia" w:hAnsi="Times New Roman" w:cs="Times New Roman"/>
          <w:kern w:val="0"/>
          <w:lang w:val="en-US"/>
          <w14:ligatures w14:val="none"/>
        </w:rPr>
        <w:t>RAPE VICTIMS: THEIR RIGHTS, PROCEDURE AND THE BARRIERS IN ACQUIRING JUSTICE</w:t>
      </w:r>
      <w:r>
        <w:rPr>
          <w:rFonts w:ascii="Times New Roman" w:eastAsiaTheme="majorEastAsia" w:hAnsi="Times New Roman" w:cs="Times New Roman"/>
          <w:kern w:val="0"/>
          <w:lang w:val="en-US"/>
          <w14:ligatures w14:val="none"/>
        </w:rPr>
        <w:t>’</w:t>
      </w:r>
      <w:r w:rsidRPr="00384F16">
        <w:rPr>
          <w:rFonts w:ascii="Times New Roman" w:eastAsiaTheme="majorEastAsia" w:hAnsi="Times New Roman" w:cs="Times New Roman"/>
          <w:kern w:val="0"/>
          <w:lang w:val="en-US"/>
          <w14:ligatures w14:val="none"/>
        </w:rPr>
        <w:t xml:space="preserve"> </w:t>
      </w:r>
      <w:r w:rsidRPr="00384F16">
        <w:rPr>
          <w:rFonts w:ascii="Times New Roman" w:hAnsi="Times New Roman" w:cs="Times New Roman"/>
        </w:rPr>
        <w:t>is the</w:t>
      </w:r>
      <w:r w:rsidRPr="00384F16">
        <w:rPr>
          <w:rFonts w:ascii="Times New Roman" w:hAnsi="Times New Roman" w:cs="Times New Roman"/>
        </w:rPr>
        <w:t xml:space="preserve"> </w:t>
      </w:r>
      <w:r w:rsidRPr="00384F16">
        <w:rPr>
          <w:rFonts w:ascii="Times New Roman" w:hAnsi="Times New Roman" w:cs="Times New Roman"/>
        </w:rPr>
        <w:t>outcome of my own work. I also declare that this paper is not intended to publish elsewhere. I</w:t>
      </w:r>
      <w:r w:rsidRPr="00384F16">
        <w:rPr>
          <w:rFonts w:ascii="Times New Roman" w:hAnsi="Times New Roman" w:cs="Times New Roman"/>
        </w:rPr>
        <w:t xml:space="preserve"> </w:t>
      </w:r>
      <w:r w:rsidRPr="00384F16">
        <w:rPr>
          <w:rFonts w:ascii="Times New Roman" w:hAnsi="Times New Roman" w:cs="Times New Roman"/>
        </w:rPr>
        <w:t>further declare that, the dissertation comprises only of my original work and due</w:t>
      </w:r>
      <w:r w:rsidRPr="00384F16">
        <w:rPr>
          <w:rFonts w:ascii="Times New Roman" w:hAnsi="Times New Roman" w:cs="Times New Roman"/>
        </w:rPr>
        <w:t xml:space="preserve"> </w:t>
      </w:r>
      <w:r w:rsidRPr="00384F16">
        <w:rPr>
          <w:rFonts w:ascii="Times New Roman" w:hAnsi="Times New Roman" w:cs="Times New Roman"/>
        </w:rPr>
        <w:t>acknowledgment has been made in the text to all other materials used.</w:t>
      </w:r>
    </w:p>
    <w:p w14:paraId="4F586385" w14:textId="77777777" w:rsidR="00384F16" w:rsidRDefault="00384F16" w:rsidP="008964E5">
      <w:pPr>
        <w:pStyle w:val="Heading1"/>
      </w:pPr>
    </w:p>
    <w:p w14:paraId="405E79BA" w14:textId="77777777" w:rsidR="00384F16" w:rsidRDefault="00384F16" w:rsidP="008964E5">
      <w:pPr>
        <w:pStyle w:val="Heading1"/>
      </w:pPr>
    </w:p>
    <w:p w14:paraId="13DFEF54" w14:textId="77777777" w:rsidR="00384F16" w:rsidRDefault="00384F16" w:rsidP="008964E5">
      <w:pPr>
        <w:pStyle w:val="Heading1"/>
      </w:pPr>
    </w:p>
    <w:p w14:paraId="76A5C99A" w14:textId="77777777" w:rsidR="00384F16" w:rsidRDefault="00384F16" w:rsidP="008964E5">
      <w:pPr>
        <w:pStyle w:val="Heading1"/>
      </w:pPr>
    </w:p>
    <w:p w14:paraId="559345B0" w14:textId="77777777" w:rsidR="00384F16" w:rsidRDefault="00384F16" w:rsidP="008964E5">
      <w:pPr>
        <w:pStyle w:val="Heading1"/>
      </w:pPr>
    </w:p>
    <w:p w14:paraId="319A98A5" w14:textId="77777777" w:rsidR="00384F16" w:rsidRDefault="00384F16" w:rsidP="008964E5">
      <w:pPr>
        <w:pStyle w:val="Heading1"/>
      </w:pPr>
    </w:p>
    <w:p w14:paraId="07CC6E60" w14:textId="77777777" w:rsidR="00384F16" w:rsidRDefault="00384F16" w:rsidP="008964E5">
      <w:pPr>
        <w:pStyle w:val="Heading1"/>
      </w:pPr>
    </w:p>
    <w:p w14:paraId="18F33E9A" w14:textId="77777777" w:rsidR="00384F16" w:rsidRDefault="00384F16" w:rsidP="008964E5">
      <w:pPr>
        <w:pStyle w:val="Heading1"/>
      </w:pPr>
    </w:p>
    <w:p w14:paraId="35A14BD0" w14:textId="77777777" w:rsidR="00384F16" w:rsidRDefault="00384F16" w:rsidP="008964E5">
      <w:pPr>
        <w:pStyle w:val="Heading1"/>
      </w:pPr>
    </w:p>
    <w:p w14:paraId="23B644D0" w14:textId="77777777" w:rsidR="00384F16" w:rsidRDefault="00384F16" w:rsidP="008964E5">
      <w:pPr>
        <w:pStyle w:val="Heading1"/>
      </w:pPr>
    </w:p>
    <w:p w14:paraId="10B816AC" w14:textId="5AFB75EF" w:rsidR="00384F16" w:rsidRDefault="00384F16" w:rsidP="008964E5">
      <w:pPr>
        <w:pStyle w:val="Heading1"/>
      </w:pPr>
    </w:p>
    <w:p w14:paraId="46B1958B" w14:textId="3F9890E5" w:rsidR="00384F16" w:rsidRPr="00384F16" w:rsidRDefault="00384F16" w:rsidP="00384F16">
      <w:pPr>
        <w:rPr>
          <w:lang w:val="en-US"/>
        </w:rPr>
      </w:pPr>
    </w:p>
    <w:p w14:paraId="0DDAE7E7" w14:textId="014A7F75" w:rsidR="008964E5" w:rsidRDefault="008964E5" w:rsidP="008964E5">
      <w:pPr>
        <w:pStyle w:val="Heading1"/>
      </w:pPr>
      <w:bookmarkStart w:id="2" w:name="_Toc135593815"/>
      <w:r w:rsidRPr="000D743C">
        <w:lastRenderedPageBreak/>
        <w:t>RAPE VICTIMS: THEIR RIGHTS, PROCEDURE AND THE BARRIERS IN ACQUIRING JUSTICE</w:t>
      </w:r>
      <w:bookmarkEnd w:id="0"/>
      <w:bookmarkEnd w:id="2"/>
    </w:p>
    <w:p w14:paraId="6F4CC529" w14:textId="77777777" w:rsidR="00E63FB7" w:rsidRDefault="00E63FB7" w:rsidP="00E63FB7">
      <w:pPr>
        <w:rPr>
          <w:lang w:val="en-US"/>
        </w:rPr>
      </w:pPr>
    </w:p>
    <w:p w14:paraId="53C1F442" w14:textId="77777777" w:rsidR="00E63FB7" w:rsidRPr="00E63FB7" w:rsidRDefault="00E63FB7" w:rsidP="00E63FB7">
      <w:pPr>
        <w:rPr>
          <w:lang w:val="en-US"/>
        </w:rPr>
      </w:pPr>
    </w:p>
    <w:p w14:paraId="56D54DAB" w14:textId="77777777" w:rsidR="00F45DDB" w:rsidRDefault="00F45DDB" w:rsidP="00F45DDB">
      <w:pPr>
        <w:rPr>
          <w:lang w:val="en-US"/>
        </w:rPr>
      </w:pPr>
    </w:p>
    <w:p w14:paraId="4B14BAC7" w14:textId="587E6CD7" w:rsidR="00F45DDB" w:rsidRDefault="00F45DDB" w:rsidP="005E1D31">
      <w:pPr>
        <w:pStyle w:val="Heading1"/>
      </w:pPr>
      <w:bookmarkStart w:id="3" w:name="_Toc135593816"/>
      <w:r w:rsidRPr="00F45DDB">
        <w:t>ABSTRACT</w:t>
      </w:r>
      <w:bookmarkEnd w:id="3"/>
    </w:p>
    <w:p w14:paraId="6D35F44D" w14:textId="77777777" w:rsidR="00F45DDB" w:rsidRPr="00F45DDB" w:rsidRDefault="00F45DDB" w:rsidP="00F45DDB">
      <w:pPr>
        <w:jc w:val="center"/>
        <w:rPr>
          <w:i/>
          <w:iCs/>
          <w:lang w:val="en-US"/>
        </w:rPr>
      </w:pPr>
    </w:p>
    <w:p w14:paraId="105FCB3A" w14:textId="129C0616" w:rsidR="00F45DDB" w:rsidRPr="00F45DDB" w:rsidRDefault="00F45DDB" w:rsidP="00F45DDB">
      <w:pPr>
        <w:spacing w:line="360" w:lineRule="auto"/>
        <w:jc w:val="both"/>
        <w:rPr>
          <w:rFonts w:ascii="Times New Roman" w:hAnsi="Times New Roman" w:cs="Times New Roman"/>
          <w:lang w:val="en-US"/>
        </w:rPr>
      </w:pPr>
      <w:r w:rsidRPr="00F45DDB">
        <w:rPr>
          <w:rFonts w:ascii="Times New Roman" w:hAnsi="Times New Roman" w:cs="Times New Roman"/>
          <w:lang w:val="en-US"/>
        </w:rPr>
        <w:t xml:space="preserve">Rape is a serious crime that can have a devastating impact on victims. Victims of rape have </w:t>
      </w:r>
      <w:proofErr w:type="gramStart"/>
      <w:r w:rsidRPr="00F45DDB">
        <w:rPr>
          <w:rFonts w:ascii="Times New Roman" w:hAnsi="Times New Roman" w:cs="Times New Roman"/>
          <w:lang w:val="en-US"/>
        </w:rPr>
        <w:t>a number of</w:t>
      </w:r>
      <w:proofErr w:type="gramEnd"/>
      <w:r w:rsidRPr="00F45DDB">
        <w:rPr>
          <w:rFonts w:ascii="Times New Roman" w:hAnsi="Times New Roman" w:cs="Times New Roman"/>
          <w:lang w:val="en-US"/>
        </w:rPr>
        <w:t xml:space="preserve"> rights, including the right to be treated with respect and dignity, the right to privacy, and the right to access medical care and counseling. The procedure for reporting and prosecuting rape cases can be complex and difficult, and victims may face </w:t>
      </w:r>
      <w:proofErr w:type="gramStart"/>
      <w:r w:rsidRPr="00F45DDB">
        <w:rPr>
          <w:rFonts w:ascii="Times New Roman" w:hAnsi="Times New Roman" w:cs="Times New Roman"/>
          <w:lang w:val="en-US"/>
        </w:rPr>
        <w:t>a number of</w:t>
      </w:r>
      <w:proofErr w:type="gramEnd"/>
      <w:r w:rsidRPr="00F45DDB">
        <w:rPr>
          <w:rFonts w:ascii="Times New Roman" w:hAnsi="Times New Roman" w:cs="Times New Roman"/>
          <w:lang w:val="en-US"/>
        </w:rPr>
        <w:t xml:space="preserve"> barriers to justice. These barriers can include fear of retaliation, stigma, and lack of access to legal resources.</w:t>
      </w:r>
      <w:r w:rsidRPr="00F45DDB">
        <w:rPr>
          <w:rFonts w:ascii="Times New Roman" w:hAnsi="Times New Roman" w:cs="Times New Roman"/>
          <w:lang w:val="en-US"/>
        </w:rPr>
        <w:t xml:space="preserve"> </w:t>
      </w:r>
      <w:r w:rsidRPr="00F45DDB">
        <w:rPr>
          <w:rFonts w:ascii="Times New Roman" w:hAnsi="Times New Roman" w:cs="Times New Roman"/>
          <w:lang w:val="en-US"/>
        </w:rPr>
        <w:t>One of the biggest barriers to justice for rape victims is the stereotype of the "woman of easy virtue". This stereotype is based on the belief that women who are raped must have done something to deserve it. This stereotype can make it difficult for victims to come forward and report the crime, and it can also make it difficult for them to be believed by the police and the courts.</w:t>
      </w:r>
      <w:r w:rsidRPr="00F45DDB">
        <w:rPr>
          <w:rFonts w:ascii="Times New Roman" w:hAnsi="Times New Roman" w:cs="Times New Roman"/>
          <w:lang w:val="en-US"/>
        </w:rPr>
        <w:t xml:space="preserve"> </w:t>
      </w:r>
      <w:r w:rsidRPr="00F45DDB">
        <w:rPr>
          <w:rFonts w:ascii="Times New Roman" w:hAnsi="Times New Roman" w:cs="Times New Roman"/>
          <w:lang w:val="en-US"/>
        </w:rPr>
        <w:t>Another barrier to justice for rape victims is the use of "two-finger tests" to determine whether or not a woman has been raped. These tests are unreliable and have been shown to be inaccurate. In addition, they can be traumatic for victims and can cause further physical and emotional harm.</w:t>
      </w:r>
      <w:r w:rsidRPr="00F45DDB">
        <w:rPr>
          <w:rFonts w:ascii="Times New Roman" w:hAnsi="Times New Roman" w:cs="Times New Roman"/>
          <w:lang w:val="en-US"/>
        </w:rPr>
        <w:t xml:space="preserve"> </w:t>
      </w:r>
      <w:r w:rsidRPr="00F45DDB">
        <w:rPr>
          <w:rFonts w:ascii="Times New Roman" w:hAnsi="Times New Roman" w:cs="Times New Roman"/>
          <w:lang w:val="en-US"/>
        </w:rPr>
        <w:t>The quality of investigation into rape cases is also a barrier to justice for victims. In many cases, police do not take rape cases seriously and do not conduct thorough investigations. This can make it difficult for victims to get the justice they deserve.</w:t>
      </w:r>
      <w:r w:rsidRPr="00F45DDB">
        <w:rPr>
          <w:rFonts w:ascii="Times New Roman" w:hAnsi="Times New Roman" w:cs="Times New Roman"/>
          <w:lang w:val="en-US"/>
        </w:rPr>
        <w:t xml:space="preserve"> </w:t>
      </w:r>
      <w:r w:rsidRPr="00F45DDB">
        <w:rPr>
          <w:rFonts w:ascii="Times New Roman" w:hAnsi="Times New Roman" w:cs="Times New Roman"/>
          <w:lang w:val="en-US"/>
        </w:rPr>
        <w:t xml:space="preserve">There are </w:t>
      </w:r>
      <w:r w:rsidR="00AC1543" w:rsidRPr="00F45DDB">
        <w:rPr>
          <w:rFonts w:ascii="Times New Roman" w:hAnsi="Times New Roman" w:cs="Times New Roman"/>
          <w:lang w:val="en-US"/>
        </w:rPr>
        <w:t>several</w:t>
      </w:r>
      <w:r w:rsidRPr="00F45DDB">
        <w:rPr>
          <w:rFonts w:ascii="Times New Roman" w:hAnsi="Times New Roman" w:cs="Times New Roman"/>
          <w:lang w:val="en-US"/>
        </w:rPr>
        <w:t xml:space="preserve"> things that can be done to help rape victims get the justice they deserve. These include educating the public about rape, reforming the criminal justice system to make it more responsive to the needs of rape victims, and providing victims with access to support services.</w:t>
      </w:r>
      <w:r w:rsidRPr="00F45DDB">
        <w:rPr>
          <w:rFonts w:ascii="Times New Roman" w:hAnsi="Times New Roman" w:cs="Times New Roman"/>
          <w:lang w:val="en-US"/>
        </w:rPr>
        <w:t xml:space="preserve"> </w:t>
      </w:r>
      <w:r w:rsidRPr="00F45DDB">
        <w:rPr>
          <w:rFonts w:ascii="Times New Roman" w:hAnsi="Times New Roman" w:cs="Times New Roman"/>
          <w:lang w:val="en-US"/>
        </w:rPr>
        <w:t xml:space="preserve">It is important to remember that rape is a serious crime and that victims have a right to justice. </w:t>
      </w:r>
    </w:p>
    <w:p w14:paraId="21FF45E9" w14:textId="77EAAD96" w:rsidR="008964E5" w:rsidRDefault="008964E5" w:rsidP="00F45DDB">
      <w:pPr>
        <w:spacing w:line="360" w:lineRule="auto"/>
        <w:rPr>
          <w:rFonts w:ascii="Times New Roman" w:hAnsi="Times New Roman" w:cs="Times New Roman"/>
          <w:lang w:val="en-US"/>
        </w:rPr>
      </w:pPr>
    </w:p>
    <w:p w14:paraId="592EB135" w14:textId="77777777" w:rsidR="005E1D31" w:rsidRDefault="005E1D31" w:rsidP="00F45DDB">
      <w:pPr>
        <w:spacing w:line="360" w:lineRule="auto"/>
        <w:rPr>
          <w:rFonts w:ascii="Times New Roman" w:hAnsi="Times New Roman" w:cs="Times New Roman"/>
          <w:lang w:val="en-US"/>
        </w:rPr>
      </w:pPr>
    </w:p>
    <w:p w14:paraId="16ED8D2F" w14:textId="77777777" w:rsidR="005E1D31" w:rsidRDefault="005E1D31" w:rsidP="00F45DDB">
      <w:pPr>
        <w:spacing w:line="360" w:lineRule="auto"/>
        <w:rPr>
          <w:rFonts w:ascii="Times New Roman" w:hAnsi="Times New Roman" w:cs="Times New Roman"/>
          <w:lang w:val="en-US"/>
        </w:rPr>
      </w:pPr>
    </w:p>
    <w:p w14:paraId="76469510" w14:textId="77777777" w:rsidR="005E1D31" w:rsidRDefault="005E1D31" w:rsidP="00F45DDB">
      <w:pPr>
        <w:spacing w:line="360" w:lineRule="auto"/>
        <w:rPr>
          <w:rFonts w:ascii="Times New Roman" w:hAnsi="Times New Roman" w:cs="Times New Roman"/>
          <w:lang w:val="en-US"/>
        </w:rPr>
      </w:pPr>
    </w:p>
    <w:p w14:paraId="598C605C" w14:textId="77777777" w:rsidR="005E1D31" w:rsidRDefault="005E1D31" w:rsidP="00F45DDB">
      <w:pPr>
        <w:spacing w:line="360" w:lineRule="auto"/>
        <w:rPr>
          <w:rFonts w:ascii="Times New Roman" w:hAnsi="Times New Roman" w:cs="Times New Roman"/>
          <w:lang w:val="en-US"/>
        </w:rPr>
      </w:pPr>
    </w:p>
    <w:p w14:paraId="7B244677" w14:textId="77777777" w:rsidR="005E1D31" w:rsidRDefault="005E1D31" w:rsidP="00F45DDB">
      <w:pPr>
        <w:spacing w:line="360" w:lineRule="auto"/>
        <w:rPr>
          <w:rFonts w:ascii="Times New Roman" w:hAnsi="Times New Roman" w:cs="Times New Roman"/>
          <w:lang w:val="en-US"/>
        </w:rPr>
      </w:pPr>
    </w:p>
    <w:p w14:paraId="379F6786" w14:textId="77777777" w:rsidR="005E1D31" w:rsidRDefault="005E1D31" w:rsidP="00F45DDB">
      <w:pPr>
        <w:spacing w:line="360" w:lineRule="auto"/>
        <w:rPr>
          <w:rFonts w:ascii="Times New Roman" w:hAnsi="Times New Roman" w:cs="Times New Roman"/>
          <w:lang w:val="en-US"/>
        </w:rPr>
      </w:pPr>
    </w:p>
    <w:p w14:paraId="3DFE106C" w14:textId="10B2E5EC" w:rsidR="005E1D31" w:rsidRPr="005E1D31" w:rsidRDefault="005E1D31" w:rsidP="005E1D31">
      <w:pPr>
        <w:spacing w:line="360" w:lineRule="auto"/>
        <w:rPr>
          <w:rFonts w:ascii="Times New Roman" w:hAnsi="Times New Roman" w:cs="Times New Roman"/>
          <w:lang w:val="en-US"/>
        </w:rPr>
      </w:pPr>
    </w:p>
    <w:sdt>
      <w:sdtPr>
        <w:id w:val="-418943103"/>
        <w:docPartObj>
          <w:docPartGallery w:val="Table of Contents"/>
          <w:docPartUnique/>
        </w:docPartObj>
      </w:sdtPr>
      <w:sdtEndPr>
        <w:rPr>
          <w:rFonts w:asciiTheme="minorHAnsi" w:eastAsiaTheme="minorHAnsi" w:hAnsiTheme="minorHAnsi" w:cstheme="minorBidi"/>
          <w:noProof/>
          <w:color w:val="auto"/>
          <w:kern w:val="2"/>
          <w:sz w:val="24"/>
          <w:szCs w:val="24"/>
          <w:lang w:val="en-IN"/>
          <w14:ligatures w14:val="standardContextual"/>
        </w:rPr>
      </w:sdtEndPr>
      <w:sdtContent>
        <w:p w14:paraId="22517613" w14:textId="7E8FF3AE" w:rsidR="008C37AF" w:rsidRDefault="008C37AF">
          <w:pPr>
            <w:pStyle w:val="TOCHeading"/>
          </w:pPr>
          <w:r>
            <w:t>Table of Contents</w:t>
          </w:r>
        </w:p>
        <w:p w14:paraId="7CB6FBB8" w14:textId="5A2121BA" w:rsidR="008C37AF" w:rsidRDefault="008C37AF">
          <w:pPr>
            <w:pStyle w:val="TOC1"/>
            <w:tabs>
              <w:tab w:val="right" w:leader="dot" w:pos="9016"/>
            </w:tabs>
            <w:rPr>
              <w:rFonts w:eastAsiaTheme="minorEastAsia" w:cstheme="minorBidi"/>
              <w:b w:val="0"/>
              <w:bCs w:val="0"/>
              <w:i w:val="0"/>
              <w:iCs w:val="0"/>
              <w:noProof/>
              <w:lang w:eastAsia="en-GB"/>
            </w:rPr>
          </w:pPr>
          <w:r>
            <w:rPr>
              <w:b w:val="0"/>
              <w:bCs w:val="0"/>
            </w:rPr>
            <w:fldChar w:fldCharType="begin"/>
          </w:r>
          <w:r>
            <w:instrText xml:space="preserve"> TOC \o "1-3" \h \z \u </w:instrText>
          </w:r>
          <w:r>
            <w:rPr>
              <w:b w:val="0"/>
              <w:bCs w:val="0"/>
            </w:rPr>
            <w:fldChar w:fldCharType="separate"/>
          </w:r>
          <w:hyperlink w:anchor="_Toc135593814" w:history="1">
            <w:r w:rsidRPr="002123BE">
              <w:rPr>
                <w:rStyle w:val="Hyperlink"/>
                <w:noProof/>
              </w:rPr>
              <w:t>Declaration</w:t>
            </w:r>
            <w:r>
              <w:rPr>
                <w:noProof/>
                <w:webHidden/>
              </w:rPr>
              <w:tab/>
            </w:r>
            <w:r>
              <w:rPr>
                <w:noProof/>
                <w:webHidden/>
              </w:rPr>
              <w:fldChar w:fldCharType="begin"/>
            </w:r>
            <w:r>
              <w:rPr>
                <w:noProof/>
                <w:webHidden/>
              </w:rPr>
              <w:instrText xml:space="preserve"> PAGEREF _Toc135593814 \h </w:instrText>
            </w:r>
            <w:r>
              <w:rPr>
                <w:noProof/>
                <w:webHidden/>
              </w:rPr>
            </w:r>
            <w:r>
              <w:rPr>
                <w:noProof/>
                <w:webHidden/>
              </w:rPr>
              <w:fldChar w:fldCharType="separate"/>
            </w:r>
            <w:r>
              <w:rPr>
                <w:noProof/>
                <w:webHidden/>
              </w:rPr>
              <w:t>1</w:t>
            </w:r>
            <w:r>
              <w:rPr>
                <w:noProof/>
                <w:webHidden/>
              </w:rPr>
              <w:fldChar w:fldCharType="end"/>
            </w:r>
          </w:hyperlink>
        </w:p>
        <w:p w14:paraId="12E3B40A" w14:textId="10B755EB" w:rsidR="008C37AF" w:rsidRDefault="008C37AF">
          <w:pPr>
            <w:pStyle w:val="TOC1"/>
            <w:tabs>
              <w:tab w:val="right" w:leader="dot" w:pos="9016"/>
            </w:tabs>
            <w:rPr>
              <w:rFonts w:eastAsiaTheme="minorEastAsia" w:cstheme="minorBidi"/>
              <w:b w:val="0"/>
              <w:bCs w:val="0"/>
              <w:i w:val="0"/>
              <w:iCs w:val="0"/>
              <w:noProof/>
              <w:lang w:eastAsia="en-GB"/>
            </w:rPr>
          </w:pPr>
          <w:hyperlink w:anchor="_Toc135593815" w:history="1">
            <w:r w:rsidRPr="002123BE">
              <w:rPr>
                <w:rStyle w:val="Hyperlink"/>
                <w:noProof/>
              </w:rPr>
              <w:t>RAPE VICTIMS: THEIR RIGHTS, PROCEDURE AND THE BARRIERS IN ACQUIRING JUSTICE</w:t>
            </w:r>
            <w:r>
              <w:rPr>
                <w:noProof/>
                <w:webHidden/>
              </w:rPr>
              <w:tab/>
            </w:r>
            <w:r>
              <w:rPr>
                <w:noProof/>
                <w:webHidden/>
              </w:rPr>
              <w:fldChar w:fldCharType="begin"/>
            </w:r>
            <w:r>
              <w:rPr>
                <w:noProof/>
                <w:webHidden/>
              </w:rPr>
              <w:instrText xml:space="preserve"> PAGEREF _Toc135593815 \h </w:instrText>
            </w:r>
            <w:r>
              <w:rPr>
                <w:noProof/>
                <w:webHidden/>
              </w:rPr>
            </w:r>
            <w:r>
              <w:rPr>
                <w:noProof/>
                <w:webHidden/>
              </w:rPr>
              <w:fldChar w:fldCharType="separate"/>
            </w:r>
            <w:r>
              <w:rPr>
                <w:noProof/>
                <w:webHidden/>
              </w:rPr>
              <w:t>2</w:t>
            </w:r>
            <w:r>
              <w:rPr>
                <w:noProof/>
                <w:webHidden/>
              </w:rPr>
              <w:fldChar w:fldCharType="end"/>
            </w:r>
          </w:hyperlink>
        </w:p>
        <w:p w14:paraId="447E9037" w14:textId="618E242D" w:rsidR="008C37AF" w:rsidRDefault="008C37AF">
          <w:pPr>
            <w:pStyle w:val="TOC1"/>
            <w:tabs>
              <w:tab w:val="right" w:leader="dot" w:pos="9016"/>
            </w:tabs>
            <w:rPr>
              <w:rFonts w:eastAsiaTheme="minorEastAsia" w:cstheme="minorBidi"/>
              <w:b w:val="0"/>
              <w:bCs w:val="0"/>
              <w:i w:val="0"/>
              <w:iCs w:val="0"/>
              <w:noProof/>
              <w:lang w:eastAsia="en-GB"/>
            </w:rPr>
          </w:pPr>
          <w:hyperlink w:anchor="_Toc135593816" w:history="1">
            <w:r w:rsidRPr="002123BE">
              <w:rPr>
                <w:rStyle w:val="Hyperlink"/>
                <w:noProof/>
              </w:rPr>
              <w:t>ABSTRACT</w:t>
            </w:r>
            <w:r>
              <w:rPr>
                <w:noProof/>
                <w:webHidden/>
              </w:rPr>
              <w:tab/>
            </w:r>
            <w:r>
              <w:rPr>
                <w:noProof/>
                <w:webHidden/>
              </w:rPr>
              <w:fldChar w:fldCharType="begin"/>
            </w:r>
            <w:r>
              <w:rPr>
                <w:noProof/>
                <w:webHidden/>
              </w:rPr>
              <w:instrText xml:space="preserve"> PAGEREF _Toc135593816 \h </w:instrText>
            </w:r>
            <w:r>
              <w:rPr>
                <w:noProof/>
                <w:webHidden/>
              </w:rPr>
            </w:r>
            <w:r>
              <w:rPr>
                <w:noProof/>
                <w:webHidden/>
              </w:rPr>
              <w:fldChar w:fldCharType="separate"/>
            </w:r>
            <w:r>
              <w:rPr>
                <w:noProof/>
                <w:webHidden/>
              </w:rPr>
              <w:t>2</w:t>
            </w:r>
            <w:r>
              <w:rPr>
                <w:noProof/>
                <w:webHidden/>
              </w:rPr>
              <w:fldChar w:fldCharType="end"/>
            </w:r>
          </w:hyperlink>
        </w:p>
        <w:p w14:paraId="466F6ABE" w14:textId="2ACCBA23" w:rsidR="008C37AF" w:rsidRDefault="008C37AF">
          <w:pPr>
            <w:pStyle w:val="TOC1"/>
            <w:tabs>
              <w:tab w:val="right" w:leader="dot" w:pos="9016"/>
            </w:tabs>
            <w:rPr>
              <w:rFonts w:eastAsiaTheme="minorEastAsia" w:cstheme="minorBidi"/>
              <w:b w:val="0"/>
              <w:bCs w:val="0"/>
              <w:i w:val="0"/>
              <w:iCs w:val="0"/>
              <w:noProof/>
              <w:lang w:eastAsia="en-GB"/>
            </w:rPr>
          </w:pPr>
          <w:hyperlink w:anchor="_Toc135593817" w:history="1">
            <w:r w:rsidRPr="002123BE">
              <w:rPr>
                <w:rStyle w:val="Hyperlink"/>
                <w:noProof/>
              </w:rPr>
              <w:t>THE PATRIARCHAL CULTURE OF INDIA AND ITS IMPACT ON WOMEN</w:t>
            </w:r>
            <w:r>
              <w:rPr>
                <w:noProof/>
                <w:webHidden/>
              </w:rPr>
              <w:tab/>
            </w:r>
            <w:r>
              <w:rPr>
                <w:noProof/>
                <w:webHidden/>
              </w:rPr>
              <w:fldChar w:fldCharType="begin"/>
            </w:r>
            <w:r>
              <w:rPr>
                <w:noProof/>
                <w:webHidden/>
              </w:rPr>
              <w:instrText xml:space="preserve"> PAGEREF _Toc135593817 \h </w:instrText>
            </w:r>
            <w:r>
              <w:rPr>
                <w:noProof/>
                <w:webHidden/>
              </w:rPr>
            </w:r>
            <w:r>
              <w:rPr>
                <w:noProof/>
                <w:webHidden/>
              </w:rPr>
              <w:fldChar w:fldCharType="separate"/>
            </w:r>
            <w:r>
              <w:rPr>
                <w:noProof/>
                <w:webHidden/>
              </w:rPr>
              <w:t>4</w:t>
            </w:r>
            <w:r>
              <w:rPr>
                <w:noProof/>
                <w:webHidden/>
              </w:rPr>
              <w:fldChar w:fldCharType="end"/>
            </w:r>
          </w:hyperlink>
        </w:p>
        <w:p w14:paraId="3B5ECFEB" w14:textId="32E0911E" w:rsidR="008C37AF" w:rsidRDefault="008C37AF">
          <w:pPr>
            <w:pStyle w:val="TOC1"/>
            <w:tabs>
              <w:tab w:val="right" w:leader="dot" w:pos="9016"/>
            </w:tabs>
            <w:rPr>
              <w:rFonts w:eastAsiaTheme="minorEastAsia" w:cstheme="minorBidi"/>
              <w:b w:val="0"/>
              <w:bCs w:val="0"/>
              <w:i w:val="0"/>
              <w:iCs w:val="0"/>
              <w:noProof/>
              <w:lang w:eastAsia="en-GB"/>
            </w:rPr>
          </w:pPr>
          <w:hyperlink w:anchor="_Toc135593818" w:history="1">
            <w:r w:rsidRPr="002123BE">
              <w:rPr>
                <w:rStyle w:val="Hyperlink"/>
                <w:noProof/>
              </w:rPr>
              <w:t>WOMAN OF EASY VIRTUE</w:t>
            </w:r>
            <w:r>
              <w:rPr>
                <w:noProof/>
                <w:webHidden/>
              </w:rPr>
              <w:tab/>
            </w:r>
            <w:r>
              <w:rPr>
                <w:noProof/>
                <w:webHidden/>
              </w:rPr>
              <w:fldChar w:fldCharType="begin"/>
            </w:r>
            <w:r>
              <w:rPr>
                <w:noProof/>
                <w:webHidden/>
              </w:rPr>
              <w:instrText xml:space="preserve"> PAGEREF _Toc135593818 \h </w:instrText>
            </w:r>
            <w:r>
              <w:rPr>
                <w:noProof/>
                <w:webHidden/>
              </w:rPr>
            </w:r>
            <w:r>
              <w:rPr>
                <w:noProof/>
                <w:webHidden/>
              </w:rPr>
              <w:fldChar w:fldCharType="separate"/>
            </w:r>
            <w:r>
              <w:rPr>
                <w:noProof/>
                <w:webHidden/>
              </w:rPr>
              <w:t>5</w:t>
            </w:r>
            <w:r>
              <w:rPr>
                <w:noProof/>
                <w:webHidden/>
              </w:rPr>
              <w:fldChar w:fldCharType="end"/>
            </w:r>
          </w:hyperlink>
        </w:p>
        <w:p w14:paraId="3F5B3C7E" w14:textId="0896F20D" w:rsidR="008C37AF" w:rsidRDefault="008C37AF">
          <w:pPr>
            <w:pStyle w:val="TOC2"/>
            <w:tabs>
              <w:tab w:val="right" w:leader="dot" w:pos="9016"/>
            </w:tabs>
            <w:rPr>
              <w:rFonts w:eastAsiaTheme="minorEastAsia" w:cstheme="minorBidi"/>
              <w:b w:val="0"/>
              <w:bCs w:val="0"/>
              <w:noProof/>
              <w:sz w:val="24"/>
              <w:szCs w:val="24"/>
              <w:lang w:eastAsia="en-GB"/>
            </w:rPr>
          </w:pPr>
          <w:hyperlink w:anchor="_Toc135593819" w:history="1">
            <w:r w:rsidRPr="002123BE">
              <w:rPr>
                <w:rStyle w:val="Hyperlink"/>
                <w:noProof/>
              </w:rPr>
              <w:t>Date Rapes</w:t>
            </w:r>
            <w:r>
              <w:rPr>
                <w:noProof/>
                <w:webHidden/>
              </w:rPr>
              <w:tab/>
            </w:r>
            <w:r>
              <w:rPr>
                <w:noProof/>
                <w:webHidden/>
              </w:rPr>
              <w:fldChar w:fldCharType="begin"/>
            </w:r>
            <w:r>
              <w:rPr>
                <w:noProof/>
                <w:webHidden/>
              </w:rPr>
              <w:instrText xml:space="preserve"> PAGEREF _Toc135593819 \h </w:instrText>
            </w:r>
            <w:r>
              <w:rPr>
                <w:noProof/>
                <w:webHidden/>
              </w:rPr>
            </w:r>
            <w:r>
              <w:rPr>
                <w:noProof/>
                <w:webHidden/>
              </w:rPr>
              <w:fldChar w:fldCharType="separate"/>
            </w:r>
            <w:r>
              <w:rPr>
                <w:noProof/>
                <w:webHidden/>
              </w:rPr>
              <w:t>10</w:t>
            </w:r>
            <w:r>
              <w:rPr>
                <w:noProof/>
                <w:webHidden/>
              </w:rPr>
              <w:fldChar w:fldCharType="end"/>
            </w:r>
          </w:hyperlink>
        </w:p>
        <w:p w14:paraId="2A2C8A9C" w14:textId="1F4C46AC" w:rsidR="008C37AF" w:rsidRDefault="008C37AF">
          <w:pPr>
            <w:pStyle w:val="TOC2"/>
            <w:tabs>
              <w:tab w:val="right" w:leader="dot" w:pos="9016"/>
            </w:tabs>
            <w:rPr>
              <w:rFonts w:eastAsiaTheme="minorEastAsia" w:cstheme="minorBidi"/>
              <w:b w:val="0"/>
              <w:bCs w:val="0"/>
              <w:noProof/>
              <w:sz w:val="24"/>
              <w:szCs w:val="24"/>
              <w:lang w:eastAsia="en-GB"/>
            </w:rPr>
          </w:pPr>
          <w:hyperlink w:anchor="_Toc135593820" w:history="1">
            <w:r w:rsidRPr="002123BE">
              <w:rPr>
                <w:rStyle w:val="Hyperlink"/>
                <w:noProof/>
              </w:rPr>
              <w:t>Two-finger tests</w:t>
            </w:r>
            <w:r>
              <w:rPr>
                <w:noProof/>
                <w:webHidden/>
              </w:rPr>
              <w:tab/>
            </w:r>
            <w:r>
              <w:rPr>
                <w:noProof/>
                <w:webHidden/>
              </w:rPr>
              <w:fldChar w:fldCharType="begin"/>
            </w:r>
            <w:r>
              <w:rPr>
                <w:noProof/>
                <w:webHidden/>
              </w:rPr>
              <w:instrText xml:space="preserve"> PAGEREF _Toc135593820 \h </w:instrText>
            </w:r>
            <w:r>
              <w:rPr>
                <w:noProof/>
                <w:webHidden/>
              </w:rPr>
            </w:r>
            <w:r>
              <w:rPr>
                <w:noProof/>
                <w:webHidden/>
              </w:rPr>
              <w:fldChar w:fldCharType="separate"/>
            </w:r>
            <w:r>
              <w:rPr>
                <w:noProof/>
                <w:webHidden/>
              </w:rPr>
              <w:t>10</w:t>
            </w:r>
            <w:r>
              <w:rPr>
                <w:noProof/>
                <w:webHidden/>
              </w:rPr>
              <w:fldChar w:fldCharType="end"/>
            </w:r>
          </w:hyperlink>
        </w:p>
        <w:p w14:paraId="09CE5E8A" w14:textId="5E2D73BA" w:rsidR="008C37AF" w:rsidRDefault="008C37AF">
          <w:pPr>
            <w:pStyle w:val="TOC1"/>
            <w:tabs>
              <w:tab w:val="right" w:leader="dot" w:pos="9016"/>
            </w:tabs>
            <w:rPr>
              <w:rFonts w:eastAsiaTheme="minorEastAsia" w:cstheme="minorBidi"/>
              <w:b w:val="0"/>
              <w:bCs w:val="0"/>
              <w:i w:val="0"/>
              <w:iCs w:val="0"/>
              <w:noProof/>
              <w:lang w:eastAsia="en-GB"/>
            </w:rPr>
          </w:pPr>
          <w:hyperlink w:anchor="_Toc135593821" w:history="1">
            <w:r w:rsidRPr="002123BE">
              <w:rPr>
                <w:rStyle w:val="Hyperlink"/>
                <w:noProof/>
              </w:rPr>
              <w:t>VICTIM TESTIMONIES</w:t>
            </w:r>
            <w:r>
              <w:rPr>
                <w:noProof/>
                <w:webHidden/>
              </w:rPr>
              <w:tab/>
            </w:r>
            <w:r>
              <w:rPr>
                <w:noProof/>
                <w:webHidden/>
              </w:rPr>
              <w:fldChar w:fldCharType="begin"/>
            </w:r>
            <w:r>
              <w:rPr>
                <w:noProof/>
                <w:webHidden/>
              </w:rPr>
              <w:instrText xml:space="preserve"> PAGEREF _Toc135593821 \h </w:instrText>
            </w:r>
            <w:r>
              <w:rPr>
                <w:noProof/>
                <w:webHidden/>
              </w:rPr>
            </w:r>
            <w:r>
              <w:rPr>
                <w:noProof/>
                <w:webHidden/>
              </w:rPr>
              <w:fldChar w:fldCharType="separate"/>
            </w:r>
            <w:r>
              <w:rPr>
                <w:noProof/>
                <w:webHidden/>
              </w:rPr>
              <w:t>12</w:t>
            </w:r>
            <w:r>
              <w:rPr>
                <w:noProof/>
                <w:webHidden/>
              </w:rPr>
              <w:fldChar w:fldCharType="end"/>
            </w:r>
          </w:hyperlink>
        </w:p>
        <w:p w14:paraId="4D0D7BC5" w14:textId="0C0692CC" w:rsidR="008C37AF" w:rsidRDefault="008C37AF">
          <w:pPr>
            <w:pStyle w:val="TOC1"/>
            <w:tabs>
              <w:tab w:val="right" w:leader="dot" w:pos="9016"/>
            </w:tabs>
            <w:rPr>
              <w:rFonts w:eastAsiaTheme="minorEastAsia" w:cstheme="minorBidi"/>
              <w:b w:val="0"/>
              <w:bCs w:val="0"/>
              <w:i w:val="0"/>
              <w:iCs w:val="0"/>
              <w:noProof/>
              <w:lang w:eastAsia="en-GB"/>
            </w:rPr>
          </w:pPr>
          <w:hyperlink w:anchor="_Toc135593822" w:history="1">
            <w:r w:rsidRPr="002123BE">
              <w:rPr>
                <w:rStyle w:val="Hyperlink"/>
                <w:noProof/>
              </w:rPr>
              <w:t>QUALITY OF INVESTIGATION</w:t>
            </w:r>
            <w:r>
              <w:rPr>
                <w:noProof/>
                <w:webHidden/>
              </w:rPr>
              <w:tab/>
            </w:r>
            <w:r>
              <w:rPr>
                <w:noProof/>
                <w:webHidden/>
              </w:rPr>
              <w:fldChar w:fldCharType="begin"/>
            </w:r>
            <w:r>
              <w:rPr>
                <w:noProof/>
                <w:webHidden/>
              </w:rPr>
              <w:instrText xml:space="preserve"> PAGEREF _Toc135593822 \h </w:instrText>
            </w:r>
            <w:r>
              <w:rPr>
                <w:noProof/>
                <w:webHidden/>
              </w:rPr>
            </w:r>
            <w:r>
              <w:rPr>
                <w:noProof/>
                <w:webHidden/>
              </w:rPr>
              <w:fldChar w:fldCharType="separate"/>
            </w:r>
            <w:r>
              <w:rPr>
                <w:noProof/>
                <w:webHidden/>
              </w:rPr>
              <w:t>13</w:t>
            </w:r>
            <w:r>
              <w:rPr>
                <w:noProof/>
                <w:webHidden/>
              </w:rPr>
              <w:fldChar w:fldCharType="end"/>
            </w:r>
          </w:hyperlink>
        </w:p>
        <w:p w14:paraId="2A2B6AC1" w14:textId="195211C8" w:rsidR="008C37AF" w:rsidRDefault="008C37AF">
          <w:r>
            <w:rPr>
              <w:b/>
              <w:bCs/>
              <w:noProof/>
            </w:rPr>
            <w:fldChar w:fldCharType="end"/>
          </w:r>
        </w:p>
      </w:sdtContent>
    </w:sdt>
    <w:p w14:paraId="41F4AA6C" w14:textId="77777777" w:rsidR="008C37AF" w:rsidRDefault="008C37AF" w:rsidP="005E1D31">
      <w:pPr>
        <w:pStyle w:val="Heading1"/>
      </w:pPr>
    </w:p>
    <w:p w14:paraId="256ABD15" w14:textId="77777777" w:rsidR="008C37AF" w:rsidRDefault="008C37AF" w:rsidP="008C37AF">
      <w:pPr>
        <w:rPr>
          <w:lang w:val="en-US"/>
        </w:rPr>
      </w:pPr>
    </w:p>
    <w:p w14:paraId="00735D08" w14:textId="77777777" w:rsidR="008C37AF" w:rsidRDefault="008C37AF" w:rsidP="008C37AF">
      <w:pPr>
        <w:rPr>
          <w:lang w:val="en-US"/>
        </w:rPr>
      </w:pPr>
    </w:p>
    <w:p w14:paraId="654779C7" w14:textId="77777777" w:rsidR="008C37AF" w:rsidRDefault="008C37AF" w:rsidP="008C37AF">
      <w:pPr>
        <w:rPr>
          <w:lang w:val="en-US"/>
        </w:rPr>
      </w:pPr>
    </w:p>
    <w:p w14:paraId="621429EC" w14:textId="77777777" w:rsidR="008C37AF" w:rsidRDefault="008C37AF" w:rsidP="008C37AF">
      <w:pPr>
        <w:rPr>
          <w:lang w:val="en-US"/>
        </w:rPr>
      </w:pPr>
    </w:p>
    <w:p w14:paraId="239E85E4" w14:textId="77777777" w:rsidR="008C37AF" w:rsidRDefault="008C37AF" w:rsidP="008C37AF">
      <w:pPr>
        <w:rPr>
          <w:lang w:val="en-US"/>
        </w:rPr>
      </w:pPr>
    </w:p>
    <w:p w14:paraId="2EFEE3DE" w14:textId="77777777" w:rsidR="008C37AF" w:rsidRDefault="008C37AF" w:rsidP="008C37AF">
      <w:pPr>
        <w:rPr>
          <w:lang w:val="en-US"/>
        </w:rPr>
      </w:pPr>
    </w:p>
    <w:p w14:paraId="3F43252D" w14:textId="77777777" w:rsidR="008C37AF" w:rsidRDefault="008C37AF" w:rsidP="008C37AF">
      <w:pPr>
        <w:rPr>
          <w:lang w:val="en-US"/>
        </w:rPr>
      </w:pPr>
    </w:p>
    <w:p w14:paraId="315B58AA" w14:textId="77777777" w:rsidR="008C37AF" w:rsidRDefault="008C37AF" w:rsidP="008C37AF">
      <w:pPr>
        <w:rPr>
          <w:lang w:val="en-US"/>
        </w:rPr>
      </w:pPr>
    </w:p>
    <w:p w14:paraId="7F90CF94" w14:textId="77777777" w:rsidR="008C37AF" w:rsidRDefault="008C37AF" w:rsidP="008C37AF">
      <w:pPr>
        <w:rPr>
          <w:lang w:val="en-US"/>
        </w:rPr>
      </w:pPr>
    </w:p>
    <w:p w14:paraId="3460427E" w14:textId="77777777" w:rsidR="008C37AF" w:rsidRDefault="008C37AF" w:rsidP="008C37AF">
      <w:pPr>
        <w:rPr>
          <w:lang w:val="en-US"/>
        </w:rPr>
      </w:pPr>
    </w:p>
    <w:p w14:paraId="1A6791F3" w14:textId="77777777" w:rsidR="008C37AF" w:rsidRDefault="008C37AF" w:rsidP="008C37AF">
      <w:pPr>
        <w:rPr>
          <w:lang w:val="en-US"/>
        </w:rPr>
      </w:pPr>
    </w:p>
    <w:p w14:paraId="29D1FB93" w14:textId="77777777" w:rsidR="008C37AF" w:rsidRDefault="008C37AF" w:rsidP="008C37AF">
      <w:pPr>
        <w:rPr>
          <w:lang w:val="en-US"/>
        </w:rPr>
      </w:pPr>
    </w:p>
    <w:p w14:paraId="44D0B225" w14:textId="77777777" w:rsidR="008C37AF" w:rsidRDefault="008C37AF" w:rsidP="008C37AF">
      <w:pPr>
        <w:rPr>
          <w:lang w:val="en-US"/>
        </w:rPr>
      </w:pPr>
    </w:p>
    <w:p w14:paraId="14A2937D" w14:textId="77777777" w:rsidR="008C37AF" w:rsidRDefault="008C37AF" w:rsidP="008C37AF">
      <w:pPr>
        <w:rPr>
          <w:lang w:val="en-US"/>
        </w:rPr>
      </w:pPr>
    </w:p>
    <w:p w14:paraId="064580B6" w14:textId="77777777" w:rsidR="008C37AF" w:rsidRDefault="008C37AF" w:rsidP="008C37AF">
      <w:pPr>
        <w:rPr>
          <w:lang w:val="en-US"/>
        </w:rPr>
      </w:pPr>
    </w:p>
    <w:p w14:paraId="23549208" w14:textId="77777777" w:rsidR="008C37AF" w:rsidRDefault="008C37AF" w:rsidP="008C37AF">
      <w:pPr>
        <w:rPr>
          <w:lang w:val="en-US"/>
        </w:rPr>
      </w:pPr>
    </w:p>
    <w:p w14:paraId="1CEF5515" w14:textId="2D234B80" w:rsidR="008C37AF" w:rsidRDefault="008C37AF" w:rsidP="008C37AF">
      <w:pPr>
        <w:rPr>
          <w:lang w:val="en-US"/>
        </w:rPr>
      </w:pPr>
    </w:p>
    <w:p w14:paraId="2D196326" w14:textId="77777777" w:rsidR="008C37AF" w:rsidRDefault="008C37AF" w:rsidP="008C37AF">
      <w:pPr>
        <w:rPr>
          <w:lang w:val="en-US"/>
        </w:rPr>
      </w:pPr>
    </w:p>
    <w:p w14:paraId="32F1C37D" w14:textId="77777777" w:rsidR="008C37AF" w:rsidRDefault="008C37AF" w:rsidP="008C37AF">
      <w:pPr>
        <w:rPr>
          <w:lang w:val="en-US"/>
        </w:rPr>
      </w:pPr>
    </w:p>
    <w:p w14:paraId="1E5451FC" w14:textId="77777777" w:rsidR="008C37AF" w:rsidRDefault="008C37AF" w:rsidP="008C37AF">
      <w:pPr>
        <w:rPr>
          <w:lang w:val="en-US"/>
        </w:rPr>
      </w:pPr>
    </w:p>
    <w:p w14:paraId="7DE1943D" w14:textId="77777777" w:rsidR="008C37AF" w:rsidRDefault="008C37AF" w:rsidP="008C37AF">
      <w:pPr>
        <w:rPr>
          <w:lang w:val="en-US"/>
        </w:rPr>
      </w:pPr>
    </w:p>
    <w:p w14:paraId="06B416FC" w14:textId="77777777" w:rsidR="008C37AF" w:rsidRDefault="008C37AF" w:rsidP="008C37AF">
      <w:pPr>
        <w:rPr>
          <w:lang w:val="en-US"/>
        </w:rPr>
      </w:pPr>
    </w:p>
    <w:p w14:paraId="1DA74239" w14:textId="77777777" w:rsidR="008C37AF" w:rsidRDefault="008C37AF" w:rsidP="008C37AF">
      <w:pPr>
        <w:rPr>
          <w:lang w:val="en-US"/>
        </w:rPr>
      </w:pPr>
    </w:p>
    <w:p w14:paraId="1C230834" w14:textId="77777777" w:rsidR="008C37AF" w:rsidRDefault="008C37AF" w:rsidP="008C37AF">
      <w:pPr>
        <w:rPr>
          <w:lang w:val="en-US"/>
        </w:rPr>
      </w:pPr>
    </w:p>
    <w:p w14:paraId="6BEE702F" w14:textId="77777777" w:rsidR="008C37AF" w:rsidRDefault="008C37AF" w:rsidP="008C37AF">
      <w:pPr>
        <w:rPr>
          <w:lang w:val="en-US"/>
        </w:rPr>
      </w:pPr>
    </w:p>
    <w:p w14:paraId="4057D671" w14:textId="77777777" w:rsidR="008C37AF" w:rsidRDefault="008C37AF" w:rsidP="008C37AF">
      <w:pPr>
        <w:rPr>
          <w:lang w:val="en-US"/>
        </w:rPr>
      </w:pPr>
    </w:p>
    <w:p w14:paraId="682FCFCD" w14:textId="5265F98C" w:rsidR="008C37AF" w:rsidRDefault="008C37AF" w:rsidP="008C37AF">
      <w:pPr>
        <w:rPr>
          <w:lang w:val="en-US"/>
        </w:rPr>
      </w:pPr>
    </w:p>
    <w:p w14:paraId="24AFACB6" w14:textId="77777777" w:rsidR="008C37AF" w:rsidRDefault="008C37AF" w:rsidP="008C37AF">
      <w:pPr>
        <w:rPr>
          <w:lang w:val="en-US"/>
        </w:rPr>
      </w:pPr>
    </w:p>
    <w:p w14:paraId="1F2811F0" w14:textId="77777777" w:rsidR="008C37AF" w:rsidRDefault="008C37AF" w:rsidP="008C37AF">
      <w:pPr>
        <w:pStyle w:val="Heading1"/>
        <w:jc w:val="left"/>
      </w:pPr>
    </w:p>
    <w:p w14:paraId="5929CFF0" w14:textId="75A39214" w:rsidR="008964E5" w:rsidRPr="00F45DDB" w:rsidRDefault="00D12280" w:rsidP="005E1D31">
      <w:pPr>
        <w:pStyle w:val="Heading1"/>
      </w:pPr>
      <w:bookmarkStart w:id="4" w:name="_Toc135593817"/>
      <w:r w:rsidRPr="00F45DDB">
        <w:t>T</w:t>
      </w:r>
      <w:r w:rsidR="005E1D31">
        <w:t>HE PATRIARCHAL CULTURE OF INDIA AND ITS IMPACT ON WOMEN</w:t>
      </w:r>
      <w:bookmarkEnd w:id="4"/>
    </w:p>
    <w:p w14:paraId="341B114A" w14:textId="77777777" w:rsidR="008964E5" w:rsidRPr="00F45DDB" w:rsidRDefault="008964E5" w:rsidP="00F45DDB">
      <w:pPr>
        <w:jc w:val="both"/>
        <w:rPr>
          <w:rFonts w:ascii="Times New Roman" w:hAnsi="Times New Roman" w:cs="Times New Roman"/>
        </w:rPr>
      </w:pPr>
    </w:p>
    <w:p w14:paraId="0D731B54" w14:textId="77777777" w:rsidR="008964E5" w:rsidRPr="00F45DDB" w:rsidRDefault="008964E5" w:rsidP="00F45DDB">
      <w:pPr>
        <w:spacing w:line="360" w:lineRule="auto"/>
        <w:jc w:val="both"/>
        <w:rPr>
          <w:rFonts w:ascii="Times New Roman" w:hAnsi="Times New Roman" w:cs="Times New Roman"/>
        </w:rPr>
      </w:pPr>
      <w:r w:rsidRPr="00F45DDB">
        <w:rPr>
          <w:rFonts w:ascii="Times New Roman" w:hAnsi="Times New Roman" w:cs="Times New Roman"/>
        </w:rPr>
        <w:t>Indian culture is deeply entrenched with a strong patriarchal perspective, which poses significant challenges for women. In this society, women are often subjected to unfair treatment, subordination, and are regarded as intellectually inferior. They may even be considered untouchable in certain instances. Even before becoming victims of rape, women experience male dominance in various aspects of their lives. In contemporary society, there is a stark lack of equality between men and women, and their sexual relationships seldom reflect a pure expression of mutual attraction. Instead, sexual connections often involve some form of transaction, calculation, or coercion. This observation is supported by a cursory examination of relevant legal literature in India, where such connections are closely intertwined with economic dependencies and power dynamics.</w:t>
      </w:r>
    </w:p>
    <w:p w14:paraId="13EC1805" w14:textId="77777777" w:rsidR="008964E5" w:rsidRPr="00F45DDB" w:rsidRDefault="008964E5" w:rsidP="00F45DDB">
      <w:pPr>
        <w:pStyle w:val="NormalWeb"/>
        <w:shd w:val="clear" w:color="auto" w:fill="FFFFFF"/>
        <w:spacing w:line="360" w:lineRule="auto"/>
        <w:jc w:val="both"/>
      </w:pPr>
      <w:r w:rsidRPr="00F45DDB">
        <w:t>While rape is an invasion of the victim's privacy, it may be one of the most uncommon instances where the victim is disparaged due to no fault of her own. This victim, who has already struggled to endure a traumatic event, must fight an oppressive system throughout the entire judicial process. They are continuously made fun of and given the blame for things that are not their fault. This humiliation starts in the hospital where she receives medical care, where the staff forces her to perform the traumatic two-finger examinations. It continues at the police stations, and the police are frequently reluctant to file complaints, which results in little protection for victims and witnesses. Inadequate health care, psychotherapy, and legal support for victims during criminal trials of the accused will pose a challenge to efficient impart of   justice and dignity. Her voice is sometimes muffled to an unintelligible level, and her testimony is frequently false, unobserved, or unaccounted for. This will continue till the day of judgement. These women are enslaved by society's prejudice and its faulty concept of good and evil because they are caught up in a pernicious game of "victim responsibility."</w:t>
      </w:r>
    </w:p>
    <w:p w14:paraId="63623BA0" w14:textId="77777777" w:rsidR="008964E5" w:rsidRPr="00F45DDB" w:rsidRDefault="008964E5" w:rsidP="00F45DDB">
      <w:pPr>
        <w:pStyle w:val="NormalWeb"/>
        <w:shd w:val="clear" w:color="auto" w:fill="FFFFFF"/>
        <w:spacing w:line="360" w:lineRule="auto"/>
        <w:jc w:val="both"/>
      </w:pPr>
      <w:r w:rsidRPr="00F45DDB">
        <w:t xml:space="preserve">Society has successfully obscured the criminal behaviour of men by placing the blame on women. Current societal norms have a huge influence on how women perceive the world and behave. They frequently go to other sources for self-validation and self-definition. They must go outside of themselves in order to let a "imaginary other," who embodies the combination of opinions from real people, to assess their identities. Unfortunately, this process may cause one's </w:t>
      </w:r>
      <w:r w:rsidRPr="00F45DDB">
        <w:lastRenderedPageBreak/>
        <w:t>genuine self to be diminished or suppressed. Women exist in the realm of someone else’s fantasy and the law becomes “described and enforced in the spirit of our prejudices” . It is this prejudice which makes an “unconscious restructuring” of burden of proof on the victim where they are made to prove their victimhood</w:t>
      </w:r>
      <w:r w:rsidRPr="00F45DDB">
        <w:rPr>
          <w:rStyle w:val="FootnoteReference"/>
        </w:rPr>
        <w:footnoteReference w:id="1"/>
      </w:r>
      <w:r w:rsidRPr="00F45DDB">
        <w:t>.</w:t>
      </w:r>
    </w:p>
    <w:p w14:paraId="4A9651B9" w14:textId="77777777" w:rsidR="008964E5" w:rsidRPr="00F45DDB" w:rsidRDefault="008964E5" w:rsidP="00F45DDB">
      <w:pPr>
        <w:pStyle w:val="NormalWeb"/>
        <w:shd w:val="clear" w:color="auto" w:fill="FFFFFF"/>
        <w:spacing w:line="360" w:lineRule="auto"/>
        <w:jc w:val="both"/>
      </w:pPr>
      <w:r w:rsidRPr="00F45DDB">
        <w:t>When it comes to pursuing justice through the judicial system, these pervasive realities surrounding coerced sexuality have erected a huge barrier for crime victims. Rape victims are frequently objectified and labelled as having unreliable morality. Even the desire to be accepted as a regular human being is met with strong resistance. This awful situation is the unavoidable result of a society where power dynamics in sexual interactions are entwined, female sexuality is seen as a commodity, and some men think that physical force is the only way to gain control.</w:t>
      </w:r>
    </w:p>
    <w:p w14:paraId="03CA15EE" w14:textId="77777777" w:rsidR="008964E5" w:rsidRPr="00F45DDB" w:rsidRDefault="008964E5" w:rsidP="00F45DDB">
      <w:pPr>
        <w:pStyle w:val="NormalWeb"/>
        <w:shd w:val="clear" w:color="auto" w:fill="FFFFFF"/>
        <w:spacing w:line="360" w:lineRule="auto"/>
        <w:jc w:val="both"/>
      </w:pPr>
      <w:r w:rsidRPr="00F45DDB">
        <w:t>Furthermore, even if a victim decides to go to court to seek justice, political parties and the media frequently fall short of appropriately pursuing justice after initially drawing attention to certain issues for political gain. Both victims and those who are trying to help them are discouraged by the hostile environment. Such cultural viewpoints may cause survivors to feel pressured to keep quiet, to keep their experiences to themselves, and to stop from taking any action.</w:t>
      </w:r>
    </w:p>
    <w:p w14:paraId="7AB7F844" w14:textId="2F95495B" w:rsidR="008964E5" w:rsidRPr="00F45DDB" w:rsidRDefault="008964E5" w:rsidP="005E1D31">
      <w:pPr>
        <w:pStyle w:val="Heading1"/>
      </w:pPr>
      <w:bookmarkStart w:id="5" w:name="_Toc135256633"/>
      <w:bookmarkStart w:id="6" w:name="_Toc135593818"/>
      <w:r w:rsidRPr="00F45DDB">
        <w:t>WOMAN OF EASY VIRTUE</w:t>
      </w:r>
      <w:bookmarkEnd w:id="5"/>
      <w:bookmarkEnd w:id="6"/>
    </w:p>
    <w:p w14:paraId="7EBC3A5E" w14:textId="77777777" w:rsidR="008964E5" w:rsidRPr="00F45DDB" w:rsidRDefault="008964E5" w:rsidP="00F45DDB">
      <w:pPr>
        <w:pStyle w:val="NormalWeb"/>
        <w:shd w:val="clear" w:color="auto" w:fill="FFFFFF"/>
        <w:spacing w:line="360" w:lineRule="auto"/>
        <w:jc w:val="both"/>
      </w:pPr>
      <w:r w:rsidRPr="00F45DDB">
        <w:t>The Section 90</w:t>
      </w:r>
      <w:r w:rsidRPr="00F45DDB">
        <w:rPr>
          <w:rStyle w:val="FootnoteReference"/>
        </w:rPr>
        <w:footnoteReference w:id="2"/>
      </w:r>
      <w:r w:rsidRPr="00F45DDB">
        <w:t xml:space="preserve"> of the Indian Penal Code (IPC), embeds the idea of consent, which has also been established under Section 375 of the IPC, is further developed on a close analysis of this section. During the prosecution phase, consent acquires a significant role, and this is when Section 114A of the Indian Evidence Act is applicable. In a rape trial, if the accused had sexual contact with the victim and the issue of her consent was brought up, the woman's statement showing the lack of consent would cause the court to presume the absence of consent. Unless and until the accused successfully challenges it, this presumption will stand.</w:t>
      </w:r>
    </w:p>
    <w:p w14:paraId="1618171F" w14:textId="77777777" w:rsidR="008964E5" w:rsidRPr="00F45DDB" w:rsidRDefault="008964E5" w:rsidP="00F45DDB">
      <w:pPr>
        <w:pStyle w:val="NormalWeb"/>
        <w:shd w:val="clear" w:color="auto" w:fill="FFFFFF"/>
        <w:spacing w:line="360" w:lineRule="auto"/>
        <w:jc w:val="both"/>
      </w:pPr>
      <w:r w:rsidRPr="00F45DDB">
        <w:t>State of Maharashtra v Madhukar Narayan Mardikar</w:t>
      </w:r>
      <w:r w:rsidRPr="00F45DDB">
        <w:rPr>
          <w:rStyle w:val="FootnoteReference"/>
        </w:rPr>
        <w:footnoteReference w:id="3"/>
      </w:r>
      <w:r w:rsidRPr="00F45DDB">
        <w:t xml:space="preserve"> is the landmark case on this point. The respondent, a police inspector, was involved in a raid on a residents thought to be involved in </w:t>
      </w:r>
      <w:r w:rsidRPr="00F45DDB">
        <w:lastRenderedPageBreak/>
        <w:t>the illegal sale of alcohol in the scenario. The police inspector allegedly demanded to have sex with a woman present at the scene during the operation. The inspector tried to force himself on the woman, but she turned down his advances. The woman succeeded in sounding an alert, drawing attention to the predicament. A departmental investigation was then launched against the police inspector.</w:t>
      </w:r>
    </w:p>
    <w:p w14:paraId="353BB430" w14:textId="77777777" w:rsidR="008964E5" w:rsidRPr="00F45DDB" w:rsidRDefault="008964E5" w:rsidP="00F45DDB">
      <w:pPr>
        <w:pStyle w:val="NormalWeb"/>
        <w:shd w:val="clear" w:color="auto" w:fill="FFFFFF"/>
        <w:spacing w:line="360" w:lineRule="auto"/>
        <w:jc w:val="both"/>
      </w:pPr>
      <w:r w:rsidRPr="00F45DDB">
        <w:t>The inspector said in his defence that the woman's evidence shouldn't be believed since she was seen as being unchaste.</w:t>
      </w:r>
    </w:p>
    <w:p w14:paraId="4E7C6A8E" w14:textId="77777777" w:rsidR="008964E5" w:rsidRPr="00F45DDB" w:rsidRDefault="008964E5" w:rsidP="00F45DDB">
      <w:pPr>
        <w:pStyle w:val="NormalWeb"/>
        <w:shd w:val="clear" w:color="auto" w:fill="FFFFFF"/>
        <w:spacing w:line="360" w:lineRule="auto"/>
        <w:jc w:val="both"/>
        <w:rPr>
          <w:i/>
          <w:iCs/>
        </w:rPr>
      </w:pPr>
      <w:r w:rsidRPr="00F45DDB">
        <w:t xml:space="preserve">The Supreme Court on this issue observed: </w:t>
      </w:r>
      <w:r w:rsidRPr="00F45DDB">
        <w:rPr>
          <w:i/>
          <w:iCs/>
        </w:rPr>
        <w:t>“Every woman of easy virtue is entitled to privacy and no one can invade her privacy as and when he likes. So also it is not open to any or every person to violate her person as and when he wishes. She is entitled to protect her person if there is an attempt to violate it against her wish. She is equally entitled to protect her person if there is an attempt to violate it against her wish. She is equally entitled to protection of laws. Therefore merely because she is a woman of easy virtue her evidence cannot be thrown overboard.”</w:t>
      </w:r>
      <w:r w:rsidRPr="00F45DDB">
        <w:rPr>
          <w:rStyle w:val="FootnoteReference"/>
          <w:i/>
          <w:iCs/>
        </w:rPr>
        <w:footnoteReference w:id="4"/>
      </w:r>
    </w:p>
    <w:p w14:paraId="1610B09D" w14:textId="77777777" w:rsidR="008964E5" w:rsidRPr="00F45DDB" w:rsidRDefault="008964E5" w:rsidP="00F45DDB">
      <w:pPr>
        <w:spacing w:line="360" w:lineRule="auto"/>
        <w:jc w:val="both"/>
        <w:rPr>
          <w:rFonts w:ascii="Times New Roman" w:eastAsia="Times New Roman" w:hAnsi="Times New Roman" w:cs="Times New Roman"/>
          <w:kern w:val="0"/>
          <w:lang w:eastAsia="en-GB"/>
          <w14:ligatures w14:val="none"/>
        </w:rPr>
      </w:pPr>
      <w:r w:rsidRPr="00F45DDB">
        <w:rPr>
          <w:rFonts w:ascii="Times New Roman" w:hAnsi="Times New Roman" w:cs="Times New Roman"/>
        </w:rPr>
        <w:t xml:space="preserve">In fact, it is essential to thoroughly examine the harm brought about by societal norms, preconceived suppositions, and the status of women. Due to these preconceptions, the victim is unintentionally given the burden of proof, which forces them to establish their victim status. Alternative explanations are frequently discounted as unlikely or absurd, demonstrating the negative impact of cultural attitudes and biases. The legal system has always shown scepticism in the accounts of rape survivors, and society generally holds them in low regard. </w:t>
      </w:r>
      <w:r w:rsidRPr="00F45DDB">
        <w:rPr>
          <w:rFonts w:ascii="Times New Roman" w:eastAsia="Times New Roman" w:hAnsi="Times New Roman" w:cs="Times New Roman"/>
          <w:kern w:val="0"/>
          <w:lang w:eastAsia="en-GB"/>
          <w14:ligatures w14:val="none"/>
        </w:rPr>
        <w:t>Recognising the importance of linguistic and cultural elements in the legal definition of rape is also crucial. The judicial system is a living thing that is always changing. Reassessing rejected rape narratives within an inclusive framework and seeing them as texts with insightful information is crucial. Everything should be interpreted as a text, according to postmodern theory, which challenges accepted political interpretations. This method reveals hidden meanings and encourages the analysis of symbolic networks that influence how we perceive rape and related problems.</w:t>
      </w:r>
    </w:p>
    <w:p w14:paraId="19544783" w14:textId="77777777" w:rsidR="008964E5" w:rsidRPr="00F45DDB" w:rsidRDefault="008964E5" w:rsidP="00F45DDB">
      <w:pPr>
        <w:spacing w:line="360" w:lineRule="auto"/>
        <w:jc w:val="both"/>
        <w:rPr>
          <w:rFonts w:ascii="Times New Roman" w:eastAsia="Times New Roman" w:hAnsi="Times New Roman" w:cs="Times New Roman"/>
          <w:kern w:val="0"/>
          <w:lang w:eastAsia="en-GB"/>
          <w14:ligatures w14:val="none"/>
        </w:rPr>
      </w:pPr>
      <w:r w:rsidRPr="00F45DDB">
        <w:rPr>
          <w:rFonts w:ascii="Times New Roman" w:hAnsi="Times New Roman" w:cs="Times New Roman"/>
        </w:rPr>
        <w:t xml:space="preserve">The legal system is frequently viewed as a tight framework with strict regulations. The idea that protecting innocent people from unfair punishment outweighs the risk of acquitting some guilty people is one of the fundamental ideas emphasised in this system. In society discourse, </w:t>
      </w:r>
      <w:r w:rsidRPr="00F45DDB">
        <w:rPr>
          <w:rFonts w:ascii="Times New Roman" w:hAnsi="Times New Roman" w:cs="Times New Roman"/>
        </w:rPr>
        <w:lastRenderedPageBreak/>
        <w:t>the emphasis on the law's rigidity predominates, obscuring the possibility of its flexibility. "Most scholarship in law is rather like the 'old maths': static, stable, formal rationalism walled against chaos," writes Patricia Williams. Many court rulings demonstrate this rigidity. The requirement of corroboration combined with the absence of law that clearly distinguishes between consent and passive submission has led to questionable rulings, like the infamous "Mathura case." Despite clear proof of rape, the Supreme Court acquitted the two police officers charged with raping her on the dubious legal grounds</w:t>
      </w:r>
      <w:r w:rsidRPr="00F45DDB">
        <w:rPr>
          <w:rStyle w:val="FootnoteReference"/>
          <w:rFonts w:ascii="Times New Roman" w:hAnsi="Times New Roman" w:cs="Times New Roman"/>
        </w:rPr>
        <w:footnoteReference w:id="5"/>
      </w:r>
      <w:r w:rsidRPr="00F45DDB">
        <w:rPr>
          <w:rFonts w:ascii="Times New Roman" w:hAnsi="Times New Roman" w:cs="Times New Roman"/>
        </w:rPr>
        <w:t xml:space="preserve"> by stating that the victim was a liar and a promiscuous woman who most likely gave her agreement to the sex act. The court's failure to even take the complainant's argument into consideration demonstrates the unjustified rigidity of Indian law. </w:t>
      </w:r>
      <w:r w:rsidRPr="00F45DDB">
        <w:rPr>
          <w:rFonts w:ascii="Times New Roman" w:eastAsia="Times New Roman" w:hAnsi="Times New Roman" w:cs="Times New Roman"/>
          <w:kern w:val="0"/>
          <w:lang w:eastAsia="en-GB"/>
          <w14:ligatures w14:val="none"/>
        </w:rPr>
        <w:t>This rigidity has several root causes, one of which is the way the judicial system sees itself. The idea that the law should be unchanging is perpetuated by this self-image, which can obstruct development and adaptability in response to societal changes and shifting viewpoints.</w:t>
      </w:r>
    </w:p>
    <w:p w14:paraId="51482336" w14:textId="77777777" w:rsidR="008964E5" w:rsidRPr="00F45DDB" w:rsidRDefault="008964E5" w:rsidP="00F45DDB">
      <w:pPr>
        <w:spacing w:line="360" w:lineRule="auto"/>
        <w:jc w:val="both"/>
        <w:rPr>
          <w:rFonts w:ascii="Times New Roman" w:eastAsia="Times New Roman" w:hAnsi="Times New Roman" w:cs="Times New Roman"/>
          <w:kern w:val="0"/>
          <w:lang w:eastAsia="en-GB"/>
          <w14:ligatures w14:val="none"/>
        </w:rPr>
      </w:pPr>
      <w:r w:rsidRPr="00F45DDB">
        <w:rPr>
          <w:rFonts w:ascii="Times New Roman" w:hAnsi="Times New Roman" w:cs="Times New Roman"/>
        </w:rPr>
        <w:t xml:space="preserve">The decisions of the three courts in the Mathura rape case are noteworthy because they demonstrate the legal system's inherent gender prejudice. The alleged perpetrators were acquitted by the Sessions Court judge, who labelled the victim a "shocking liar" whose evidence was "riddled with falsehood and improbabilities." The initial judgement  in the above mentioned case said that the most one could infer from the complainant's testimony and supporting evidence was that she had sexual contact with the accused while at the police station. The judge emphasised that rape and sexual intercourse are not the same thing, though. The High Court then overturned this judgement and found the two defendants guilty, acknowledging that while the Sessions judge had correctly drawn a distinction between rape and sexual encounters, he had overlooked the important one between active consent and passive submission </w:t>
      </w:r>
      <w:r w:rsidRPr="00F45DDB">
        <w:rPr>
          <w:rFonts w:ascii="Times New Roman" w:eastAsia="Times New Roman" w:hAnsi="Times New Roman" w:cs="Times New Roman"/>
          <w:kern w:val="0"/>
          <w:lang w:eastAsia="en-GB"/>
          <w14:ligatures w14:val="none"/>
        </w:rPr>
        <w:t>The High Court's decision was eventually overturned by the Supreme Court, nevertheless. The Supreme Court ruled that the victim's body had no obvious injuries, which proved the sexual contact was a "peaceful affair." The victim was seen voluntarily accompanying one of the accused police officers without objecting or sobbing, which the court took as evidence of her consent to the act. The court based its decision on the idea that the victim's dread was not caused by a fear of physical damage or death, as required under the legal definition of rape. As a result, the court concluded that the act was not rape.</w:t>
      </w:r>
    </w:p>
    <w:p w14:paraId="577BB86A" w14:textId="77777777" w:rsidR="008964E5" w:rsidRPr="00F45DDB" w:rsidRDefault="008964E5" w:rsidP="00F45DDB">
      <w:pPr>
        <w:pStyle w:val="NormalWeb"/>
        <w:shd w:val="clear" w:color="auto" w:fill="FFFFFF"/>
        <w:spacing w:line="360" w:lineRule="auto"/>
        <w:jc w:val="both"/>
      </w:pPr>
      <w:r w:rsidRPr="00F45DDB">
        <w:lastRenderedPageBreak/>
        <w:t>The Bhanwari Devi case</w:t>
      </w:r>
      <w:r w:rsidRPr="00F45DDB">
        <w:rPr>
          <w:rStyle w:val="FootnoteReference"/>
        </w:rPr>
        <w:footnoteReference w:id="6"/>
      </w:r>
      <w:r w:rsidRPr="00F45DDB">
        <w:t xml:space="preserve"> is one of the most notable examples of gender bias in the Indian judiciary. Bhanwari Devi, a Dalit social worker, was gangraped by upper caste men because she was against child marriage and opposed the marriage of one of the accused's young daughters. Five defendants were involved in the case, four of whom belonged to the Gujjar ethnic group and one to the Brahmin caste. The Sessions court exonerated the accused for two key reasons: an inaccurate impression of Indian culture and a dearth of forensic evidence. The judge concluded that the formation of gangs in rural locations by members of two distinct communities—more specifically, the Gujjar and Brahmin communities—was impossible. The judge argued that it was incomprehensible that they would ignore caste and class boundaries to carry out a gang rape. The judge went on to say that no Indian man would just sit idly by as his wife was raped and only two elder guys were holding her back. Additionally, the judge deemed the notion of an uncle and his nephew participating in a rape together highly unlikely. The judge also looked closely at Bhanwari Devi's actions and thought it odd that she decided to go to the police rather than telling her in-laws about the incident. Her testimony was deemed contradictory and inconsistent by the judge. Bhanwari sought justice in higher courts, but her efforts were in futile because her claims were dismissed on the grounds listed above.</w:t>
      </w:r>
    </w:p>
    <w:p w14:paraId="405EA6A1" w14:textId="77777777" w:rsidR="008964E5" w:rsidRPr="00F45DDB" w:rsidRDefault="008964E5" w:rsidP="00F45DDB">
      <w:pPr>
        <w:pStyle w:val="NormalWeb"/>
        <w:shd w:val="clear" w:color="auto" w:fill="FFFFFF"/>
        <w:spacing w:line="360" w:lineRule="auto"/>
        <w:jc w:val="both"/>
      </w:pPr>
      <w:r w:rsidRPr="00F45DDB">
        <w:t>This case serves as a reminder that the legal system contains prejudices and preconceptions that may colour decisions and obstruct victims' rights to justice. It emphasises the difficulties faced by sexual assault victims when societal beliefs, cultural preconceptions, and inconsistent testimony play a large role in the courts.</w:t>
      </w:r>
    </w:p>
    <w:p w14:paraId="0A2B4C74" w14:textId="77777777" w:rsidR="008964E5" w:rsidRPr="00F45DDB" w:rsidRDefault="008964E5" w:rsidP="00F45DDB">
      <w:pPr>
        <w:pStyle w:val="NormalWeb"/>
        <w:shd w:val="clear" w:color="auto" w:fill="FFFFFF"/>
        <w:spacing w:line="360" w:lineRule="auto"/>
        <w:jc w:val="both"/>
      </w:pPr>
      <w:r w:rsidRPr="00F45DDB">
        <w:t>The findings of the Sessions Court in the Gurmit Singh</w:t>
      </w:r>
      <w:r w:rsidRPr="00F45DDB">
        <w:rPr>
          <w:rStyle w:val="FootnoteReference"/>
        </w:rPr>
        <w:footnoteReference w:id="7"/>
      </w:r>
      <w:r w:rsidRPr="00F45DDB">
        <w:t xml:space="preserve"> case is also quite surprising. The event in question involved the kidnapping and sexual abuse of a young girl by three people as she was returning from school. The trial court, which referred to the victim's alleged dubious morals, absolved the accused in the case. Due to the girl's inability to distinguish between a Fiat and an Ambassador car, which cast doubt on her claim that she was taken in a car, the court concluded that she was lying. Additionally, the pursuing officer was unable to track down the vehicle or driver that was engaged in the kidnapping. Due to gaps and omissions in the prosecution's case, the court concluded that an automobile was not used. It is also significant that the victim opted to confide in her mother when she got home the day after her exam rather than telling her teachers or friends about the incident. Moreover, there was a conspicuous lack </w:t>
      </w:r>
      <w:r w:rsidRPr="00F45DDB">
        <w:lastRenderedPageBreak/>
        <w:t>of supporting documentation for the victim's claims. In this case, as opposed to the other two cases cited, the Supreme Court had a substantial impact by not only upholding the law but also harshly criticising the lower court for its callous decision. The judicial system underwent significant changes because of this landmark ruling in an effort to foster a climate that encourages female victims to bravely come forward and demand redress.</w:t>
      </w:r>
    </w:p>
    <w:p w14:paraId="3A20A913" w14:textId="77777777" w:rsidR="008964E5" w:rsidRPr="00F45DDB" w:rsidRDefault="008964E5" w:rsidP="00F45DDB">
      <w:pPr>
        <w:pStyle w:val="NormalWeb"/>
        <w:shd w:val="clear" w:color="auto" w:fill="FFFFFF"/>
        <w:spacing w:line="360" w:lineRule="auto"/>
        <w:jc w:val="both"/>
      </w:pPr>
      <w:r w:rsidRPr="00F45DDB">
        <w:t>In our legal system there is a certain expectation on the testimony to follow “aesthetic of uniformity” from a victim, that follows a set of established rules and adheres to a level of consistency.  This disturbed psyche of the victim works to her disadvantage as it becomes difficult for her to produce a linear cohesive testimony. As discussed in the previous paragraphs, the line of questioning that she faces from the courts, police officers and the victim-blaming habit of our society adds to this. The victim's psychological turmoil ultimately works against her, making it difficult for her to provide a coherent and linear account.</w:t>
      </w:r>
    </w:p>
    <w:p w14:paraId="12031AD1" w14:textId="77777777" w:rsidR="008964E5" w:rsidRPr="00F45DDB" w:rsidRDefault="008964E5" w:rsidP="00F45DDB">
      <w:pPr>
        <w:pStyle w:val="NormalWeb"/>
        <w:shd w:val="clear" w:color="auto" w:fill="FFFFFF"/>
        <w:spacing w:line="360" w:lineRule="auto"/>
        <w:jc w:val="both"/>
      </w:pPr>
    </w:p>
    <w:p w14:paraId="1C288065" w14:textId="77777777" w:rsidR="008964E5" w:rsidRPr="00F45DDB" w:rsidRDefault="008964E5" w:rsidP="00F45DDB">
      <w:pPr>
        <w:pStyle w:val="NormalWeb"/>
        <w:shd w:val="clear" w:color="auto" w:fill="FFFFFF"/>
        <w:spacing w:line="360" w:lineRule="auto"/>
        <w:jc w:val="both"/>
      </w:pPr>
      <w:r w:rsidRPr="00F45DDB">
        <w:t>As was already said, these issues are made worse by the questioning techniques used by the courts, law enforcement, and the pervasive victim-blaming mentality in society. The relevance of trauma and its repercussions on human behaviour within the judicial system are not sufficiently acknowledged. Instead, it frequently examines the veracity of victims and witnesses by focusing on omissions, lapses, and discrepancies without considering the possibility that they are signs of trauma. The methods of interrogation used by the legal system and law enforcement, as well as the pervasive victim-blaming mentality that permeates society, serve to exacerbate these problems. Insufficient attention is paid to the relevance of trauma and how it affects human behaviour in the legal system. Instead, the emphasis is frequently placed on examining the veracity of victims and witnesses by calling attention to omissions, mistakes, and discrepancies—without considering the possibility that these can be signs of trauma. Analysis reveals that social and cultural situations usually discriminate against women since they are required to follow a predetermined set of rules. Any departure from these norms might bring about censure and condemnation. Any attempt by a woman to defy or go beyond the established limits is viewed as a threat to civilisation. A reasoning that is geared towards men quietly and effectively reinforces these mental tendencies.</w:t>
      </w:r>
      <w:r w:rsidRPr="00F45DDB">
        <w:cr/>
        <w:t xml:space="preserve"> </w:t>
      </w:r>
    </w:p>
    <w:p w14:paraId="58D26C92" w14:textId="77777777" w:rsidR="008964E5" w:rsidRPr="00F45DDB" w:rsidRDefault="008964E5" w:rsidP="00F45DDB">
      <w:pPr>
        <w:pStyle w:val="NormalWeb"/>
        <w:shd w:val="clear" w:color="auto" w:fill="FFFFFF"/>
        <w:spacing w:line="360" w:lineRule="auto"/>
        <w:jc w:val="both"/>
      </w:pPr>
      <w:r w:rsidRPr="00F45DDB">
        <w:lastRenderedPageBreak/>
        <w:t>Cases like Bhanwari Devi's and Mathura's exhibit similar dynamics. Mathura broke the rules set by the masculine social order when she decided to live with the person she loved. As a result, she was expelled. Her personal attack was justified since she deviated from the accepted paths that society judged suitable.</w:t>
      </w:r>
    </w:p>
    <w:p w14:paraId="1B9BFAA1" w14:textId="446A6AEA" w:rsidR="008964E5" w:rsidRPr="00F45DDB" w:rsidRDefault="008964E5" w:rsidP="005E1D31">
      <w:pPr>
        <w:pStyle w:val="Heading2"/>
      </w:pPr>
      <w:bookmarkStart w:id="7" w:name="_Toc135256634"/>
      <w:bookmarkStart w:id="8" w:name="_Toc135593819"/>
      <w:r w:rsidRPr="00F45DDB">
        <w:t>Date Rapes</w:t>
      </w:r>
      <w:bookmarkEnd w:id="7"/>
      <w:bookmarkEnd w:id="8"/>
    </w:p>
    <w:p w14:paraId="49EAA0F2" w14:textId="77777777" w:rsidR="008964E5" w:rsidRPr="00F45DDB" w:rsidRDefault="008964E5" w:rsidP="00F45DDB">
      <w:pPr>
        <w:jc w:val="both"/>
        <w:rPr>
          <w:rFonts w:ascii="Times New Roman" w:hAnsi="Times New Roman" w:cs="Times New Roman"/>
        </w:rPr>
      </w:pPr>
    </w:p>
    <w:p w14:paraId="492D2F11" w14:textId="77777777" w:rsidR="008964E5" w:rsidRPr="00F45DDB" w:rsidRDefault="008964E5" w:rsidP="00F45DDB">
      <w:pPr>
        <w:spacing w:line="360" w:lineRule="auto"/>
        <w:jc w:val="both"/>
        <w:rPr>
          <w:rFonts w:ascii="Times New Roman" w:hAnsi="Times New Roman" w:cs="Times New Roman"/>
        </w:rPr>
      </w:pPr>
      <w:r w:rsidRPr="00F45DDB">
        <w:rPr>
          <w:rFonts w:ascii="Times New Roman" w:hAnsi="Times New Roman" w:cs="Times New Roman"/>
        </w:rPr>
        <w:t>The similar argument can be made in defence of incidents of date rape, which are frequently written off as consensual sex. By associating passivity, which in this context might be considered as a natural biological response to maintain oneself, with an act of choice, verdicts based on strict interpretations of consent deny female victims their right to life and physical integrity. Court judgements frequently reflect the dominant viewpoints and ideas of the society because courts act as social mirrors. It becomes strikingly obvious that cultures often prefer their female victims to be silenced, effectively sacrificing their lives and well-being in the name of preserving social conceptions of honour, when one critically examines the judgements and the attitudes that support them. This sentiment is consistent with long-held notions about women's sexual enjoyment, according to which a woman's sexual desires should be defined by respect, dignity, and restraint. Contrarily, excessive libido is frequently regarded as a masculine prerogative and even praised as a sign of masculinity.</w:t>
      </w:r>
    </w:p>
    <w:p w14:paraId="65738022" w14:textId="77777777" w:rsidR="008964E5" w:rsidRPr="00F45DDB" w:rsidRDefault="008964E5" w:rsidP="00F45DDB">
      <w:pPr>
        <w:spacing w:line="360" w:lineRule="auto"/>
        <w:jc w:val="both"/>
        <w:rPr>
          <w:rFonts w:ascii="Times New Roman" w:hAnsi="Times New Roman" w:cs="Times New Roman"/>
        </w:rPr>
      </w:pPr>
      <w:r w:rsidRPr="00F45DDB">
        <w:rPr>
          <w:rFonts w:ascii="Times New Roman" w:hAnsi="Times New Roman" w:cs="Times New Roman"/>
        </w:rPr>
        <w:t xml:space="preserve"> It is crucial to oppose these engrained cultural biases and practises and work towards a society that maintains and respects the rights of every person, regardless of gender.</w:t>
      </w:r>
    </w:p>
    <w:p w14:paraId="1B0773D7" w14:textId="77777777" w:rsidR="008964E5" w:rsidRPr="00F45DDB" w:rsidRDefault="008964E5" w:rsidP="00F45DDB">
      <w:pPr>
        <w:spacing w:line="360" w:lineRule="auto"/>
        <w:jc w:val="both"/>
        <w:rPr>
          <w:rFonts w:ascii="Times New Roman" w:hAnsi="Times New Roman" w:cs="Times New Roman"/>
        </w:rPr>
      </w:pPr>
    </w:p>
    <w:p w14:paraId="07F3D0A2" w14:textId="5E91D40C" w:rsidR="008964E5" w:rsidRPr="00F45DDB" w:rsidRDefault="008964E5" w:rsidP="005E1D31">
      <w:pPr>
        <w:pStyle w:val="Heading2"/>
      </w:pPr>
      <w:bookmarkStart w:id="9" w:name="_Toc135256635"/>
      <w:bookmarkStart w:id="10" w:name="_Toc135593820"/>
      <w:r w:rsidRPr="00F45DDB">
        <w:t>Two-finger tests</w:t>
      </w:r>
      <w:bookmarkEnd w:id="9"/>
      <w:bookmarkEnd w:id="10"/>
    </w:p>
    <w:p w14:paraId="2F977BF1" w14:textId="77777777" w:rsidR="008964E5" w:rsidRPr="00F45DDB" w:rsidRDefault="008964E5" w:rsidP="00F45DDB">
      <w:pPr>
        <w:spacing w:line="360" w:lineRule="auto"/>
        <w:jc w:val="both"/>
        <w:rPr>
          <w:rFonts w:ascii="Times New Roman" w:hAnsi="Times New Roman" w:cs="Times New Roman"/>
        </w:rPr>
      </w:pPr>
      <w:r w:rsidRPr="00F45DDB">
        <w:rPr>
          <w:rFonts w:ascii="Times New Roman" w:hAnsi="Times New Roman" w:cs="Times New Roman"/>
        </w:rPr>
        <w:t xml:space="preserve">A woman's body is frequently objectified during court proceedings. The witness is obliged to give explicit details about the incident during witness testimony, including detailed descriptions of which areas of her body were touched and in what order. This obligation, which is meant to ensure a thorough report of the incident, can occasionally become a voyeuristic activity. In the case of a seven-year-old rape survivor, for example, there are underlying forces at work that go beyond the search of truth, the whole truth, and nothing but the truth when she is asked to describe the male organ in detailed detail in court. When a rape victim decides to speak up and inform the authorities about the crime, the story of protracted trauma starts. Unfortunately, the police frequently lack the tact and knowledge needed to deal with people who have had their bodies violated and their dignity violated. The subsequent medical exam, which might feel like yet another intrusion to the victim, is occasionally viewed as just a forensic procedure, oblivious to the reality that examining a rape victim necessitates striking a delicate balance </w:t>
      </w:r>
      <w:r w:rsidRPr="00F45DDB">
        <w:rPr>
          <w:rFonts w:ascii="Times New Roman" w:hAnsi="Times New Roman" w:cs="Times New Roman"/>
        </w:rPr>
        <w:lastRenderedPageBreak/>
        <w:t>between objectivity and compassion. It is important to realise that the legal system ought to handle these situations more delicately, considering the survivors' emotional and psychological effects. The victim's welfare and dignity should come first in the process, and the victim should receive the required understanding and support throughout the judicial proceedings.  Often, rape victims are made to wait for several hours for the examination and are not allowed to clean themselves during the wait. (“Mentally Challenged Rape Victim,” India Today; Even though the law has changed to forbid spectators in rape trials, there are still signs of the masculine gaze present in the courtroom. Furthermore, there is strong evidence to support the idea that the level of social support given to victims is crucial to their healing. It has been established that victims who decide to bring legal action against their attackers frequently suffer from weaker mental health. Protracted trials can lead to a prolonged time of victimhood, and expectations imposed on the victim subsequently lead to new crises and reawaken the trauma they have already experienced. This calls for a reconsideration of two distinct phenomena: the entire court process, including the intimidation and victimisation brought on by the procedure, and the ongoing reminders of the traumatic event that are actively maintained. The latter argument contends that rather than offering solace through catharsis, persistently thinking about the specifics of the traumatic incident has a negative effect. Criminal court proceedings frequently go forward without allowing for appropriate recovery of the personal resources required for victims to handle the devastating consequences, which is one issue with them. Like this, forensic pathologists currently rely heavily on physical examination to determine the severity of the injuries received by rape victims. Such a strategy ignores the mental anguish and agony that the victim has gone through, which might follow them for the rest of their lives. After a rape, a woman is frequently cast in the character of a simple victim, her identity determined only by the rape itself. Many women are plagued by the fear of having this new identity forced upon them as well as the societal ideals that support this phenomenon, which may prevent them from speaking out against the egregious injustices they have experienced.</w:t>
      </w:r>
    </w:p>
    <w:p w14:paraId="617AA304" w14:textId="77777777" w:rsidR="008964E5" w:rsidRPr="00F45DDB" w:rsidRDefault="008964E5" w:rsidP="00F45DDB">
      <w:pPr>
        <w:spacing w:line="360" w:lineRule="auto"/>
        <w:jc w:val="both"/>
        <w:rPr>
          <w:rFonts w:ascii="Times New Roman" w:hAnsi="Times New Roman" w:cs="Times New Roman"/>
        </w:rPr>
      </w:pPr>
      <w:r w:rsidRPr="00F45DDB">
        <w:rPr>
          <w:rFonts w:ascii="Times New Roman" w:hAnsi="Times New Roman" w:cs="Times New Roman"/>
        </w:rPr>
        <w:t xml:space="preserve"> The identity as a rape-victim has traces of complicity, guilt, even predestination in a society like ours, where patriarchy is one of the main strands of the ruling ideology. In one of the judgments passed by the Supreme Court Justice Arijit Pasayat, observes “While a murderer destroys the physical frame of the victim, a rapist degrades and defiles the soul of a helpless female” For more details, refer to the judgment of the case Tulshidas Kanolkar vs The State of Goa 2003 CRL 298. (qtd. in Jain) shows the condition of woman in the contemporary society. On the surface of it, the observation is sympathetic to the plight of women. Upon scrutiny, however, the statement is ridden with patriarchal shibboleths: it reduces the identity of a woman </w:t>
      </w:r>
      <w:r w:rsidRPr="00F45DDB">
        <w:rPr>
          <w:rFonts w:ascii="Times New Roman" w:hAnsi="Times New Roman" w:cs="Times New Roman"/>
        </w:rPr>
        <w:lastRenderedPageBreak/>
        <w:t>to her sexual experience. It is as though a woman’s existence is determined solely in terms of her sex life. The prejudice of a society which tags the rape victim as a degraded and defiled soul, to be equally pitied and feared exposes the patriarchal prejudice. The victim thus needs protection not just from the rapist but also from the “tyranny of the prevailing opinion and feeling, against the tendency of the society to impose, by other means than civil penalties, its own ideas and practices as rules of conduct on those who dissent from them” .</w:t>
      </w:r>
    </w:p>
    <w:p w14:paraId="38CCC1D2" w14:textId="77777777" w:rsidR="008964E5" w:rsidRPr="00F45DDB" w:rsidRDefault="008964E5" w:rsidP="00F45DDB">
      <w:pPr>
        <w:spacing w:line="360" w:lineRule="auto"/>
        <w:jc w:val="both"/>
        <w:rPr>
          <w:rFonts w:ascii="Times New Roman" w:hAnsi="Times New Roman" w:cs="Times New Roman"/>
        </w:rPr>
      </w:pPr>
    </w:p>
    <w:p w14:paraId="22346850" w14:textId="766BC21E" w:rsidR="008964E5" w:rsidRPr="00F45DDB" w:rsidRDefault="008964E5" w:rsidP="005E1D31">
      <w:pPr>
        <w:pStyle w:val="Heading1"/>
      </w:pPr>
      <w:bookmarkStart w:id="11" w:name="_Toc135256636"/>
      <w:bookmarkStart w:id="12" w:name="_Toc135593821"/>
      <w:r w:rsidRPr="00F45DDB">
        <w:t>VICTIM TESTIMONIES</w:t>
      </w:r>
      <w:bookmarkEnd w:id="11"/>
      <w:bookmarkEnd w:id="12"/>
      <w:r w:rsidRPr="00F45DDB">
        <w:t xml:space="preserve"> </w:t>
      </w:r>
    </w:p>
    <w:p w14:paraId="4F92826E" w14:textId="77777777" w:rsidR="008964E5" w:rsidRPr="00F45DDB" w:rsidRDefault="008964E5" w:rsidP="00F45DDB">
      <w:pPr>
        <w:pStyle w:val="NormalWeb"/>
        <w:shd w:val="clear" w:color="auto" w:fill="FFFFFF"/>
        <w:spacing w:line="360" w:lineRule="auto"/>
        <w:jc w:val="both"/>
      </w:pPr>
      <w:r w:rsidRPr="00F45DDB">
        <w:t>Testimony from victims are viewed with suspicion. Although it is illegal on paper, the system makes it difficult for the victim of a rape to file a complaint by placing special barriers in their path, starting with the demand that their testimony be supported by additional evidence, moving on to the unwritten requirement that she resist her assailant, and concluding with the expectation that she is sexually innocent or has engaged in sex without violating any of the social norms established by modern society. Although the letter of the law appears to be correct, the spirit of the law appears to be entirely incorrect, necessitating the interpretation or intervention of a silver tongue rhetoric Portia in each case.</w:t>
      </w:r>
    </w:p>
    <w:p w14:paraId="42A286BC" w14:textId="77777777" w:rsidR="008964E5" w:rsidRPr="00F45DDB" w:rsidRDefault="008964E5" w:rsidP="00F45DDB">
      <w:pPr>
        <w:pStyle w:val="NormalWeb"/>
        <w:shd w:val="clear" w:color="auto" w:fill="FFFFFF"/>
        <w:spacing w:line="360" w:lineRule="auto"/>
        <w:jc w:val="both"/>
      </w:pPr>
      <w:r w:rsidRPr="00F45DDB">
        <w:t xml:space="preserve">Law enforcement agencies' views of the law are based on patriarchal social norms, which underly them. The demand that a rape complainant present justification for her presence at the scene of the assault together with supporting documentation is one example of an absurd but real requirement. The Bhanwari Devi case and the ones examined in the third and fourth chapters serve as examples of how survivors were required to present official documentation of their attendance at the crime site. However, it is perplexing how a woman who is raped while going to the toilet in a field may offer legal proof of a normal physiological function. Even more distressing is the presumption that underlies this requirement: that a woman should not violate invisible borders because she is a protected member of society. These limits have a lot of power while being invisible. Women are portrayed to be weak, and this implied weakening is utilised to support these limitations. Movement restrictions cast women as subjects rather than citizens, implying an outsider status. Recent rape cases involving IT personnel make this clear. It appears that society supports the free mobility of women based on the discourse around these events and the ostensible welfare measures implemented by the IT sector and the government. The operation of taxi cabs is restricted to men with clean driving records; female </w:t>
      </w:r>
      <w:r w:rsidRPr="00F45DDB">
        <w:lastRenderedPageBreak/>
        <w:t>professionals are discouraged from riding alone in taxis; and among other safety measures, women employees are urged against working late-night or night shifts. However, the jingoistic rhetoric of self-described social workers and campaigners frequently hides the underlying consequences behind these actions. While technology and the demands of capitalist society may have allowed you to enter traditionally male domains, we, the guardians of the male order, will continue to remind you of your transgression into what was once exclusively male territory. This warning is concealed beneath the guise of practical welfare initiatives.</w:t>
      </w:r>
    </w:p>
    <w:p w14:paraId="7017ACCA" w14:textId="35D85611" w:rsidR="008964E5" w:rsidRPr="00F45DDB" w:rsidRDefault="008964E5" w:rsidP="005E1D31">
      <w:pPr>
        <w:pStyle w:val="Heading1"/>
      </w:pPr>
      <w:bookmarkStart w:id="13" w:name="_Toc135256637"/>
      <w:bookmarkStart w:id="14" w:name="_Toc135593822"/>
      <w:r w:rsidRPr="00F45DDB">
        <w:t>QUALITY OF INVESTIGATION</w:t>
      </w:r>
      <w:bookmarkEnd w:id="13"/>
      <w:bookmarkEnd w:id="14"/>
    </w:p>
    <w:p w14:paraId="574CC10F" w14:textId="77777777" w:rsidR="008964E5" w:rsidRPr="00F45DDB" w:rsidRDefault="008964E5" w:rsidP="00F45DDB">
      <w:pPr>
        <w:pStyle w:val="NormalWeb"/>
        <w:shd w:val="clear" w:color="auto" w:fill="FFFFFF"/>
        <w:spacing w:line="360" w:lineRule="auto"/>
        <w:jc w:val="both"/>
      </w:pPr>
      <w:r w:rsidRPr="00F45DDB">
        <w:t xml:space="preserve">At present, one of the major obstacles in delivering justice to rape cases is the </w:t>
      </w:r>
      <w:r w:rsidRPr="00F45DDB">
        <w:rPr>
          <w:b/>
          <w:bCs/>
        </w:rPr>
        <w:t>poor quality of investigation.</w:t>
      </w:r>
      <w:r w:rsidRPr="00F45DDB">
        <w:t xml:space="preserve"> This can be attributed to a variety of factors, including corruption, gender bias, and overall police ineptitude. In any event, the cops are the ones who make the initial judgements. The police are granted a great deal of discretion, which is used secretively and off-the-record. Whether a woman's allegation is "founded" is decided by them. Only "founded" allegations are sent in for potential prosecution. Founded rape cases include stranger rape cases, whereas unfounded rape cases include date rape or acquaintance rape cases. They make decisions regarding whether to investigate the case, as well as the length and breadth of the investigation. These choices have an impact on the calibre of the evidence presented at trial, which in turn has an impact on the trial itself. This is evident in the Gurmit Singh case, already mentioned, in the beginning of this chapter where one of the reasons for dismissing the case was the poor investigation. The shocking part of the case is that since the police could not trace out the car or the driver, the court declared that the story was concocted and thus dismissed the case and acquitted the culprits. One of the disadvantages of rape cases is the deep prejudice prevalent among the police force against rape victims. They are unfairly skeptical of rape complainants and they believe that rape victims often exaggerate/even fabricate rape incidents.</w:t>
      </w:r>
    </w:p>
    <w:p w14:paraId="36974A12" w14:textId="77777777" w:rsidR="008964E5" w:rsidRPr="00F45DDB" w:rsidRDefault="008964E5" w:rsidP="00F45DDB">
      <w:pPr>
        <w:pStyle w:val="NormalWeb"/>
        <w:shd w:val="clear" w:color="auto" w:fill="FFFFFF"/>
        <w:spacing w:line="360" w:lineRule="auto"/>
        <w:jc w:val="both"/>
      </w:pPr>
      <w:r w:rsidRPr="00F45DDB">
        <w:t>In India, cases like Mathura rape case, Bhanwari Devi case and Gurmit Singh’s case are a few examples where the law machinery brushed aside victim testimony and supported the culprits. The establishment of rape shield laws represents a significant advancement in the evolution of rape legislation since it limits the use of the victim's prior sexual history as admissible evidence in court.There are, however, some exceptions to this rule, especially when the defendant successfully claims </w:t>
      </w:r>
      <w:r w:rsidRPr="00F45DDB">
        <w:rPr>
          <w:rFonts w:eastAsiaTheme="majorEastAsia"/>
        </w:rPr>
        <w:t>that such evidence is relevant to </w:t>
      </w:r>
      <w:r w:rsidRPr="00F45DDB">
        <w:t>demonstrate their innocence, particularly in circumstances when the    victim and the accused have a past relationship.In certain situatio</w:t>
      </w:r>
      <w:r w:rsidRPr="00F45DDB">
        <w:lastRenderedPageBreak/>
        <w:t>ns, the defendant can try to cast doubt on the survivor's reliability by bringing up their sexual history.In circumstances where the victim and the offender are related, the defendant may emphasise proving consent as a significant defence tactic to cast doubt on the credibility of the victim. Consequently, while rape shield laws have been enacted, they can be circumvented, with past sexual histories being introduced in court to demonstrate the supposed "promiscuity" of the survivor and establish a pattern of filing false claims.</w:t>
      </w:r>
    </w:p>
    <w:p w14:paraId="65016469" w14:textId="77777777" w:rsidR="008964E5" w:rsidRPr="00F45DDB" w:rsidRDefault="008964E5" w:rsidP="00F45DDB">
      <w:pPr>
        <w:spacing w:line="360" w:lineRule="auto"/>
        <w:jc w:val="both"/>
        <w:rPr>
          <w:rFonts w:ascii="Times New Roman" w:hAnsi="Times New Roman" w:cs="Times New Roman"/>
        </w:rPr>
      </w:pPr>
      <w:r w:rsidRPr="00F45DDB">
        <w:rPr>
          <w:rFonts w:ascii="Times New Roman" w:hAnsi="Times New Roman" w:cs="Times New Roman"/>
        </w:rPr>
        <w:t xml:space="preserve">The issue of delayed verdicts, which frequently affects the legal system, can cause cases—especially those involving serious crimes like rape—to drag on for years or even decades before a decision is made. This lack of promptness not only prevents the perpetrator from changing, but it also prevents society from receiving a timely and powerful message. The victim's predicament is made worse by the protracted trial period because her identity is now completely defined by her victimhood. In essence, the victim's identity is rejected and the anguish she endured is extended when justice is delayed. </w:t>
      </w:r>
    </w:p>
    <w:p w14:paraId="0176021D" w14:textId="77777777" w:rsidR="008964E5" w:rsidRPr="00F45DDB" w:rsidRDefault="008964E5" w:rsidP="00F45DDB">
      <w:pPr>
        <w:spacing w:line="360" w:lineRule="auto"/>
        <w:jc w:val="both"/>
        <w:rPr>
          <w:rFonts w:ascii="Times New Roman" w:hAnsi="Times New Roman" w:cs="Times New Roman"/>
        </w:rPr>
      </w:pPr>
    </w:p>
    <w:p w14:paraId="273BD094" w14:textId="77777777" w:rsidR="008964E5" w:rsidRPr="00F45DDB" w:rsidRDefault="008964E5" w:rsidP="00F45DDB">
      <w:pPr>
        <w:spacing w:line="360" w:lineRule="auto"/>
        <w:jc w:val="both"/>
        <w:rPr>
          <w:rFonts w:ascii="Times New Roman" w:hAnsi="Times New Roman" w:cs="Times New Roman"/>
        </w:rPr>
      </w:pPr>
      <w:r w:rsidRPr="00F45DDB">
        <w:rPr>
          <w:rFonts w:ascii="Times New Roman" w:hAnsi="Times New Roman" w:cs="Times New Roman"/>
        </w:rPr>
        <w:t>The lengthy and complicated processes required to file a police report deter many rape victims from reporting their crimes. Police stations can have an unwelcoming and intimidating atmosphere when victims are asked to describe their ordeal to male officers. Even if a woman musters the confidence to file a police report, the court process is frequently hampered by lengthy holdups and repeated pointless adjournments. The victim endures continuous psychological abuse in public courtrooms during this drawn-out procedure, going through tiresomely drawn-out trials that have her continually relive her painful memories. Moreover, the victim's frustration and hopelessness are increased by the accused's acquittal due to a lack of proof. Overall, the combination of delayed judgments, cumbersome procedures, unsupportive environments, and the repeated emotional toll on the victim contributes to a system that often fails to provide timely and effective justice for rape survivors.</w:t>
      </w:r>
    </w:p>
    <w:p w14:paraId="3CBD8087" w14:textId="5F124595" w:rsidR="008964E5" w:rsidRPr="00F45DDB" w:rsidRDefault="008964E5" w:rsidP="00F45DDB">
      <w:pPr>
        <w:pStyle w:val="NormalWeb"/>
        <w:shd w:val="clear" w:color="auto" w:fill="FFFFFF"/>
        <w:spacing w:line="360" w:lineRule="auto"/>
        <w:jc w:val="both"/>
      </w:pPr>
      <w:r w:rsidRPr="00F45DDB">
        <w:t>The problems raised were resolved by a 2008 change to the Code of Criminal Procedure (CrPC), which went into effect in 2009. Section 157 of the CrPC, which specifies the procedure for investigating rape cases, was significantly amended. The victim's statement should be documented in her apartment or a location of her choice, preferably by a female police officer, in the presence of her parents, guardians, relatives, or a local social worker, according to the modification.</w:t>
      </w:r>
      <w:r w:rsidRPr="00F45DDB">
        <w:rPr>
          <w:rStyle w:val="FootnoteReference"/>
        </w:rPr>
        <w:footnoteReference w:id="8"/>
      </w:r>
      <w:r w:rsidRPr="00F45DDB">
        <w:t xml:space="preserve"> Another change was made to Section 173 of the CrPC, which states that </w:t>
      </w:r>
      <w:r w:rsidRPr="00F45DDB">
        <w:lastRenderedPageBreak/>
        <w:t>investigations into child rape must be completed within three months of the day the information is recorded by the officer in charge of the police station. Furthermore, if the investigation concerns offences under Sections 376, 376A, 376B, 376C, and 376D of the Indian Penal Code (IPC), the report shall include the findings of the victim's medical examination. Section 309 of the CrPC has been amended to contain a provision indicating that inquiries or trials relating to offences under Sections 376 to 376D of the IPC should ideally be concluded within two months of the start of witness examination. Despite the fact that an amendment to Section 327 of the CrPC in 1983 mandated in-camera procedures for rape cases under Sections 376, 376A, 376B, 376C, or 376D of the IPC, victims nevertheless felt uneasy throughout court proceedings. Section 327 was amended in 2008 to allow for an in-camera trial, ideally presided over by a female judge or magistrate. It also lifts the prohibition on publicising trial procedures involving rape offences, with the caveat that the names and addresses of the participants remain confidential. The 2008 amendment to the CrPC introduced progressive legislation by incorporating a new section, 357A, which establishes the victim compensation scheme. State governments, in consultation with the central government, are required to prepare a compensation scheme for victims. Upon court recommendation, the district legal service authority or state legal service authority is responsible for determining the amount of compensation.</w:t>
      </w:r>
      <w:r w:rsidRPr="00F45DDB">
        <w:t xml:space="preserve"> </w:t>
      </w:r>
      <w:r w:rsidRPr="00F45DDB">
        <w:t>Overall, the 2008 amendments to the CrPC have introduced significant changes to address the concerns raised and provide a more victim-centric approach to rape cases.</w:t>
      </w:r>
    </w:p>
    <w:p w14:paraId="4CF89A50" w14:textId="68041714" w:rsidR="008964E5" w:rsidRPr="00F45DDB" w:rsidRDefault="008964E5" w:rsidP="00F45DDB">
      <w:pPr>
        <w:pStyle w:val="NormalWeb"/>
        <w:shd w:val="clear" w:color="auto" w:fill="FFFFFF"/>
        <w:spacing w:line="360" w:lineRule="auto"/>
        <w:jc w:val="both"/>
      </w:pPr>
      <w:r w:rsidRPr="00F45DDB">
        <w:t>Significant modifications were made to the Code of Criminal Procedure (CrPC) to address many facets of crimes against women, including rape. One major inclusion was a Section 166A provision that penalises public employees who refuse to record a First Information Report (FIR) in specified crimes against women, including rape.</w:t>
      </w:r>
      <w:r w:rsidR="00EF7864">
        <w:t xml:space="preserve"> </w:t>
      </w:r>
      <w:r w:rsidRPr="00F45DDB">
        <w:t xml:space="preserve">Another change was a provision in Section 166B that penalises individuals in charge of public or private hospitals who refuse to offer free medical treatment to rape victims. Amendments were made to Section 154(1) of the CrPC, which deals with the recording of FIRs, to clarify that in certain offences against women, such as rape, the FIR should be documented by a woman police officer or any female official. Furthermore, if a woman who is temporarily or permanently mentally or physically disabled alleges an offence under Sections 354, 376, and related sections of the Indian Penal Code (IPC), the information should be recorded by a police officer at her residence or a location of her choice, in the presence of an interpreter or special educator. The recording of such information should likewise be videotaped as early as possible, as should her appearance before the Magistrate under Section 164 of the CrPC. The amendment added Section 164(5A), which </w:t>
      </w:r>
      <w:r w:rsidRPr="00F45DDB">
        <w:lastRenderedPageBreak/>
        <w:t>requires the Judicial Magistrate to record the victim/survivor's statement as soon as the offence is brought to the notice of the police. Furthermore, Section 197(1) of the CrPC was amended to clarify that prior sanction from the Appropriate Government is not required for the prosecution of a public official for any sexual abuse offences. As Section 197 is meant to shield public workers from malicious prosecution for acts undertaken in the discharge of their duties, this modification was introduced to ensure the swift prosecution of public servants for rape and other types of sexual abuse. Sexual abuse cannot be justified as part of public obligations, necessitating this modification. Finally, the amendment added Section 375C, which requires all public and private hospitals to give free first aid or medical treatment to victims of acid attacks and rape immediately. Furthermore, hospitals are supposed to notify the police of such situations as soon as possible. In summary, these CrPC amendments aim to improve the response to crimes against women, particularly rape, by ensuring proper FIR recording, facilitating victim medical treatment, expediting prosecution of public servants for sexual abuse offences, and improving coordination between hospitals and law enforcement agencies in addressing rape and acid attacks.</w:t>
      </w:r>
    </w:p>
    <w:p w14:paraId="7844DA5B" w14:textId="77777777" w:rsidR="008964E5" w:rsidRPr="00F45DDB" w:rsidRDefault="008964E5" w:rsidP="00F45DDB">
      <w:pPr>
        <w:pStyle w:val="NormalWeb"/>
        <w:shd w:val="clear" w:color="auto" w:fill="FFFFFF"/>
        <w:spacing w:line="360" w:lineRule="auto"/>
        <w:jc w:val="both"/>
      </w:pPr>
      <w:r w:rsidRPr="00F45DDB">
        <w:t>Certain factors that gravely affect the quality of investigation are :</w:t>
      </w:r>
    </w:p>
    <w:p w14:paraId="0479D976" w14:textId="77777777" w:rsidR="008964E5" w:rsidRPr="00F45DDB" w:rsidRDefault="008964E5" w:rsidP="00F45DDB">
      <w:pPr>
        <w:pStyle w:val="NormalWeb"/>
        <w:numPr>
          <w:ilvl w:val="0"/>
          <w:numId w:val="1"/>
        </w:numPr>
        <w:shd w:val="clear" w:color="auto" w:fill="FFFFFF"/>
        <w:spacing w:line="360" w:lineRule="auto"/>
        <w:jc w:val="both"/>
      </w:pPr>
      <w:r w:rsidRPr="00F45DDB">
        <w:t xml:space="preserve">Delay in reporting of FIR- This occurs when the  accused is known to the victim. When the victim is from a marginalised community, they do not always file a FIR. Section 166A was recently inserted into the IPC on the recommendation of the Justice J.S Verma Committee to make recording FIR mandatory and to punish police officers who refuse to register FIR. </w:t>
      </w:r>
      <w:r w:rsidRPr="00F45DDB">
        <w:rPr>
          <w:rStyle w:val="FootnoteReference"/>
        </w:rPr>
        <w:footnoteReference w:id="9"/>
      </w:r>
      <w:r w:rsidRPr="00F45DDB">
        <w:t>Under this provision, the police officer is held to be duty bound to register the case upon receiving information of a cognizable offence and the reliability of such information is not a condition precedent for registration and it prescribed punishment to police officers who fails to act accordingly</w:t>
      </w:r>
      <w:r w:rsidRPr="00F45DDB">
        <w:rPr>
          <w:rStyle w:val="FootnoteReference"/>
        </w:rPr>
        <w:footnoteReference w:id="10"/>
      </w:r>
      <w:r w:rsidRPr="00F45DDB">
        <w:t>.</w:t>
      </w:r>
    </w:p>
    <w:p w14:paraId="519835D8" w14:textId="538C1A23" w:rsidR="008964E5" w:rsidRPr="00F45DDB" w:rsidRDefault="008964E5" w:rsidP="00F45DDB">
      <w:pPr>
        <w:pStyle w:val="NormalWeb"/>
        <w:shd w:val="clear" w:color="auto" w:fill="FFFFFF"/>
        <w:spacing w:line="360" w:lineRule="auto"/>
        <w:jc w:val="both"/>
      </w:pPr>
      <w:r w:rsidRPr="00F45DDB">
        <w:t xml:space="preserve">Section 197 of the Code of Criminal Procedure (CrPC) protects public officials from vexatious proceedings, even if they refuse to record a FIR for insufficient reasons. Prior to the 2013 change, prosecution of a public servant in cases of sexual assault required prior sanction from the appropriate authorities. The goal of this section was to protect public officials against malicious prosecution for conduct undertaken while performing official duties. It declared that </w:t>
      </w:r>
      <w:r w:rsidRPr="00F45DDB">
        <w:lastRenderedPageBreak/>
        <w:t>if a public servant was accused of committing an offence while acting in their official position, they could not be dismissed from office without the approval of the government. Furthermore, without prior consent of the concerned government, the court could not take cognizance of such offences. Section 197, however, was explained in the 2013 criminal amendment. This change eliminated the requirement for government sanction for prosecuting a public official for violations of sections 166A, 166B, and other sexual offences. The explanation states that when facing prosecution for the offences enumerated in the explanation, a police officer cannot claim the protection of government sanction, even if the offence was committed while doing their official duties. This modification was made to make it easier to prosecute public workers who violate their official duties, including rape and other forms of sexual abuse.</w:t>
      </w:r>
    </w:p>
    <w:p w14:paraId="57567F3A" w14:textId="77777777" w:rsidR="008964E5" w:rsidRPr="00F45DDB" w:rsidRDefault="008964E5" w:rsidP="00F45DDB">
      <w:pPr>
        <w:pStyle w:val="NormalWeb"/>
        <w:shd w:val="clear" w:color="auto" w:fill="FFFFFF"/>
        <w:spacing w:line="360" w:lineRule="auto"/>
        <w:jc w:val="both"/>
      </w:pPr>
      <w:r w:rsidRPr="00F45DDB">
        <w:br/>
      </w:r>
    </w:p>
    <w:p w14:paraId="2C5BB328" w14:textId="77777777" w:rsidR="008964E5" w:rsidRPr="00F45DDB" w:rsidRDefault="008964E5" w:rsidP="00F45DDB">
      <w:pPr>
        <w:pStyle w:val="NormalWeb"/>
        <w:shd w:val="clear" w:color="auto" w:fill="FFFFFF"/>
        <w:spacing w:line="360" w:lineRule="auto"/>
        <w:jc w:val="both"/>
      </w:pPr>
    </w:p>
    <w:p w14:paraId="54F4CC43" w14:textId="77777777" w:rsidR="008964E5" w:rsidRPr="00F45DDB" w:rsidRDefault="008964E5" w:rsidP="00F45DDB">
      <w:pPr>
        <w:pStyle w:val="NormalWeb"/>
        <w:shd w:val="clear" w:color="auto" w:fill="FFFFFF"/>
        <w:spacing w:line="360" w:lineRule="auto"/>
        <w:jc w:val="both"/>
      </w:pPr>
    </w:p>
    <w:p w14:paraId="4E4D1229" w14:textId="77777777" w:rsidR="008964E5" w:rsidRPr="00F45DDB" w:rsidRDefault="008964E5" w:rsidP="00F45DDB">
      <w:pPr>
        <w:pStyle w:val="NormalWeb"/>
        <w:shd w:val="clear" w:color="auto" w:fill="FFFFFF"/>
        <w:jc w:val="both"/>
      </w:pPr>
    </w:p>
    <w:p w14:paraId="7DBE9757" w14:textId="77777777" w:rsidR="008964E5" w:rsidRPr="00F45DDB" w:rsidRDefault="008964E5" w:rsidP="00F45DDB">
      <w:pPr>
        <w:pStyle w:val="NormalWeb"/>
        <w:shd w:val="clear" w:color="auto" w:fill="FFFFFF"/>
        <w:jc w:val="both"/>
      </w:pPr>
    </w:p>
    <w:p w14:paraId="13C0ECC1" w14:textId="77777777" w:rsidR="008964E5" w:rsidRPr="00F45DDB" w:rsidRDefault="008964E5" w:rsidP="00F45DDB">
      <w:pPr>
        <w:pStyle w:val="NormalWeb"/>
        <w:shd w:val="clear" w:color="auto" w:fill="FFFFFF"/>
        <w:jc w:val="both"/>
      </w:pPr>
    </w:p>
    <w:p w14:paraId="6B475D3C" w14:textId="77777777" w:rsidR="008964E5" w:rsidRPr="00F45DDB" w:rsidRDefault="008964E5" w:rsidP="00F45DDB">
      <w:pPr>
        <w:pStyle w:val="NormalWeb"/>
        <w:shd w:val="clear" w:color="auto" w:fill="FFFFFF"/>
        <w:jc w:val="both"/>
      </w:pPr>
    </w:p>
    <w:p w14:paraId="2BD0BEAF" w14:textId="77777777" w:rsidR="008964E5" w:rsidRPr="00F45DDB" w:rsidRDefault="008964E5" w:rsidP="00F45DDB">
      <w:pPr>
        <w:pStyle w:val="NormalWeb"/>
        <w:shd w:val="clear" w:color="auto" w:fill="FFFFFF"/>
        <w:jc w:val="both"/>
      </w:pPr>
    </w:p>
    <w:p w14:paraId="02300B08" w14:textId="77777777" w:rsidR="008964E5" w:rsidRPr="00F45DDB" w:rsidRDefault="008964E5" w:rsidP="00F45DDB">
      <w:pPr>
        <w:pStyle w:val="NormalWeb"/>
        <w:shd w:val="clear" w:color="auto" w:fill="FFFFFF"/>
        <w:jc w:val="both"/>
      </w:pPr>
    </w:p>
    <w:p w14:paraId="0823E204" w14:textId="77777777" w:rsidR="008964E5" w:rsidRPr="00F45DDB" w:rsidRDefault="008964E5" w:rsidP="00F45DDB">
      <w:pPr>
        <w:pStyle w:val="NormalWeb"/>
        <w:shd w:val="clear" w:color="auto" w:fill="FFFFFF"/>
        <w:jc w:val="both"/>
      </w:pPr>
    </w:p>
    <w:p w14:paraId="63A25818" w14:textId="77777777" w:rsidR="008964E5" w:rsidRPr="00F45DDB" w:rsidRDefault="008964E5" w:rsidP="00F45DDB">
      <w:pPr>
        <w:pStyle w:val="NormalWeb"/>
        <w:shd w:val="clear" w:color="auto" w:fill="FFFFFF"/>
        <w:jc w:val="both"/>
      </w:pPr>
    </w:p>
    <w:p w14:paraId="31C39C7F" w14:textId="77777777" w:rsidR="008964E5" w:rsidRPr="00F45DDB" w:rsidRDefault="008964E5" w:rsidP="00F45DDB">
      <w:pPr>
        <w:jc w:val="both"/>
        <w:rPr>
          <w:rFonts w:ascii="Times New Roman" w:hAnsi="Times New Roman" w:cs="Times New Roman"/>
        </w:rPr>
      </w:pPr>
    </w:p>
    <w:sectPr w:rsidR="008964E5" w:rsidRPr="00F45DD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D71046" w14:textId="77777777" w:rsidR="009B776C" w:rsidRDefault="009B776C" w:rsidP="008964E5">
      <w:r>
        <w:separator/>
      </w:r>
    </w:p>
  </w:endnote>
  <w:endnote w:type="continuationSeparator" w:id="0">
    <w:p w14:paraId="19E431CE" w14:textId="77777777" w:rsidR="009B776C" w:rsidRDefault="009B776C" w:rsidP="008964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71F19F" w14:textId="77777777" w:rsidR="009B776C" w:rsidRDefault="009B776C" w:rsidP="008964E5">
      <w:r>
        <w:separator/>
      </w:r>
    </w:p>
  </w:footnote>
  <w:footnote w:type="continuationSeparator" w:id="0">
    <w:p w14:paraId="728237DF" w14:textId="77777777" w:rsidR="009B776C" w:rsidRDefault="009B776C" w:rsidP="008964E5">
      <w:r>
        <w:continuationSeparator/>
      </w:r>
    </w:p>
  </w:footnote>
  <w:footnote w:id="1">
    <w:p w14:paraId="661A7ABB" w14:textId="77777777" w:rsidR="008964E5" w:rsidRPr="00840D71" w:rsidRDefault="008964E5" w:rsidP="008964E5">
      <w:pPr>
        <w:pStyle w:val="FootnoteText"/>
        <w:rPr>
          <w:lang w:val="en-US"/>
        </w:rPr>
      </w:pPr>
      <w:r>
        <w:rPr>
          <w:rStyle w:val="FootnoteReference"/>
        </w:rPr>
        <w:footnoteRef/>
      </w:r>
      <w:r>
        <w:t xml:space="preserve"> Jibi Bhaskaran, </w:t>
      </w:r>
      <w:r w:rsidRPr="00A56E9E">
        <w:rPr>
          <w:rFonts w:ascii="Times New Roman" w:hAnsi="Times New Roman" w:cs="Times New Roman"/>
          <w:i/>
          <w:iCs/>
          <w:color w:val="000000" w:themeColor="text1"/>
          <w:shd w:val="clear" w:color="auto" w:fill="FFFFFF"/>
        </w:rPr>
        <w:t>Rape Narratives and Legal Discourse Issues in Interpreting Victim Testimonies</w:t>
      </w:r>
      <w:r>
        <w:rPr>
          <w:rFonts w:ascii="Times New Roman" w:hAnsi="Times New Roman" w:cs="Times New Roman"/>
          <w:color w:val="000000" w:themeColor="text1"/>
          <w:shd w:val="clear" w:color="auto" w:fill="FFFFFF"/>
        </w:rPr>
        <w:t>, Chapter 1.</w:t>
      </w:r>
    </w:p>
  </w:footnote>
  <w:footnote w:id="2">
    <w:p w14:paraId="20E349AD" w14:textId="77777777" w:rsidR="008964E5" w:rsidRPr="006D6680" w:rsidRDefault="008964E5" w:rsidP="008964E5">
      <w:pPr>
        <w:pStyle w:val="FootnoteText"/>
        <w:rPr>
          <w:lang w:val="en-US"/>
        </w:rPr>
      </w:pPr>
      <w:r>
        <w:rPr>
          <w:rStyle w:val="FootnoteReference"/>
        </w:rPr>
        <w:footnoteRef/>
      </w:r>
      <w:r>
        <w:t xml:space="preserve"> </w:t>
      </w:r>
      <w:r w:rsidRPr="00A56E9E">
        <w:t>Consent known to be given under fear or misconception</w:t>
      </w:r>
    </w:p>
  </w:footnote>
  <w:footnote w:id="3">
    <w:p w14:paraId="4A8E4159" w14:textId="77777777" w:rsidR="008964E5" w:rsidRPr="00D61BF2" w:rsidRDefault="008964E5" w:rsidP="008964E5">
      <w:pPr>
        <w:pStyle w:val="FootnoteText"/>
        <w:rPr>
          <w:lang w:val="en-US"/>
        </w:rPr>
      </w:pPr>
      <w:r>
        <w:rPr>
          <w:rStyle w:val="FootnoteReference"/>
        </w:rPr>
        <w:footnoteRef/>
      </w:r>
      <w:r>
        <w:t xml:space="preserve"> </w:t>
      </w:r>
      <w:r>
        <w:t>AIR 1991 SC 207</w:t>
      </w:r>
    </w:p>
  </w:footnote>
  <w:footnote w:id="4">
    <w:p w14:paraId="4E6DC275" w14:textId="77777777" w:rsidR="008964E5" w:rsidRPr="00D61BF2" w:rsidRDefault="008964E5" w:rsidP="008964E5">
      <w:pPr>
        <w:pStyle w:val="FootnoteText"/>
        <w:rPr>
          <w:lang w:val="en-US"/>
        </w:rPr>
      </w:pPr>
      <w:r>
        <w:rPr>
          <w:rStyle w:val="FootnoteReference"/>
        </w:rPr>
        <w:footnoteRef/>
      </w:r>
      <w:r>
        <w:t xml:space="preserve"> </w:t>
      </w:r>
      <w:r>
        <w:rPr>
          <w:lang w:val="en-US"/>
        </w:rPr>
        <w:t>ibid para 8</w:t>
      </w:r>
    </w:p>
  </w:footnote>
  <w:footnote w:id="5">
    <w:p w14:paraId="63C9D526" w14:textId="77777777" w:rsidR="008964E5" w:rsidRPr="00C2402E" w:rsidRDefault="008964E5" w:rsidP="008964E5">
      <w:pPr>
        <w:pStyle w:val="FootnoteText"/>
        <w:rPr>
          <w:lang w:val="en-US"/>
        </w:rPr>
      </w:pPr>
      <w:r>
        <w:rPr>
          <w:rStyle w:val="FootnoteReference"/>
        </w:rPr>
        <w:footnoteRef/>
      </w:r>
      <w:r>
        <w:t xml:space="preserve"> </w:t>
      </w:r>
      <w:r>
        <w:t>An open letter by Upendra Baxi, Vasudha Dhagawar, Raghunath Kelkar (University of Delhi) and Lotika Sarkar (University of Poona) questioned the Supreme Court judgment on the concept of consent which paved the way for a massive protest by women’s groups.</w:t>
      </w:r>
    </w:p>
    <w:p w14:paraId="5102FA0E" w14:textId="77777777" w:rsidR="008964E5" w:rsidRPr="00C2402E" w:rsidRDefault="008964E5" w:rsidP="008964E5">
      <w:pPr>
        <w:pStyle w:val="FootnoteText"/>
        <w:rPr>
          <w:lang w:val="en-US"/>
        </w:rPr>
      </w:pPr>
    </w:p>
  </w:footnote>
  <w:footnote w:id="6">
    <w:p w14:paraId="7A3FD076" w14:textId="77777777" w:rsidR="008964E5" w:rsidRPr="00527B27" w:rsidRDefault="008964E5" w:rsidP="008964E5">
      <w:pPr>
        <w:pStyle w:val="FootnoteText"/>
        <w:rPr>
          <w:lang w:val="en-US"/>
        </w:rPr>
      </w:pPr>
      <w:r>
        <w:rPr>
          <w:rStyle w:val="FootnoteReference"/>
        </w:rPr>
        <w:footnoteRef/>
      </w:r>
      <w:r>
        <w:t xml:space="preserve"> </w:t>
      </w:r>
      <w:r w:rsidRPr="00A56E9E">
        <w:t>1997 (1) WLC 42</w:t>
      </w:r>
    </w:p>
  </w:footnote>
  <w:footnote w:id="7">
    <w:p w14:paraId="7D2D35DA" w14:textId="0BA150B5" w:rsidR="008964E5" w:rsidRPr="00FB409D" w:rsidRDefault="008964E5" w:rsidP="008964E5">
      <w:pPr>
        <w:pStyle w:val="FootnoteText"/>
        <w:rPr>
          <w:lang w:val="en-US"/>
        </w:rPr>
      </w:pPr>
      <w:r>
        <w:rPr>
          <w:rStyle w:val="FootnoteReference"/>
        </w:rPr>
        <w:footnoteRef/>
      </w:r>
      <w:r>
        <w:t xml:space="preserve"> </w:t>
      </w:r>
      <w:r w:rsidR="00EF7864" w:rsidRPr="00EF7864">
        <w:t>State of Punjab v. Gurmit Singh, AIR 1996 SC 1393, 1996 SCC (2) 384.</w:t>
      </w:r>
    </w:p>
  </w:footnote>
  <w:footnote w:id="8">
    <w:p w14:paraId="4A77D71E" w14:textId="0B94D6E0" w:rsidR="008964E5" w:rsidRDefault="008964E5" w:rsidP="008964E5">
      <w:pPr>
        <w:pStyle w:val="FootnoteText"/>
      </w:pPr>
      <w:r>
        <w:rPr>
          <w:rStyle w:val="FootnoteReference"/>
        </w:rPr>
        <w:footnoteRef/>
      </w:r>
      <w:r>
        <w:t xml:space="preserve"> </w:t>
      </w:r>
      <w:r w:rsidR="00EF7864" w:rsidRPr="00EF7864">
        <w:t xml:space="preserve">Code of Criminal Procedure, </w:t>
      </w:r>
      <w:r w:rsidR="00EF7864">
        <w:t>S.</w:t>
      </w:r>
      <w:r w:rsidR="00EF7864" w:rsidRPr="00EF7864">
        <w:t xml:space="preserve"> 157.</w:t>
      </w:r>
    </w:p>
  </w:footnote>
  <w:footnote w:id="9">
    <w:p w14:paraId="72847B87" w14:textId="3F7DD36D" w:rsidR="008964E5" w:rsidRDefault="008964E5" w:rsidP="008964E5">
      <w:pPr>
        <w:pStyle w:val="FootnoteText"/>
      </w:pPr>
      <w:r>
        <w:rPr>
          <w:rStyle w:val="FootnoteReference"/>
        </w:rPr>
        <w:footnoteRef/>
      </w:r>
      <w:r>
        <w:t xml:space="preserve"> </w:t>
      </w:r>
      <w:r w:rsidR="00EF7864" w:rsidRPr="00EF7864">
        <w:t xml:space="preserve">Indian Penal Code </w:t>
      </w:r>
      <w:r w:rsidR="00EF7864">
        <w:t>S</w:t>
      </w:r>
      <w:r w:rsidR="00EF7864" w:rsidRPr="00EF7864">
        <w:t xml:space="preserve"> 166A.</w:t>
      </w:r>
    </w:p>
  </w:footnote>
  <w:footnote w:id="10">
    <w:p w14:paraId="5F83DDE1" w14:textId="77777777" w:rsidR="008964E5" w:rsidRPr="006C0CEE" w:rsidRDefault="008964E5" w:rsidP="008964E5">
      <w:pPr>
        <w:pStyle w:val="FootnoteText"/>
        <w:rPr>
          <w:lang w:val="en-US"/>
        </w:rPr>
      </w:pPr>
      <w:r>
        <w:rPr>
          <w:rStyle w:val="FootnoteReference"/>
        </w:rPr>
        <w:footnoteRef/>
      </w:r>
      <w:r>
        <w:t xml:space="preserve"> </w:t>
      </w:r>
      <w:r>
        <w:t>Human Rights Watch, https://www.hrw.org/news/2017/11/08/india-rape-victims-face-barriers-justice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F910AA"/>
    <w:multiLevelType w:val="hybridMultilevel"/>
    <w:tmpl w:val="395E32E0"/>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135366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4E5"/>
    <w:rsid w:val="00384F16"/>
    <w:rsid w:val="005E1D31"/>
    <w:rsid w:val="008964E5"/>
    <w:rsid w:val="008C37AF"/>
    <w:rsid w:val="009B776C"/>
    <w:rsid w:val="00AC1543"/>
    <w:rsid w:val="00D12280"/>
    <w:rsid w:val="00E63FB7"/>
    <w:rsid w:val="00EF7864"/>
    <w:rsid w:val="00F45DD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0ECF6573"/>
  <w15:chartTrackingRefBased/>
  <w15:docId w15:val="{7A17CA9D-D9C6-DE4F-A4B2-6EED18CF1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64E5"/>
  </w:style>
  <w:style w:type="paragraph" w:styleId="Heading1">
    <w:name w:val="heading 1"/>
    <w:basedOn w:val="Normal"/>
    <w:next w:val="Normal"/>
    <w:link w:val="Heading1Char"/>
    <w:uiPriority w:val="9"/>
    <w:qFormat/>
    <w:rsid w:val="008964E5"/>
    <w:pPr>
      <w:keepNext/>
      <w:keepLines/>
      <w:spacing w:before="480" w:line="276" w:lineRule="auto"/>
      <w:jc w:val="center"/>
      <w:outlineLvl w:val="0"/>
    </w:pPr>
    <w:rPr>
      <w:rFonts w:ascii="Times New Roman" w:eastAsiaTheme="majorEastAsia" w:hAnsi="Times New Roman" w:cstheme="majorBidi"/>
      <w:b/>
      <w:bCs/>
      <w:kern w:val="0"/>
      <w:sz w:val="28"/>
      <w:szCs w:val="28"/>
      <w:lang w:val="en-US"/>
      <w14:ligatures w14:val="none"/>
    </w:rPr>
  </w:style>
  <w:style w:type="paragraph" w:styleId="Heading2">
    <w:name w:val="heading 2"/>
    <w:basedOn w:val="Normal"/>
    <w:next w:val="Normal"/>
    <w:link w:val="Heading2Char"/>
    <w:uiPriority w:val="9"/>
    <w:unhideWhenUsed/>
    <w:qFormat/>
    <w:rsid w:val="008964E5"/>
    <w:pPr>
      <w:keepNext/>
      <w:keepLines/>
      <w:spacing w:before="40"/>
      <w:outlineLvl w:val="1"/>
    </w:pPr>
    <w:rPr>
      <w:rFonts w:ascii="Times New Roman" w:eastAsiaTheme="majorEastAsia" w:hAnsi="Times New Roman" w:cstheme="majorBidi"/>
      <w:b/>
      <w:color w:val="000000" w:themeColor="text1"/>
      <w:sz w:val="26"/>
      <w:szCs w:val="26"/>
    </w:rPr>
  </w:style>
  <w:style w:type="paragraph" w:styleId="Heading3">
    <w:name w:val="heading 3"/>
    <w:basedOn w:val="Normal"/>
    <w:next w:val="Normal"/>
    <w:link w:val="Heading3Char"/>
    <w:uiPriority w:val="9"/>
    <w:unhideWhenUsed/>
    <w:qFormat/>
    <w:rsid w:val="008964E5"/>
    <w:pPr>
      <w:keepNext/>
      <w:keepLines/>
      <w:spacing w:before="40"/>
      <w:outlineLvl w:val="2"/>
    </w:pPr>
    <w:rPr>
      <w:rFonts w:ascii="Times New Roman" w:eastAsiaTheme="majorEastAsia" w:hAnsi="Times New Roman" w:cstheme="majorBidi"/>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64E5"/>
    <w:rPr>
      <w:rFonts w:ascii="Times New Roman" w:eastAsiaTheme="majorEastAsia" w:hAnsi="Times New Roman" w:cstheme="majorBidi"/>
      <w:b/>
      <w:bCs/>
      <w:kern w:val="0"/>
      <w:sz w:val="28"/>
      <w:szCs w:val="28"/>
      <w:lang w:val="en-US"/>
      <w14:ligatures w14:val="none"/>
    </w:rPr>
  </w:style>
  <w:style w:type="character" w:customStyle="1" w:styleId="Heading2Char">
    <w:name w:val="Heading 2 Char"/>
    <w:basedOn w:val="DefaultParagraphFont"/>
    <w:link w:val="Heading2"/>
    <w:uiPriority w:val="9"/>
    <w:rsid w:val="008964E5"/>
    <w:rPr>
      <w:rFonts w:ascii="Times New Roman" w:eastAsiaTheme="majorEastAsia" w:hAnsi="Times New Roman" w:cstheme="majorBidi"/>
      <w:b/>
      <w:color w:val="000000" w:themeColor="text1"/>
      <w:sz w:val="26"/>
      <w:szCs w:val="26"/>
    </w:rPr>
  </w:style>
  <w:style w:type="character" w:customStyle="1" w:styleId="Heading3Char">
    <w:name w:val="Heading 3 Char"/>
    <w:basedOn w:val="DefaultParagraphFont"/>
    <w:link w:val="Heading3"/>
    <w:uiPriority w:val="9"/>
    <w:rsid w:val="008964E5"/>
    <w:rPr>
      <w:rFonts w:ascii="Times New Roman" w:eastAsiaTheme="majorEastAsia" w:hAnsi="Times New Roman" w:cstheme="majorBidi"/>
      <w:b/>
      <w:color w:val="000000" w:themeColor="text1"/>
    </w:rPr>
  </w:style>
  <w:style w:type="paragraph" w:styleId="NormalWeb">
    <w:name w:val="Normal (Web)"/>
    <w:basedOn w:val="Normal"/>
    <w:uiPriority w:val="99"/>
    <w:unhideWhenUsed/>
    <w:rsid w:val="008964E5"/>
    <w:pPr>
      <w:spacing w:before="100" w:beforeAutospacing="1" w:after="100" w:afterAutospacing="1"/>
    </w:pPr>
    <w:rPr>
      <w:rFonts w:ascii="Times New Roman" w:eastAsia="Times New Roman" w:hAnsi="Times New Roman" w:cs="Times New Roman"/>
      <w:kern w:val="0"/>
      <w:lang w:eastAsia="en-GB"/>
      <w14:ligatures w14:val="none"/>
    </w:rPr>
  </w:style>
  <w:style w:type="paragraph" w:styleId="FootnoteText">
    <w:name w:val="footnote text"/>
    <w:basedOn w:val="Normal"/>
    <w:link w:val="FootnoteTextChar"/>
    <w:uiPriority w:val="99"/>
    <w:semiHidden/>
    <w:unhideWhenUsed/>
    <w:rsid w:val="008964E5"/>
    <w:rPr>
      <w:sz w:val="20"/>
      <w:szCs w:val="20"/>
    </w:rPr>
  </w:style>
  <w:style w:type="character" w:customStyle="1" w:styleId="FootnoteTextChar">
    <w:name w:val="Footnote Text Char"/>
    <w:basedOn w:val="DefaultParagraphFont"/>
    <w:link w:val="FootnoteText"/>
    <w:uiPriority w:val="99"/>
    <w:semiHidden/>
    <w:rsid w:val="008964E5"/>
    <w:rPr>
      <w:sz w:val="20"/>
      <w:szCs w:val="20"/>
    </w:rPr>
  </w:style>
  <w:style w:type="character" w:styleId="FootnoteReference">
    <w:name w:val="footnote reference"/>
    <w:basedOn w:val="DefaultParagraphFont"/>
    <w:uiPriority w:val="99"/>
    <w:semiHidden/>
    <w:unhideWhenUsed/>
    <w:rsid w:val="008964E5"/>
    <w:rPr>
      <w:vertAlign w:val="superscript"/>
    </w:rPr>
  </w:style>
  <w:style w:type="paragraph" w:styleId="TOCHeading">
    <w:name w:val="TOC Heading"/>
    <w:basedOn w:val="Heading1"/>
    <w:next w:val="Normal"/>
    <w:uiPriority w:val="39"/>
    <w:unhideWhenUsed/>
    <w:qFormat/>
    <w:rsid w:val="008C37AF"/>
    <w:pPr>
      <w:jc w:val="left"/>
      <w:outlineLvl w:val="9"/>
    </w:pPr>
    <w:rPr>
      <w:rFonts w:asciiTheme="majorHAnsi" w:hAnsiTheme="majorHAnsi"/>
      <w:color w:val="2F5496" w:themeColor="accent1" w:themeShade="BF"/>
    </w:rPr>
  </w:style>
  <w:style w:type="paragraph" w:styleId="TOC1">
    <w:name w:val="toc 1"/>
    <w:basedOn w:val="Normal"/>
    <w:next w:val="Normal"/>
    <w:autoRedefine/>
    <w:uiPriority w:val="39"/>
    <w:unhideWhenUsed/>
    <w:rsid w:val="008C37AF"/>
    <w:pPr>
      <w:spacing w:before="120"/>
    </w:pPr>
    <w:rPr>
      <w:rFonts w:cstheme="minorHAnsi"/>
      <w:b/>
      <w:bCs/>
      <w:i/>
      <w:iCs/>
    </w:rPr>
  </w:style>
  <w:style w:type="paragraph" w:styleId="TOC2">
    <w:name w:val="toc 2"/>
    <w:basedOn w:val="Normal"/>
    <w:next w:val="Normal"/>
    <w:autoRedefine/>
    <w:uiPriority w:val="39"/>
    <w:unhideWhenUsed/>
    <w:rsid w:val="008C37AF"/>
    <w:pPr>
      <w:spacing w:before="120"/>
      <w:ind w:left="240"/>
    </w:pPr>
    <w:rPr>
      <w:rFonts w:cstheme="minorHAnsi"/>
      <w:b/>
      <w:bCs/>
      <w:sz w:val="22"/>
      <w:szCs w:val="22"/>
    </w:rPr>
  </w:style>
  <w:style w:type="character" w:styleId="Hyperlink">
    <w:name w:val="Hyperlink"/>
    <w:basedOn w:val="DefaultParagraphFont"/>
    <w:uiPriority w:val="99"/>
    <w:unhideWhenUsed/>
    <w:rsid w:val="008C37AF"/>
    <w:rPr>
      <w:color w:val="0563C1" w:themeColor="hyperlink"/>
      <w:u w:val="single"/>
    </w:rPr>
  </w:style>
  <w:style w:type="paragraph" w:styleId="TOC3">
    <w:name w:val="toc 3"/>
    <w:basedOn w:val="Normal"/>
    <w:next w:val="Normal"/>
    <w:autoRedefine/>
    <w:uiPriority w:val="39"/>
    <w:semiHidden/>
    <w:unhideWhenUsed/>
    <w:rsid w:val="008C37AF"/>
    <w:pPr>
      <w:ind w:left="480"/>
    </w:pPr>
    <w:rPr>
      <w:rFonts w:cstheme="minorHAnsi"/>
      <w:sz w:val="20"/>
      <w:szCs w:val="20"/>
    </w:rPr>
  </w:style>
  <w:style w:type="paragraph" w:styleId="TOC4">
    <w:name w:val="toc 4"/>
    <w:basedOn w:val="Normal"/>
    <w:next w:val="Normal"/>
    <w:autoRedefine/>
    <w:uiPriority w:val="39"/>
    <w:semiHidden/>
    <w:unhideWhenUsed/>
    <w:rsid w:val="008C37AF"/>
    <w:pPr>
      <w:ind w:left="720"/>
    </w:pPr>
    <w:rPr>
      <w:rFonts w:cstheme="minorHAnsi"/>
      <w:sz w:val="20"/>
      <w:szCs w:val="20"/>
    </w:rPr>
  </w:style>
  <w:style w:type="paragraph" w:styleId="TOC5">
    <w:name w:val="toc 5"/>
    <w:basedOn w:val="Normal"/>
    <w:next w:val="Normal"/>
    <w:autoRedefine/>
    <w:uiPriority w:val="39"/>
    <w:semiHidden/>
    <w:unhideWhenUsed/>
    <w:rsid w:val="008C37AF"/>
    <w:pPr>
      <w:ind w:left="960"/>
    </w:pPr>
    <w:rPr>
      <w:rFonts w:cstheme="minorHAnsi"/>
      <w:sz w:val="20"/>
      <w:szCs w:val="20"/>
    </w:rPr>
  </w:style>
  <w:style w:type="paragraph" w:styleId="TOC6">
    <w:name w:val="toc 6"/>
    <w:basedOn w:val="Normal"/>
    <w:next w:val="Normal"/>
    <w:autoRedefine/>
    <w:uiPriority w:val="39"/>
    <w:semiHidden/>
    <w:unhideWhenUsed/>
    <w:rsid w:val="008C37AF"/>
    <w:pPr>
      <w:ind w:left="1200"/>
    </w:pPr>
    <w:rPr>
      <w:rFonts w:cstheme="minorHAnsi"/>
      <w:sz w:val="20"/>
      <w:szCs w:val="20"/>
    </w:rPr>
  </w:style>
  <w:style w:type="paragraph" w:styleId="TOC7">
    <w:name w:val="toc 7"/>
    <w:basedOn w:val="Normal"/>
    <w:next w:val="Normal"/>
    <w:autoRedefine/>
    <w:uiPriority w:val="39"/>
    <w:semiHidden/>
    <w:unhideWhenUsed/>
    <w:rsid w:val="008C37AF"/>
    <w:pPr>
      <w:ind w:left="1440"/>
    </w:pPr>
    <w:rPr>
      <w:rFonts w:cstheme="minorHAnsi"/>
      <w:sz w:val="20"/>
      <w:szCs w:val="20"/>
    </w:rPr>
  </w:style>
  <w:style w:type="paragraph" w:styleId="TOC8">
    <w:name w:val="toc 8"/>
    <w:basedOn w:val="Normal"/>
    <w:next w:val="Normal"/>
    <w:autoRedefine/>
    <w:uiPriority w:val="39"/>
    <w:semiHidden/>
    <w:unhideWhenUsed/>
    <w:rsid w:val="008C37AF"/>
    <w:pPr>
      <w:ind w:left="1680"/>
    </w:pPr>
    <w:rPr>
      <w:rFonts w:cstheme="minorHAnsi"/>
      <w:sz w:val="20"/>
      <w:szCs w:val="20"/>
    </w:rPr>
  </w:style>
  <w:style w:type="paragraph" w:styleId="TOC9">
    <w:name w:val="toc 9"/>
    <w:basedOn w:val="Normal"/>
    <w:next w:val="Normal"/>
    <w:autoRedefine/>
    <w:uiPriority w:val="39"/>
    <w:semiHidden/>
    <w:unhideWhenUsed/>
    <w:rsid w:val="008C37AF"/>
    <w:pPr>
      <w:ind w:left="1920"/>
    </w:pPr>
    <w:rPr>
      <w:rFonts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742633">
      <w:bodyDiv w:val="1"/>
      <w:marLeft w:val="0"/>
      <w:marRight w:val="0"/>
      <w:marTop w:val="0"/>
      <w:marBottom w:val="0"/>
      <w:divBdr>
        <w:top w:val="none" w:sz="0" w:space="0" w:color="auto"/>
        <w:left w:val="none" w:sz="0" w:space="0" w:color="auto"/>
        <w:bottom w:val="none" w:sz="0" w:space="0" w:color="auto"/>
        <w:right w:val="none" w:sz="0" w:space="0" w:color="auto"/>
      </w:divBdr>
    </w:div>
    <w:div w:id="746459836">
      <w:bodyDiv w:val="1"/>
      <w:marLeft w:val="0"/>
      <w:marRight w:val="0"/>
      <w:marTop w:val="0"/>
      <w:marBottom w:val="0"/>
      <w:divBdr>
        <w:top w:val="none" w:sz="0" w:space="0" w:color="auto"/>
        <w:left w:val="none" w:sz="0" w:space="0" w:color="auto"/>
        <w:bottom w:val="none" w:sz="0" w:space="0" w:color="auto"/>
        <w:right w:val="none" w:sz="0" w:space="0" w:color="auto"/>
      </w:divBdr>
    </w:div>
    <w:div w:id="843519547">
      <w:bodyDiv w:val="1"/>
      <w:marLeft w:val="0"/>
      <w:marRight w:val="0"/>
      <w:marTop w:val="0"/>
      <w:marBottom w:val="0"/>
      <w:divBdr>
        <w:top w:val="none" w:sz="0" w:space="0" w:color="auto"/>
        <w:left w:val="none" w:sz="0" w:space="0" w:color="auto"/>
        <w:bottom w:val="none" w:sz="0" w:space="0" w:color="auto"/>
        <w:right w:val="none" w:sz="0" w:space="0" w:color="auto"/>
      </w:divBdr>
    </w:div>
    <w:div w:id="1619682750">
      <w:bodyDiv w:val="1"/>
      <w:marLeft w:val="0"/>
      <w:marRight w:val="0"/>
      <w:marTop w:val="0"/>
      <w:marBottom w:val="0"/>
      <w:divBdr>
        <w:top w:val="none" w:sz="0" w:space="0" w:color="auto"/>
        <w:left w:val="none" w:sz="0" w:space="0" w:color="auto"/>
        <w:bottom w:val="none" w:sz="0" w:space="0" w:color="auto"/>
        <w:right w:val="none" w:sz="0" w:space="0" w:color="auto"/>
      </w:divBdr>
    </w:div>
    <w:div w:id="1916351484">
      <w:bodyDiv w:val="1"/>
      <w:marLeft w:val="0"/>
      <w:marRight w:val="0"/>
      <w:marTop w:val="0"/>
      <w:marBottom w:val="0"/>
      <w:divBdr>
        <w:top w:val="none" w:sz="0" w:space="0" w:color="auto"/>
        <w:left w:val="none" w:sz="0" w:space="0" w:color="auto"/>
        <w:bottom w:val="none" w:sz="0" w:space="0" w:color="auto"/>
        <w:right w:val="none" w:sz="0" w:space="0" w:color="auto"/>
      </w:divBdr>
    </w:div>
    <w:div w:id="2141418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B44A16-40AB-D048-ADBE-461BE8968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17</Pages>
  <Words>5831</Words>
  <Characters>33243</Characters>
  <Application>Microsoft Office Word</Application>
  <DocSecurity>0</DocSecurity>
  <Lines>277</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Krishnaveni  Panicker</dc:creator>
  <cp:keywords/>
  <dc:description/>
  <cp:lastModifiedBy>Krishnaveni  Panicker</cp:lastModifiedBy>
  <cp:revision>5</cp:revision>
  <dcterms:created xsi:type="dcterms:W3CDTF">2023-05-21T13:45:00Z</dcterms:created>
  <dcterms:modified xsi:type="dcterms:W3CDTF">2023-05-21T15:06:00Z</dcterms:modified>
</cp:coreProperties>
</file>