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9225FF" w14:textId="77777777" w:rsidR="00375D92" w:rsidRDefault="00000000">
      <w:pPr>
        <w:pStyle w:val="Title"/>
        <w:jc w:val="center"/>
        <w:rPr>
          <w:rFonts w:ascii="Times New Roman" w:eastAsia="Times New Roman" w:hAnsi="Times New Roman" w:cs="Times New Roman"/>
          <w:sz w:val="24"/>
          <w:szCs w:val="24"/>
        </w:rPr>
      </w:pPr>
      <w:r>
        <w:rPr>
          <w:rFonts w:ascii="Times New Roman" w:hAnsi="Times New Roman"/>
          <w:sz w:val="24"/>
          <w:szCs w:val="24"/>
        </w:rPr>
        <w:t>Enforceability of Arbitration Clauses in India: on its Constricted Application and Stifled Scope.</w:t>
      </w:r>
    </w:p>
    <w:p w14:paraId="70C88E53" w14:textId="77777777" w:rsidR="00375D92" w:rsidRDefault="00375D92">
      <w:pPr>
        <w:pStyle w:val="Body"/>
        <w:spacing w:line="360" w:lineRule="auto"/>
        <w:jc w:val="both"/>
        <w:rPr>
          <w:rFonts w:ascii="Times New Roman" w:eastAsia="Times New Roman" w:hAnsi="Times New Roman" w:cs="Times New Roman"/>
          <w:sz w:val="24"/>
          <w:szCs w:val="24"/>
        </w:rPr>
      </w:pPr>
    </w:p>
    <w:p w14:paraId="5908F0D9" w14:textId="77777777" w:rsidR="00375D92" w:rsidRDefault="00000000">
      <w:pPr>
        <w:pStyle w:val="Heading2"/>
        <w:spacing w:line="360" w:lineRule="auto"/>
        <w:jc w:val="both"/>
        <w:rPr>
          <w:rFonts w:ascii="Times New Roman" w:eastAsia="Times New Roman" w:hAnsi="Times New Roman" w:cs="Times New Roman"/>
          <w:sz w:val="24"/>
          <w:szCs w:val="24"/>
        </w:rPr>
      </w:pPr>
      <w:r>
        <w:rPr>
          <w:rFonts w:ascii="Times New Roman" w:hAnsi="Times New Roman"/>
          <w:sz w:val="24"/>
          <w:szCs w:val="24"/>
        </w:rPr>
        <w:t>Introduction</w:t>
      </w:r>
    </w:p>
    <w:p w14:paraId="470CA7D9" w14:textId="77777777" w:rsidR="00375D92" w:rsidRDefault="00000000">
      <w:pPr>
        <w:pStyle w:val="Body"/>
        <w:spacing w:line="360" w:lineRule="auto"/>
        <w:jc w:val="both"/>
        <w:rPr>
          <w:rFonts w:ascii="Times New Roman" w:eastAsia="Times New Roman" w:hAnsi="Times New Roman" w:cs="Times New Roman"/>
          <w:sz w:val="24"/>
          <w:szCs w:val="24"/>
        </w:rPr>
      </w:pPr>
      <w:r>
        <w:rPr>
          <w:rFonts w:ascii="Times New Roman" w:hAnsi="Times New Roman"/>
          <w:sz w:val="24"/>
          <w:szCs w:val="24"/>
        </w:rPr>
        <w:t xml:space="preserve">Arbitration as an alternative dispute resolution mechanism is a budding phenomenon across the globe, being in its relatively nascent stage in the Indian context. Each judgement passed by the judicial courts in our country, shape its development and structure, to form what arbitration in India is today. This article aims to </w:t>
      </w:r>
      <w:proofErr w:type="spellStart"/>
      <w:r>
        <w:rPr>
          <w:rFonts w:ascii="Times New Roman" w:hAnsi="Times New Roman"/>
          <w:sz w:val="24"/>
          <w:szCs w:val="24"/>
        </w:rPr>
        <w:t>analyse</w:t>
      </w:r>
      <w:proofErr w:type="spellEnd"/>
      <w:r>
        <w:rPr>
          <w:rFonts w:ascii="Times New Roman" w:hAnsi="Times New Roman"/>
          <w:sz w:val="24"/>
          <w:szCs w:val="24"/>
        </w:rPr>
        <w:t xml:space="preserve"> the interwoven intricacies between the Stamp Regulations of the country and the enforceability of an arbitration agreement. In the recent Supreme Court judgement of </w:t>
      </w:r>
      <w:r>
        <w:rPr>
          <w:rFonts w:ascii="Times New Roman" w:hAnsi="Times New Roman"/>
          <w:i/>
          <w:iCs/>
          <w:sz w:val="24"/>
          <w:szCs w:val="24"/>
        </w:rPr>
        <w:t xml:space="preserve">N.N. Global Mercantile Private Limited v. Indo Unique Flame Limited &amp; </w:t>
      </w:r>
      <w:proofErr w:type="spellStart"/>
      <w:r>
        <w:rPr>
          <w:rFonts w:ascii="Times New Roman" w:hAnsi="Times New Roman"/>
          <w:i/>
          <w:iCs/>
          <w:sz w:val="24"/>
          <w:szCs w:val="24"/>
        </w:rPr>
        <w:t>Ors</w:t>
      </w:r>
      <w:proofErr w:type="spellEnd"/>
      <w:r>
        <w:rPr>
          <w:rFonts w:ascii="Times New Roman" w:hAnsi="Times New Roman"/>
          <w:sz w:val="24"/>
          <w:szCs w:val="24"/>
        </w:rPr>
        <w:t xml:space="preserve">, where a constitutional bench, with a majority of 3:2, held that the arbitration agreement to an unstamped contract, which is </w:t>
      </w:r>
      <w:proofErr w:type="spellStart"/>
      <w:r>
        <w:rPr>
          <w:rFonts w:ascii="Times New Roman" w:hAnsi="Times New Roman"/>
          <w:sz w:val="24"/>
          <w:szCs w:val="24"/>
        </w:rPr>
        <w:t>exigible</w:t>
      </w:r>
      <w:proofErr w:type="spellEnd"/>
      <w:r>
        <w:rPr>
          <w:rFonts w:ascii="Times New Roman" w:hAnsi="Times New Roman"/>
          <w:sz w:val="24"/>
          <w:szCs w:val="24"/>
        </w:rPr>
        <w:t xml:space="preserve"> to stamp duty, is unenforceable. This judgement, along with various others held over the years, have had a ripple effect in the field of arbitration in the national as well as international fronts. This article navigates through the various sections of the Arbitration and Conciliation Act, 1958, which is the sole arbitration law enacted in India, </w:t>
      </w:r>
      <w:proofErr w:type="gramStart"/>
      <w:r>
        <w:rPr>
          <w:rFonts w:ascii="Times New Roman" w:hAnsi="Times New Roman"/>
          <w:sz w:val="24"/>
          <w:szCs w:val="24"/>
        </w:rPr>
        <w:t>in an attempt to</w:t>
      </w:r>
      <w:proofErr w:type="gramEnd"/>
      <w:r>
        <w:rPr>
          <w:rFonts w:ascii="Times New Roman" w:hAnsi="Times New Roman"/>
          <w:sz w:val="24"/>
          <w:szCs w:val="24"/>
        </w:rPr>
        <w:t xml:space="preserve"> understand the basis of the Supreme Court judgement under review, as well as to </w:t>
      </w:r>
      <w:proofErr w:type="spellStart"/>
      <w:r>
        <w:rPr>
          <w:rFonts w:ascii="Times New Roman" w:hAnsi="Times New Roman"/>
          <w:sz w:val="24"/>
          <w:szCs w:val="24"/>
        </w:rPr>
        <w:t>analyse</w:t>
      </w:r>
      <w:proofErr w:type="spellEnd"/>
      <w:r>
        <w:rPr>
          <w:rFonts w:ascii="Times New Roman" w:hAnsi="Times New Roman"/>
          <w:sz w:val="24"/>
          <w:szCs w:val="24"/>
        </w:rPr>
        <w:t xml:space="preserve"> the current position of India in terms of domestic arbitration. </w:t>
      </w:r>
    </w:p>
    <w:p w14:paraId="4B9002B4" w14:textId="77777777" w:rsidR="00375D92" w:rsidRDefault="00375D92">
      <w:pPr>
        <w:pStyle w:val="Body"/>
        <w:spacing w:line="360" w:lineRule="auto"/>
        <w:jc w:val="both"/>
        <w:rPr>
          <w:rFonts w:ascii="Times New Roman" w:eastAsia="Times New Roman" w:hAnsi="Times New Roman" w:cs="Times New Roman"/>
          <w:sz w:val="24"/>
          <w:szCs w:val="24"/>
        </w:rPr>
      </w:pPr>
    </w:p>
    <w:p w14:paraId="6EC4892E" w14:textId="77777777" w:rsidR="00375D92" w:rsidRDefault="00000000">
      <w:pPr>
        <w:pStyle w:val="Heading2"/>
        <w:spacing w:line="360" w:lineRule="auto"/>
        <w:jc w:val="both"/>
        <w:rPr>
          <w:rFonts w:ascii="Times New Roman" w:eastAsia="Times New Roman" w:hAnsi="Times New Roman" w:cs="Times New Roman"/>
        </w:rPr>
      </w:pPr>
      <w:r>
        <w:rPr>
          <w:rFonts w:ascii="Times New Roman" w:hAnsi="Times New Roman"/>
          <w:sz w:val="24"/>
          <w:szCs w:val="24"/>
        </w:rPr>
        <w:t xml:space="preserve">Laying the Groundwork to </w:t>
      </w:r>
      <w:proofErr w:type="spellStart"/>
      <w:r>
        <w:rPr>
          <w:rFonts w:ascii="Times New Roman" w:hAnsi="Times New Roman"/>
          <w:sz w:val="24"/>
          <w:szCs w:val="24"/>
        </w:rPr>
        <w:t>Analyse</w:t>
      </w:r>
      <w:proofErr w:type="spellEnd"/>
      <w:r>
        <w:rPr>
          <w:rFonts w:ascii="Times New Roman" w:hAnsi="Times New Roman"/>
          <w:sz w:val="24"/>
          <w:szCs w:val="24"/>
        </w:rPr>
        <w:t xml:space="preserve"> the Judgement</w:t>
      </w:r>
      <w:r>
        <w:rPr>
          <w:rFonts w:ascii="Times New Roman" w:hAnsi="Times New Roman"/>
        </w:rPr>
        <w:t xml:space="preserve"> </w:t>
      </w:r>
    </w:p>
    <w:p w14:paraId="04CFA918" w14:textId="77777777" w:rsidR="00375D92" w:rsidRDefault="00000000">
      <w:pPr>
        <w:pStyle w:val="Body"/>
        <w:spacing w:line="360" w:lineRule="auto"/>
        <w:jc w:val="both"/>
        <w:rPr>
          <w:rFonts w:ascii="Times New Roman" w:eastAsia="Times New Roman" w:hAnsi="Times New Roman" w:cs="Times New Roman"/>
          <w:sz w:val="24"/>
          <w:szCs w:val="24"/>
        </w:rPr>
      </w:pPr>
      <w:r>
        <w:rPr>
          <w:rFonts w:ascii="Times New Roman" w:hAnsi="Times New Roman"/>
          <w:sz w:val="24"/>
          <w:szCs w:val="24"/>
        </w:rPr>
        <w:t xml:space="preserve">In the case of </w:t>
      </w:r>
      <w:r>
        <w:rPr>
          <w:rFonts w:ascii="Times New Roman" w:hAnsi="Times New Roman"/>
          <w:i/>
          <w:iCs/>
          <w:sz w:val="24"/>
          <w:szCs w:val="24"/>
        </w:rPr>
        <w:t xml:space="preserve">N.N. Global Mercantile Private Limited v. Indo Unique Flame Limited &amp; </w:t>
      </w:r>
      <w:proofErr w:type="spellStart"/>
      <w:r>
        <w:rPr>
          <w:rFonts w:ascii="Times New Roman" w:hAnsi="Times New Roman"/>
          <w:i/>
          <w:iCs/>
          <w:sz w:val="24"/>
          <w:szCs w:val="24"/>
        </w:rPr>
        <w:t>Ors</w:t>
      </w:r>
      <w:proofErr w:type="spellEnd"/>
      <w:r>
        <w:rPr>
          <w:rFonts w:ascii="Times New Roman" w:hAnsi="Times New Roman"/>
          <w:sz w:val="24"/>
          <w:szCs w:val="24"/>
        </w:rPr>
        <w:t xml:space="preserve">, the commercial contract, termed as a Work Order, between the parties (hereinafter referred to as Global Mercantile and Indo Unique respectively) was under scrutiny, more specifically, the arbitration agreement contained within the contract. On April 25, 2023, Supreme Court held that due to the main contract not being sufficiently stamped, the arbitration agreement under it shall not be enforceable either. In this case, the Supreme Court undertook the scope of the applicability of the </w:t>
      </w:r>
      <w:r>
        <w:rPr>
          <w:rFonts w:ascii="Times New Roman" w:hAnsi="Times New Roman"/>
          <w:sz w:val="24"/>
          <w:szCs w:val="24"/>
          <w:lang w:val="nl-NL"/>
        </w:rPr>
        <w:t>Maharashtra Stamp Act, 1958</w:t>
      </w:r>
      <w:r>
        <w:rPr>
          <w:rFonts w:ascii="Times New Roman" w:hAnsi="Times New Roman"/>
          <w:sz w:val="24"/>
          <w:szCs w:val="24"/>
        </w:rPr>
        <w:t xml:space="preserve"> to decide the validity of the contract between the parties. The parties specified Maharashtra to be its seat of arbitration under its agreement, due to which the Maharashtra Stamp Act, 1958 is the statute enforceable in the present case, against the contract between the parties.</w:t>
      </w:r>
    </w:p>
    <w:p w14:paraId="2D96A91B" w14:textId="77777777" w:rsidR="00375D92" w:rsidRDefault="00375D92">
      <w:pPr>
        <w:pStyle w:val="Body"/>
        <w:spacing w:line="360" w:lineRule="auto"/>
        <w:jc w:val="both"/>
        <w:rPr>
          <w:rFonts w:ascii="Times New Roman" w:eastAsia="Times New Roman" w:hAnsi="Times New Roman" w:cs="Times New Roman"/>
          <w:sz w:val="24"/>
          <w:szCs w:val="24"/>
        </w:rPr>
      </w:pPr>
    </w:p>
    <w:p w14:paraId="07E22ACF" w14:textId="7F03E665" w:rsidR="00375D92" w:rsidRDefault="00000000">
      <w:pPr>
        <w:pStyle w:val="Body"/>
        <w:spacing w:line="360" w:lineRule="auto"/>
        <w:jc w:val="both"/>
        <w:rPr>
          <w:rFonts w:ascii="Times New Roman" w:eastAsia="Times New Roman" w:hAnsi="Times New Roman" w:cs="Times New Roman"/>
          <w:sz w:val="24"/>
          <w:szCs w:val="24"/>
        </w:rPr>
      </w:pPr>
      <w:r>
        <w:rPr>
          <w:rFonts w:ascii="Times New Roman" w:hAnsi="Times New Roman"/>
          <w:sz w:val="24"/>
          <w:szCs w:val="24"/>
        </w:rPr>
        <w:t xml:space="preserve">While under the Arbitration and </w:t>
      </w:r>
      <w:r>
        <w:rPr>
          <w:rFonts w:ascii="Times New Roman" w:hAnsi="Times New Roman"/>
          <w:sz w:val="24"/>
          <w:szCs w:val="24"/>
          <w:lang w:val="fr-FR"/>
        </w:rPr>
        <w:t xml:space="preserve">Conciliation </w:t>
      </w:r>
      <w:proofErr w:type="spellStart"/>
      <w:r>
        <w:rPr>
          <w:rFonts w:ascii="Times New Roman" w:hAnsi="Times New Roman"/>
          <w:sz w:val="24"/>
          <w:szCs w:val="24"/>
          <w:lang w:val="fr-FR"/>
        </w:rPr>
        <w:t>Act</w:t>
      </w:r>
      <w:proofErr w:type="spellEnd"/>
      <w:r>
        <w:rPr>
          <w:rFonts w:ascii="Times New Roman" w:hAnsi="Times New Roman"/>
          <w:sz w:val="24"/>
          <w:szCs w:val="24"/>
          <w:lang w:val="fr-FR"/>
        </w:rPr>
        <w:t>, 1996</w:t>
      </w:r>
      <w:r>
        <w:rPr>
          <w:rFonts w:ascii="Times New Roman" w:hAnsi="Times New Roman"/>
          <w:sz w:val="24"/>
          <w:szCs w:val="24"/>
        </w:rPr>
        <w:t xml:space="preserve">, Section 11 expounds on the constitution of an arbitral tribunal, which is the first step taken towards the commencement of an arbitration proceeding in India. Subsection 6A of the provision also states that the Supreme or High Court, while considering an application under S. 11, shall confine itself to the examination of the existence of an arbitration agreement. This provision, included in the statute post the 2015 amendment to the Act, </w:t>
      </w:r>
      <w:r>
        <w:rPr>
          <w:rFonts w:ascii="Times New Roman" w:hAnsi="Times New Roman"/>
          <w:sz w:val="24"/>
          <w:szCs w:val="24"/>
        </w:rPr>
        <w:lastRenderedPageBreak/>
        <w:t>lays down the doctrine of ‘</w:t>
      </w:r>
      <w:proofErr w:type="spellStart"/>
      <w:r>
        <w:rPr>
          <w:rFonts w:ascii="Times New Roman" w:hAnsi="Times New Roman"/>
          <w:i/>
          <w:iCs/>
          <w:sz w:val="24"/>
          <w:szCs w:val="24"/>
        </w:rPr>
        <w:t>kompetenz-kompetenz</w:t>
      </w:r>
      <w:proofErr w:type="spellEnd"/>
      <w:r>
        <w:rPr>
          <w:rFonts w:ascii="Times New Roman" w:hAnsi="Times New Roman"/>
          <w:sz w:val="24"/>
          <w:szCs w:val="24"/>
        </w:rPr>
        <w:t>’</w:t>
      </w:r>
      <w:r>
        <w:rPr>
          <w:rFonts w:ascii="Times New Roman" w:eastAsia="Times New Roman" w:hAnsi="Times New Roman" w:cs="Times New Roman"/>
          <w:sz w:val="24"/>
          <w:szCs w:val="24"/>
          <w:vertAlign w:val="superscript"/>
        </w:rPr>
        <w:footnoteReference w:id="2"/>
      </w:r>
      <w:r>
        <w:rPr>
          <w:rFonts w:ascii="Times New Roman" w:hAnsi="Times New Roman"/>
          <w:sz w:val="24"/>
          <w:szCs w:val="24"/>
        </w:rPr>
        <w:t xml:space="preserve">. The legal intent of the provision was to limit the intervention of the courts only to </w:t>
      </w:r>
      <w:proofErr w:type="spellStart"/>
      <w:r>
        <w:rPr>
          <w:rFonts w:ascii="Times New Roman" w:hAnsi="Times New Roman"/>
          <w:sz w:val="24"/>
          <w:szCs w:val="24"/>
        </w:rPr>
        <w:t>analyse</w:t>
      </w:r>
      <w:proofErr w:type="spellEnd"/>
      <w:r>
        <w:rPr>
          <w:rFonts w:ascii="Times New Roman" w:hAnsi="Times New Roman"/>
          <w:sz w:val="24"/>
          <w:szCs w:val="24"/>
        </w:rPr>
        <w:t xml:space="preserve"> the existence of the arbitration agreement itself, to the exclusion of all issues related to the dispute such as jurisdiction, limitation, etc., which shall be decided by the tribunal only. This principles has been affirmed in the judgement of </w:t>
      </w:r>
      <w:r>
        <w:rPr>
          <w:rFonts w:ascii="Times New Roman" w:hAnsi="Times New Roman"/>
          <w:i/>
          <w:iCs/>
          <w:sz w:val="24"/>
          <w:szCs w:val="24"/>
          <w:lang w:val="pt-PT"/>
        </w:rPr>
        <w:t>Duro Felguera S.A. v. Gangavaram Port Ltd</w:t>
      </w:r>
      <w:r>
        <w:rPr>
          <w:rFonts w:ascii="Times New Roman" w:hAnsi="Times New Roman"/>
          <w:sz w:val="24"/>
          <w:szCs w:val="24"/>
        </w:rPr>
        <w:t>. that makes a direct connection between the autonomy of the arbitration clause and the power (or competence) of an arbitral tribunal to decide upon its own jurisdiction.</w:t>
      </w:r>
      <w:r>
        <w:rPr>
          <w:rFonts w:ascii="Times New Roman" w:eastAsia="Times New Roman" w:hAnsi="Times New Roman" w:cs="Times New Roman"/>
          <w:sz w:val="24"/>
          <w:szCs w:val="24"/>
          <w:vertAlign w:val="superscript"/>
        </w:rPr>
        <w:footnoteReference w:id="3"/>
      </w:r>
      <w:r>
        <w:rPr>
          <w:rFonts w:ascii="Times New Roman" w:hAnsi="Times New Roman"/>
          <w:sz w:val="24"/>
          <w:szCs w:val="24"/>
        </w:rPr>
        <w:t xml:space="preserve"> Therefore, when Indo Unique approached the courts to enforce the arbitration agreement, it filed an application under S. 8 of the Arbitration and Conciliation Act which allows a party to approach a judicial court to invoke an arbitration clause. When the lower court rule</w:t>
      </w:r>
      <w:r w:rsidR="005F22F8">
        <w:rPr>
          <w:rFonts w:ascii="Times New Roman" w:hAnsi="Times New Roman"/>
          <w:sz w:val="24"/>
          <w:szCs w:val="24"/>
        </w:rPr>
        <w:t>d</w:t>
      </w:r>
      <w:r>
        <w:rPr>
          <w:rFonts w:ascii="Times New Roman" w:hAnsi="Times New Roman"/>
          <w:sz w:val="24"/>
          <w:szCs w:val="24"/>
        </w:rPr>
        <w:t xml:space="preserve"> against the enforceability of the clause, it later filed an application under S. 11 of the same Act, in the form of a Special Leave Petition, hence the present judgement. The contention raised by Global Mercantile was that since the underlying contract between them was unstamped, it cannot be enforced, as barred by Section 34 of the </w:t>
      </w:r>
      <w:r>
        <w:rPr>
          <w:rFonts w:ascii="Times New Roman" w:hAnsi="Times New Roman"/>
          <w:sz w:val="24"/>
          <w:szCs w:val="24"/>
          <w:lang w:val="nl-NL"/>
        </w:rPr>
        <w:t>Maharashtra Stamp Act, 1958</w:t>
      </w:r>
      <w:r>
        <w:rPr>
          <w:rFonts w:ascii="Times New Roman" w:eastAsia="Times New Roman" w:hAnsi="Times New Roman" w:cs="Times New Roman"/>
          <w:sz w:val="24"/>
          <w:szCs w:val="24"/>
          <w:vertAlign w:val="superscript"/>
        </w:rPr>
        <w:footnoteReference w:id="4"/>
      </w:r>
      <w:r>
        <w:rPr>
          <w:rFonts w:ascii="Times New Roman" w:hAnsi="Times New Roman"/>
          <w:sz w:val="24"/>
          <w:szCs w:val="24"/>
        </w:rPr>
        <w:t>.</w:t>
      </w:r>
    </w:p>
    <w:p w14:paraId="0A90EAF2" w14:textId="77777777" w:rsidR="00375D92" w:rsidRDefault="00375D92">
      <w:pPr>
        <w:pStyle w:val="Body"/>
        <w:spacing w:line="360" w:lineRule="auto"/>
        <w:jc w:val="both"/>
        <w:rPr>
          <w:rFonts w:ascii="Times New Roman" w:eastAsia="Times New Roman" w:hAnsi="Times New Roman" w:cs="Times New Roman"/>
          <w:sz w:val="24"/>
          <w:szCs w:val="24"/>
        </w:rPr>
      </w:pPr>
    </w:p>
    <w:p w14:paraId="7491EBAD" w14:textId="77777777" w:rsidR="00375D92" w:rsidRDefault="00000000">
      <w:pPr>
        <w:pStyle w:val="Body"/>
        <w:spacing w:line="360" w:lineRule="auto"/>
        <w:jc w:val="both"/>
        <w:rPr>
          <w:rFonts w:ascii="Times New Roman" w:eastAsia="Times New Roman" w:hAnsi="Times New Roman" w:cs="Times New Roman"/>
          <w:sz w:val="24"/>
          <w:szCs w:val="24"/>
        </w:rPr>
      </w:pPr>
      <w:r>
        <w:rPr>
          <w:rFonts w:ascii="Times New Roman" w:hAnsi="Times New Roman"/>
          <w:b/>
          <w:bCs/>
          <w:sz w:val="24"/>
          <w:szCs w:val="24"/>
        </w:rPr>
        <w:t>The Hindrance Caused in Enforceability</w:t>
      </w:r>
      <w:r>
        <w:rPr>
          <w:rFonts w:ascii="Times New Roman" w:hAnsi="Times New Roman"/>
          <w:sz w:val="24"/>
          <w:szCs w:val="24"/>
        </w:rPr>
        <w:t xml:space="preserve"> </w:t>
      </w:r>
    </w:p>
    <w:p w14:paraId="1D0B3AAB" w14:textId="77777777" w:rsidR="00375D92" w:rsidRDefault="00000000">
      <w:pPr>
        <w:pStyle w:val="Body"/>
        <w:spacing w:line="360" w:lineRule="auto"/>
        <w:jc w:val="both"/>
        <w:rPr>
          <w:rFonts w:ascii="Times New Roman" w:eastAsia="Times New Roman" w:hAnsi="Times New Roman" w:cs="Times New Roman"/>
          <w:sz w:val="24"/>
          <w:szCs w:val="24"/>
        </w:rPr>
      </w:pPr>
      <w:r>
        <w:rPr>
          <w:rFonts w:ascii="Times New Roman" w:hAnsi="Times New Roman"/>
          <w:sz w:val="24"/>
          <w:szCs w:val="24"/>
        </w:rPr>
        <w:t>S. 34 of the Maharashtra Act states that- “No instrument chargeable with duty shall be admitted in evidence for any purpose by any person …, or shall be acted upon, registered or authenticated by any such person or by any public officer unless such instrument is duly stamped.”</w:t>
      </w:r>
      <w:r>
        <w:rPr>
          <w:rFonts w:ascii="Times New Roman" w:eastAsia="Times New Roman" w:hAnsi="Times New Roman" w:cs="Times New Roman"/>
          <w:sz w:val="24"/>
          <w:szCs w:val="24"/>
          <w:vertAlign w:val="superscript"/>
        </w:rPr>
        <w:footnoteReference w:id="5"/>
      </w:r>
      <w:r>
        <w:rPr>
          <w:rFonts w:ascii="Times New Roman" w:hAnsi="Times New Roman"/>
          <w:sz w:val="24"/>
          <w:szCs w:val="24"/>
        </w:rPr>
        <w:t xml:space="preserve"> Hence, the court relying on this provision declared the contract to be a nullity, as it cannot be acted upon due to being insufficiently stamped. The courts relied on the case of </w:t>
      </w:r>
      <w:r>
        <w:rPr>
          <w:rFonts w:ascii="Times New Roman" w:hAnsi="Times New Roman"/>
          <w:i/>
          <w:iCs/>
          <w:sz w:val="24"/>
          <w:szCs w:val="24"/>
        </w:rPr>
        <w:t xml:space="preserve">Vidya </w:t>
      </w:r>
      <w:proofErr w:type="spellStart"/>
      <w:r>
        <w:rPr>
          <w:rFonts w:ascii="Times New Roman" w:hAnsi="Times New Roman"/>
          <w:i/>
          <w:iCs/>
          <w:sz w:val="24"/>
          <w:szCs w:val="24"/>
        </w:rPr>
        <w:t>Drolia</w:t>
      </w:r>
      <w:proofErr w:type="spellEnd"/>
      <w:r>
        <w:rPr>
          <w:rFonts w:ascii="Times New Roman" w:hAnsi="Times New Roman"/>
          <w:i/>
          <w:iCs/>
          <w:sz w:val="24"/>
          <w:szCs w:val="24"/>
        </w:rPr>
        <w:t xml:space="preserve"> </w:t>
      </w:r>
      <w:proofErr w:type="gramStart"/>
      <w:r>
        <w:rPr>
          <w:rFonts w:ascii="Times New Roman" w:hAnsi="Times New Roman"/>
          <w:i/>
          <w:iCs/>
          <w:sz w:val="24"/>
          <w:szCs w:val="24"/>
        </w:rPr>
        <w:t>And</w:t>
      </w:r>
      <w:proofErr w:type="gramEnd"/>
      <w:r>
        <w:rPr>
          <w:rFonts w:ascii="Times New Roman" w:hAnsi="Times New Roman"/>
          <w:i/>
          <w:iCs/>
          <w:sz w:val="24"/>
          <w:szCs w:val="24"/>
        </w:rPr>
        <w:t xml:space="preserve"> </w:t>
      </w:r>
      <w:proofErr w:type="spellStart"/>
      <w:r>
        <w:rPr>
          <w:rFonts w:ascii="Times New Roman" w:hAnsi="Times New Roman"/>
          <w:i/>
          <w:iCs/>
          <w:sz w:val="24"/>
          <w:szCs w:val="24"/>
        </w:rPr>
        <w:t>Ors</w:t>
      </w:r>
      <w:proofErr w:type="spellEnd"/>
      <w:r>
        <w:rPr>
          <w:rFonts w:ascii="Times New Roman" w:hAnsi="Times New Roman"/>
          <w:i/>
          <w:iCs/>
          <w:sz w:val="24"/>
          <w:szCs w:val="24"/>
        </w:rPr>
        <w:t>. v. Durga Trading Corporation</w:t>
      </w:r>
      <w:r>
        <w:rPr>
          <w:rFonts w:ascii="Times New Roman" w:eastAsia="Times New Roman" w:hAnsi="Times New Roman" w:cs="Times New Roman"/>
          <w:i/>
          <w:iCs/>
          <w:sz w:val="24"/>
          <w:szCs w:val="24"/>
          <w:vertAlign w:val="superscript"/>
        </w:rPr>
        <w:footnoteReference w:id="6"/>
      </w:r>
      <w:r>
        <w:rPr>
          <w:rFonts w:ascii="Times New Roman" w:hAnsi="Times New Roman"/>
          <w:sz w:val="24"/>
          <w:szCs w:val="24"/>
        </w:rPr>
        <w:t xml:space="preserve"> which laid down the preconditions for enforceability of an arbitration agreement- that it must satisfy S. 7 of the Arbitration Act, along with other legal requirements such as those given in the Contract Act or the Stamp Act.</w:t>
      </w:r>
    </w:p>
    <w:p w14:paraId="52D67E79" w14:textId="77777777" w:rsidR="00375D92" w:rsidRDefault="00375D92">
      <w:pPr>
        <w:pStyle w:val="Body"/>
        <w:spacing w:line="360" w:lineRule="auto"/>
        <w:jc w:val="both"/>
        <w:rPr>
          <w:rFonts w:ascii="Times New Roman" w:eastAsia="Times New Roman" w:hAnsi="Times New Roman" w:cs="Times New Roman"/>
          <w:sz w:val="24"/>
          <w:szCs w:val="24"/>
        </w:rPr>
      </w:pPr>
    </w:p>
    <w:p w14:paraId="09BEC552" w14:textId="77777777" w:rsidR="00375D92" w:rsidRDefault="00000000">
      <w:pPr>
        <w:pStyle w:val="Body"/>
        <w:spacing w:line="360" w:lineRule="auto"/>
        <w:jc w:val="both"/>
        <w:rPr>
          <w:rFonts w:ascii="Times New Roman" w:eastAsia="Times New Roman" w:hAnsi="Times New Roman" w:cs="Times New Roman"/>
          <w:sz w:val="24"/>
          <w:szCs w:val="24"/>
        </w:rPr>
      </w:pPr>
      <w:r>
        <w:rPr>
          <w:rFonts w:ascii="Times New Roman" w:hAnsi="Times New Roman"/>
          <w:sz w:val="24"/>
          <w:szCs w:val="24"/>
        </w:rPr>
        <w:t xml:space="preserve">However, it must be noted that subsection (a) of the said provision further states that the unstamped document shall cease to be inadmissible or unenforceable upon payment of the required duty, along with a penalty at a certain given rate. This points to the curable nature of the defect which was hindering the enforceability of the agreement. The court seemed to have turned a blind eye to this fix that could have bridged the gap, and by its refusal to enforce the clause, appeared unmindful of the </w:t>
      </w:r>
      <w:proofErr w:type="spellStart"/>
      <w:r>
        <w:rPr>
          <w:rFonts w:ascii="Times New Roman" w:hAnsi="Times New Roman"/>
          <w:i/>
          <w:iCs/>
          <w:sz w:val="24"/>
          <w:szCs w:val="24"/>
        </w:rPr>
        <w:lastRenderedPageBreak/>
        <w:t>kompetenz-kompetenz</w:t>
      </w:r>
      <w:proofErr w:type="spellEnd"/>
      <w:r>
        <w:rPr>
          <w:rFonts w:ascii="Times New Roman" w:hAnsi="Times New Roman"/>
          <w:sz w:val="24"/>
          <w:szCs w:val="24"/>
        </w:rPr>
        <w:t xml:space="preserve"> principle as well- according to which the courts were only to </w:t>
      </w:r>
      <w:proofErr w:type="gramStart"/>
      <w:r>
        <w:rPr>
          <w:rFonts w:ascii="Times New Roman" w:hAnsi="Times New Roman"/>
          <w:sz w:val="24"/>
          <w:szCs w:val="24"/>
        </w:rPr>
        <w:t>look into</w:t>
      </w:r>
      <w:proofErr w:type="gramEnd"/>
      <w:r>
        <w:rPr>
          <w:rFonts w:ascii="Times New Roman" w:hAnsi="Times New Roman"/>
          <w:sz w:val="24"/>
          <w:szCs w:val="24"/>
        </w:rPr>
        <w:t xml:space="preserve"> the ‘existence’ of an arbitration agreement and not its ‘validity’.</w:t>
      </w:r>
    </w:p>
    <w:p w14:paraId="76A49AB3" w14:textId="77777777" w:rsidR="00375D92" w:rsidRDefault="00375D92">
      <w:pPr>
        <w:pStyle w:val="Body"/>
        <w:spacing w:line="360" w:lineRule="auto"/>
        <w:jc w:val="both"/>
        <w:rPr>
          <w:rFonts w:ascii="Times New Roman" w:eastAsia="Times New Roman" w:hAnsi="Times New Roman" w:cs="Times New Roman"/>
          <w:sz w:val="24"/>
          <w:szCs w:val="24"/>
        </w:rPr>
      </w:pPr>
    </w:p>
    <w:p w14:paraId="23CFC2E9" w14:textId="77777777" w:rsidR="00375D92" w:rsidRDefault="00000000">
      <w:pPr>
        <w:pStyle w:val="Body"/>
        <w:spacing w:line="360" w:lineRule="auto"/>
        <w:jc w:val="both"/>
        <w:rPr>
          <w:rFonts w:ascii="Times New Roman" w:eastAsia="Times New Roman" w:hAnsi="Times New Roman" w:cs="Times New Roman"/>
          <w:sz w:val="24"/>
          <w:szCs w:val="24"/>
        </w:rPr>
      </w:pPr>
      <w:r>
        <w:rPr>
          <w:rFonts w:ascii="Times New Roman" w:hAnsi="Times New Roman"/>
          <w:sz w:val="24"/>
          <w:szCs w:val="24"/>
        </w:rPr>
        <w:t xml:space="preserve">Another anomaly that must be </w:t>
      </w:r>
      <w:proofErr w:type="gramStart"/>
      <w:r>
        <w:rPr>
          <w:rFonts w:ascii="Times New Roman" w:hAnsi="Times New Roman"/>
          <w:sz w:val="24"/>
          <w:szCs w:val="24"/>
        </w:rPr>
        <w:t>looked into</w:t>
      </w:r>
      <w:proofErr w:type="gramEnd"/>
      <w:r>
        <w:rPr>
          <w:rFonts w:ascii="Times New Roman" w:hAnsi="Times New Roman"/>
          <w:sz w:val="24"/>
          <w:szCs w:val="24"/>
        </w:rPr>
        <w:t xml:space="preserve"> is that- a general theory pertaining to the practice of arbitration is that of ‘the doctrine of separability’, which shall be applied to this case. This doctrine states that an arbitration clause in a contract </w:t>
      </w:r>
      <w:proofErr w:type="gramStart"/>
      <w:r>
        <w:rPr>
          <w:rFonts w:ascii="Times New Roman" w:hAnsi="Times New Roman"/>
          <w:sz w:val="24"/>
          <w:szCs w:val="24"/>
        </w:rPr>
        <w:t>is considered to be</w:t>
      </w:r>
      <w:proofErr w:type="gramEnd"/>
      <w:r>
        <w:rPr>
          <w:rFonts w:ascii="Times New Roman" w:hAnsi="Times New Roman"/>
          <w:sz w:val="24"/>
          <w:szCs w:val="24"/>
        </w:rPr>
        <w:t xml:space="preserve"> </w:t>
      </w:r>
      <w:r>
        <w:rPr>
          <w:rFonts w:ascii="Times New Roman" w:hAnsi="Times New Roman"/>
          <w:sz w:val="24"/>
          <w:szCs w:val="24"/>
          <w:u w:val="single"/>
        </w:rPr>
        <w:t>distinct and separate</w:t>
      </w:r>
      <w:r>
        <w:rPr>
          <w:rFonts w:ascii="Times New Roman" w:hAnsi="Times New Roman"/>
          <w:sz w:val="24"/>
          <w:szCs w:val="24"/>
        </w:rPr>
        <w:t xml:space="preserve"> from the main contract, to which it belongs.</w:t>
      </w:r>
      <w:r>
        <w:rPr>
          <w:rFonts w:ascii="Times New Roman" w:eastAsia="Times New Roman" w:hAnsi="Times New Roman" w:cs="Times New Roman"/>
          <w:sz w:val="24"/>
          <w:szCs w:val="24"/>
          <w:vertAlign w:val="superscript"/>
        </w:rPr>
        <w:footnoteReference w:id="7"/>
      </w:r>
      <w:r>
        <w:rPr>
          <w:rFonts w:ascii="Times New Roman" w:hAnsi="Times New Roman"/>
          <w:sz w:val="24"/>
          <w:szCs w:val="24"/>
        </w:rPr>
        <w:t xml:space="preserve"> It thus survives the termination, rescission and nullity of the main contract. This doctrine was first laid down in the </w:t>
      </w:r>
      <w:r>
        <w:rPr>
          <w:rFonts w:ascii="Times New Roman" w:hAnsi="Times New Roman"/>
          <w:i/>
          <w:iCs/>
          <w:sz w:val="24"/>
          <w:szCs w:val="24"/>
          <w:lang w:val="it-IT"/>
        </w:rPr>
        <w:t>Gosset</w:t>
      </w:r>
      <w:r>
        <w:rPr>
          <w:rFonts w:ascii="Times New Roman" w:eastAsia="Times New Roman" w:hAnsi="Times New Roman" w:cs="Times New Roman"/>
          <w:sz w:val="24"/>
          <w:szCs w:val="24"/>
          <w:vertAlign w:val="superscript"/>
        </w:rPr>
        <w:footnoteReference w:id="8"/>
      </w:r>
      <w:r>
        <w:rPr>
          <w:rFonts w:ascii="Times New Roman" w:hAnsi="Times New Roman"/>
          <w:sz w:val="24"/>
          <w:szCs w:val="24"/>
        </w:rPr>
        <w:t xml:space="preserve"> case- where the French </w:t>
      </w:r>
      <w:proofErr w:type="spellStart"/>
      <w:r>
        <w:rPr>
          <w:rFonts w:ascii="Times New Roman" w:hAnsi="Times New Roman"/>
          <w:sz w:val="24"/>
          <w:szCs w:val="24"/>
        </w:rPr>
        <w:t>Cour</w:t>
      </w:r>
      <w:proofErr w:type="spellEnd"/>
      <w:r>
        <w:rPr>
          <w:rFonts w:ascii="Times New Roman" w:hAnsi="Times New Roman"/>
          <w:sz w:val="24"/>
          <w:szCs w:val="24"/>
        </w:rPr>
        <w:t xml:space="preserve"> de </w:t>
      </w:r>
      <w:r>
        <w:rPr>
          <w:rFonts w:ascii="Times New Roman" w:hAnsi="Times New Roman"/>
          <w:sz w:val="24"/>
          <w:szCs w:val="24"/>
          <w:lang w:val="it-IT"/>
        </w:rPr>
        <w:t xml:space="preserve">Cassation </w:t>
      </w:r>
      <w:proofErr w:type="spellStart"/>
      <w:r>
        <w:rPr>
          <w:rFonts w:ascii="Times New Roman" w:hAnsi="Times New Roman"/>
          <w:sz w:val="24"/>
          <w:szCs w:val="24"/>
        </w:rPr>
        <w:t>recognised</w:t>
      </w:r>
      <w:proofErr w:type="spellEnd"/>
      <w:r>
        <w:rPr>
          <w:rFonts w:ascii="Times New Roman" w:hAnsi="Times New Roman"/>
          <w:sz w:val="24"/>
          <w:szCs w:val="24"/>
        </w:rPr>
        <w:t xml:space="preserve"> the doctrine of separability in the year 1963, the court held that “In international arbitration, the agreement to arbitrate, whether concluded separately or included in the contract to which it relates, is always save in exceptional circumstances ... completely autonomous in law, which excludes the possibility of it being affected by the possible invalidity of the main contract.”</w:t>
      </w:r>
      <w:r>
        <w:rPr>
          <w:rFonts w:ascii="Times New Roman" w:eastAsia="Times New Roman" w:hAnsi="Times New Roman" w:cs="Times New Roman"/>
          <w:sz w:val="24"/>
          <w:szCs w:val="24"/>
          <w:vertAlign w:val="superscript"/>
        </w:rPr>
        <w:footnoteReference w:id="9"/>
      </w:r>
      <w:r>
        <w:rPr>
          <w:rFonts w:ascii="Times New Roman" w:hAnsi="Times New Roman"/>
          <w:sz w:val="24"/>
          <w:szCs w:val="24"/>
        </w:rPr>
        <w:t xml:space="preserve"> The doctrine was later </w:t>
      </w:r>
      <w:proofErr w:type="spellStart"/>
      <w:r>
        <w:rPr>
          <w:rFonts w:ascii="Times New Roman" w:hAnsi="Times New Roman"/>
          <w:sz w:val="24"/>
          <w:szCs w:val="24"/>
        </w:rPr>
        <w:t>recognised</w:t>
      </w:r>
      <w:proofErr w:type="spellEnd"/>
      <w:r>
        <w:rPr>
          <w:rFonts w:ascii="Times New Roman" w:hAnsi="Times New Roman"/>
          <w:sz w:val="24"/>
          <w:szCs w:val="24"/>
        </w:rPr>
        <w:t xml:space="preserve"> by the US Courts in 1967 in the case of </w:t>
      </w:r>
      <w:r>
        <w:rPr>
          <w:rFonts w:ascii="Times New Roman" w:hAnsi="Times New Roman"/>
          <w:i/>
          <w:iCs/>
          <w:sz w:val="24"/>
          <w:szCs w:val="24"/>
        </w:rPr>
        <w:t>Prima Paint</w:t>
      </w:r>
      <w:r>
        <w:rPr>
          <w:rFonts w:ascii="Times New Roman" w:eastAsia="Times New Roman" w:hAnsi="Times New Roman" w:cs="Times New Roman"/>
          <w:sz w:val="24"/>
          <w:szCs w:val="24"/>
          <w:vertAlign w:val="superscript"/>
        </w:rPr>
        <w:footnoteReference w:id="10"/>
      </w:r>
      <w:r>
        <w:rPr>
          <w:rFonts w:ascii="Times New Roman" w:hAnsi="Times New Roman"/>
          <w:sz w:val="24"/>
          <w:szCs w:val="24"/>
        </w:rPr>
        <w:t xml:space="preserve">, in the English courts in the </w:t>
      </w:r>
      <w:r>
        <w:rPr>
          <w:rFonts w:ascii="Times New Roman" w:hAnsi="Times New Roman"/>
          <w:i/>
          <w:iCs/>
          <w:sz w:val="24"/>
          <w:szCs w:val="24"/>
        </w:rPr>
        <w:t>Fiona Trust</w:t>
      </w:r>
      <w:r>
        <w:rPr>
          <w:rFonts w:ascii="Times New Roman" w:hAnsi="Times New Roman"/>
          <w:sz w:val="24"/>
          <w:szCs w:val="24"/>
        </w:rPr>
        <w:t xml:space="preserve"> case</w:t>
      </w:r>
      <w:r>
        <w:rPr>
          <w:rFonts w:ascii="Times New Roman" w:eastAsia="Times New Roman" w:hAnsi="Times New Roman" w:cs="Times New Roman"/>
          <w:sz w:val="24"/>
          <w:szCs w:val="24"/>
          <w:vertAlign w:val="superscript"/>
        </w:rPr>
        <w:footnoteReference w:id="11"/>
      </w:r>
      <w:r>
        <w:rPr>
          <w:rFonts w:ascii="Times New Roman" w:hAnsi="Times New Roman"/>
          <w:sz w:val="24"/>
          <w:szCs w:val="24"/>
        </w:rPr>
        <w:t>, and soon spread to other countries as well, now stated in most national arbitral legislations. In India, this doctrine of separability is enshrined under Section 16 (a) of the Arbitration and Conciliation Act, 1996, which states that where a commercial contract includes an arbitration clause, the clause is to be treated as an independent and separate agreement from the other terms of the said contract.</w:t>
      </w:r>
      <w:r>
        <w:rPr>
          <w:rFonts w:ascii="Times New Roman" w:eastAsia="Times New Roman" w:hAnsi="Times New Roman" w:cs="Times New Roman"/>
          <w:sz w:val="24"/>
          <w:szCs w:val="24"/>
          <w:vertAlign w:val="superscript"/>
        </w:rPr>
        <w:footnoteReference w:id="12"/>
      </w:r>
      <w:r>
        <w:rPr>
          <w:rFonts w:ascii="Times New Roman" w:hAnsi="Times New Roman"/>
          <w:sz w:val="24"/>
          <w:szCs w:val="24"/>
        </w:rPr>
        <w:t xml:space="preserve"> This doctrine has been upheld by Indian courts in various judgements including that of </w:t>
      </w:r>
      <w:r>
        <w:rPr>
          <w:rFonts w:ascii="Times New Roman" w:hAnsi="Times New Roman"/>
          <w:i/>
          <w:iCs/>
          <w:sz w:val="24"/>
          <w:szCs w:val="24"/>
        </w:rPr>
        <w:t>Reva Electrical Car Company Private Limited v. M/s Green Mobil</w:t>
      </w:r>
      <w:r>
        <w:rPr>
          <w:rFonts w:ascii="Times New Roman" w:eastAsia="Times New Roman" w:hAnsi="Times New Roman" w:cs="Times New Roman"/>
          <w:sz w:val="24"/>
          <w:szCs w:val="24"/>
          <w:vertAlign w:val="superscript"/>
        </w:rPr>
        <w:footnoteReference w:id="13"/>
      </w:r>
      <w:r>
        <w:rPr>
          <w:rFonts w:ascii="Times New Roman" w:hAnsi="Times New Roman"/>
          <w:sz w:val="24"/>
          <w:szCs w:val="24"/>
        </w:rPr>
        <w:t xml:space="preserve"> and </w:t>
      </w:r>
      <w:r>
        <w:rPr>
          <w:rFonts w:ascii="Times New Roman" w:hAnsi="Times New Roman"/>
          <w:i/>
          <w:iCs/>
          <w:sz w:val="24"/>
          <w:szCs w:val="24"/>
        </w:rPr>
        <w:t>Today Homes and Infrastructure Put. Ltd. v. Ludhiana Improvement</w:t>
      </w:r>
      <w:r>
        <w:rPr>
          <w:rFonts w:ascii="Times New Roman" w:eastAsia="Times New Roman" w:hAnsi="Times New Roman" w:cs="Times New Roman"/>
          <w:sz w:val="24"/>
          <w:szCs w:val="24"/>
          <w:vertAlign w:val="superscript"/>
        </w:rPr>
        <w:footnoteReference w:id="14"/>
      </w:r>
      <w:r>
        <w:rPr>
          <w:rFonts w:ascii="Times New Roman" w:hAnsi="Times New Roman"/>
          <w:sz w:val="24"/>
          <w:szCs w:val="24"/>
        </w:rPr>
        <w:t xml:space="preserve"> that hold that an arbitration agreement, although is part of the main contract, is to be treated independently from it. </w:t>
      </w:r>
    </w:p>
    <w:p w14:paraId="74751E1D" w14:textId="77777777" w:rsidR="00375D92" w:rsidRDefault="00375D92">
      <w:pPr>
        <w:pStyle w:val="Body"/>
        <w:spacing w:line="360" w:lineRule="auto"/>
        <w:jc w:val="both"/>
        <w:rPr>
          <w:rFonts w:ascii="Times New Roman" w:eastAsia="Times New Roman" w:hAnsi="Times New Roman" w:cs="Times New Roman"/>
          <w:sz w:val="24"/>
          <w:szCs w:val="24"/>
        </w:rPr>
      </w:pPr>
    </w:p>
    <w:p w14:paraId="4C112496" w14:textId="77777777" w:rsidR="00375D92" w:rsidRDefault="00000000">
      <w:pPr>
        <w:pStyle w:val="Body"/>
        <w:spacing w:line="360" w:lineRule="auto"/>
        <w:jc w:val="both"/>
        <w:rPr>
          <w:rFonts w:ascii="Times New Roman" w:eastAsia="Times New Roman" w:hAnsi="Times New Roman" w:cs="Times New Roman"/>
          <w:sz w:val="24"/>
          <w:szCs w:val="24"/>
        </w:rPr>
      </w:pPr>
      <w:r>
        <w:rPr>
          <w:rFonts w:ascii="Times New Roman" w:hAnsi="Times New Roman"/>
          <w:sz w:val="24"/>
          <w:szCs w:val="24"/>
        </w:rPr>
        <w:t xml:space="preserve">Hence, in line with the Maharashtra Stamp Act, in order to be acted upon, the work order is required to be duly stamped as given under S. 63 of SCHEDULE I of the Act. Hence, the instrument required to be stamped remains the main contract, and as such, an arbitration agreement is not chargeable for stamp duty under the Maharashtra Stamp Act or the Registration Act, but the court ruled that since it forms a part of the main contract (the work order), its enforceability shall be </w:t>
      </w:r>
      <w:proofErr w:type="spellStart"/>
      <w:r>
        <w:rPr>
          <w:rFonts w:ascii="Times New Roman" w:hAnsi="Times New Roman"/>
          <w:sz w:val="24"/>
          <w:szCs w:val="24"/>
        </w:rPr>
        <w:t>dependant</w:t>
      </w:r>
      <w:proofErr w:type="spellEnd"/>
      <w:r>
        <w:rPr>
          <w:rFonts w:ascii="Times New Roman" w:hAnsi="Times New Roman"/>
          <w:sz w:val="24"/>
          <w:szCs w:val="24"/>
        </w:rPr>
        <w:t xml:space="preserve"> on that of the contract. The courts also relied on the judgements of </w:t>
      </w:r>
      <w:proofErr w:type="spellStart"/>
      <w:r>
        <w:rPr>
          <w:rFonts w:ascii="Times New Roman" w:hAnsi="Times New Roman"/>
          <w:i/>
          <w:iCs/>
          <w:sz w:val="24"/>
          <w:szCs w:val="24"/>
        </w:rPr>
        <w:t>Garware</w:t>
      </w:r>
      <w:proofErr w:type="spellEnd"/>
      <w:r>
        <w:rPr>
          <w:rFonts w:ascii="Times New Roman" w:hAnsi="Times New Roman"/>
          <w:i/>
          <w:iCs/>
          <w:sz w:val="24"/>
          <w:szCs w:val="24"/>
        </w:rPr>
        <w:t xml:space="preserve"> Wall Ropes Ltd. v. Coastal Marine Constructions &amp; Engineering Ltd.</w:t>
      </w:r>
      <w:r>
        <w:rPr>
          <w:rFonts w:ascii="Times New Roman" w:eastAsia="Times New Roman" w:hAnsi="Times New Roman" w:cs="Times New Roman"/>
          <w:sz w:val="24"/>
          <w:szCs w:val="24"/>
          <w:vertAlign w:val="superscript"/>
        </w:rPr>
        <w:footnoteReference w:id="15"/>
      </w:r>
      <w:r>
        <w:rPr>
          <w:rFonts w:ascii="Times New Roman" w:hAnsi="Times New Roman"/>
          <w:sz w:val="24"/>
          <w:szCs w:val="24"/>
        </w:rPr>
        <w:t xml:space="preserve">- “that an arbitration clause in an agreement would not exist when </w:t>
      </w:r>
      <w:r>
        <w:rPr>
          <w:rFonts w:ascii="Times New Roman" w:hAnsi="Times New Roman"/>
          <w:sz w:val="24"/>
          <w:szCs w:val="24"/>
        </w:rPr>
        <w:lastRenderedPageBreak/>
        <w:t xml:space="preserve">it is not enforceable by law, due to non-performance of legal formalities.” However, in a previously held judgement of </w:t>
      </w:r>
      <w:r>
        <w:rPr>
          <w:rFonts w:ascii="Times New Roman" w:hAnsi="Times New Roman"/>
          <w:i/>
          <w:iCs/>
          <w:sz w:val="24"/>
          <w:szCs w:val="24"/>
          <w:lang w:val="it-IT"/>
        </w:rPr>
        <w:t>SMS Tea Estates Ltd. v. Chandmari Tea Co.</w:t>
      </w:r>
      <w:r>
        <w:rPr>
          <w:rFonts w:ascii="Times New Roman" w:eastAsia="Times New Roman" w:hAnsi="Times New Roman" w:cs="Times New Roman"/>
          <w:sz w:val="24"/>
          <w:szCs w:val="24"/>
          <w:vertAlign w:val="superscript"/>
        </w:rPr>
        <w:footnoteReference w:id="16"/>
      </w:r>
      <w:r>
        <w:rPr>
          <w:rFonts w:ascii="Times New Roman" w:hAnsi="Times New Roman"/>
          <w:sz w:val="24"/>
          <w:szCs w:val="24"/>
        </w:rPr>
        <w:t xml:space="preserve">, the court upheld the survivability of an arbitration clause, especially when the main contract has been declared null owing to it being unregistered and unstamped. A similar conclusion was arrived at in the case </w:t>
      </w:r>
      <w:r>
        <w:rPr>
          <w:rFonts w:ascii="Times New Roman" w:hAnsi="Times New Roman"/>
          <w:i/>
          <w:iCs/>
          <w:sz w:val="24"/>
          <w:szCs w:val="24"/>
        </w:rPr>
        <w:t>Hindustan Steel Limited v. Dilip Construction Company</w:t>
      </w:r>
      <w:r>
        <w:rPr>
          <w:rFonts w:ascii="Times New Roman" w:eastAsia="Times New Roman" w:hAnsi="Times New Roman" w:cs="Times New Roman"/>
          <w:i/>
          <w:iCs/>
          <w:sz w:val="24"/>
          <w:szCs w:val="24"/>
          <w:vertAlign w:val="superscript"/>
        </w:rPr>
        <w:footnoteReference w:id="17"/>
      </w:r>
      <w:r>
        <w:rPr>
          <w:rFonts w:ascii="Times New Roman" w:hAnsi="Times New Roman"/>
          <w:sz w:val="24"/>
          <w:szCs w:val="24"/>
        </w:rPr>
        <w:t xml:space="preserve">, where an </w:t>
      </w:r>
      <w:r>
        <w:rPr>
          <w:rFonts w:ascii="Times New Roman" w:hAnsi="Times New Roman"/>
          <w:b/>
          <w:bCs/>
          <w:sz w:val="24"/>
          <w:szCs w:val="24"/>
        </w:rPr>
        <w:t>arbitral award</w:t>
      </w:r>
      <w:r>
        <w:rPr>
          <w:rFonts w:ascii="Times New Roman" w:hAnsi="Times New Roman"/>
          <w:sz w:val="24"/>
          <w:szCs w:val="24"/>
        </w:rPr>
        <w:t xml:space="preserve"> was contended to be unenforceable, for it was unstamped, but the court here held that an instrument shall not become unenforceable due to it being merely </w:t>
      </w:r>
      <w:proofErr w:type="spellStart"/>
      <w:r>
        <w:rPr>
          <w:rFonts w:ascii="Times New Roman" w:hAnsi="Times New Roman"/>
          <w:sz w:val="24"/>
          <w:szCs w:val="24"/>
          <w:lang w:val="es-ES_tradnl"/>
        </w:rPr>
        <w:t>unstamped</w:t>
      </w:r>
      <w:proofErr w:type="spellEnd"/>
      <w:r>
        <w:rPr>
          <w:rFonts w:ascii="Times New Roman" w:hAnsi="Times New Roman"/>
          <w:sz w:val="24"/>
          <w:szCs w:val="24"/>
        </w:rPr>
        <w:t xml:space="preserve">. The court remedied this defect by directing the party to get the arbitral award adequately stamped and hence make it enforceable. The judgement in </w:t>
      </w:r>
      <w:proofErr w:type="spellStart"/>
      <w:r>
        <w:rPr>
          <w:rFonts w:ascii="Times New Roman" w:hAnsi="Times New Roman"/>
          <w:i/>
          <w:iCs/>
          <w:sz w:val="24"/>
          <w:szCs w:val="24"/>
        </w:rPr>
        <w:t>Garware</w:t>
      </w:r>
      <w:proofErr w:type="spellEnd"/>
      <w:r>
        <w:rPr>
          <w:rFonts w:ascii="Times New Roman" w:hAnsi="Times New Roman"/>
          <w:i/>
          <w:iCs/>
          <w:sz w:val="24"/>
          <w:szCs w:val="24"/>
        </w:rPr>
        <w:t xml:space="preserve"> Wall Ropes</w:t>
      </w:r>
      <w:r>
        <w:rPr>
          <w:rFonts w:ascii="Times New Roman" w:eastAsia="Times New Roman" w:hAnsi="Times New Roman" w:cs="Times New Roman"/>
          <w:i/>
          <w:iCs/>
          <w:sz w:val="24"/>
          <w:szCs w:val="24"/>
          <w:vertAlign w:val="superscript"/>
        </w:rPr>
        <w:footnoteReference w:id="18"/>
      </w:r>
      <w:r>
        <w:rPr>
          <w:rFonts w:ascii="Times New Roman" w:hAnsi="Times New Roman"/>
          <w:sz w:val="24"/>
          <w:szCs w:val="24"/>
        </w:rPr>
        <w:t xml:space="preserve">, accompanied by that of </w:t>
      </w:r>
      <w:r>
        <w:rPr>
          <w:rFonts w:ascii="Times New Roman" w:hAnsi="Times New Roman"/>
          <w:i/>
          <w:iCs/>
          <w:sz w:val="24"/>
          <w:szCs w:val="24"/>
        </w:rPr>
        <w:t xml:space="preserve">Vidya </w:t>
      </w:r>
      <w:proofErr w:type="spellStart"/>
      <w:r>
        <w:rPr>
          <w:rFonts w:ascii="Times New Roman" w:hAnsi="Times New Roman"/>
          <w:i/>
          <w:iCs/>
          <w:sz w:val="24"/>
          <w:szCs w:val="24"/>
        </w:rPr>
        <w:t>Drolia</w:t>
      </w:r>
      <w:proofErr w:type="spellEnd"/>
      <w:r>
        <w:rPr>
          <w:rFonts w:ascii="Times New Roman" w:eastAsia="Times New Roman" w:hAnsi="Times New Roman" w:cs="Times New Roman"/>
          <w:i/>
          <w:iCs/>
          <w:sz w:val="24"/>
          <w:szCs w:val="24"/>
          <w:vertAlign w:val="superscript"/>
        </w:rPr>
        <w:footnoteReference w:id="19"/>
      </w:r>
      <w:r>
        <w:rPr>
          <w:rFonts w:ascii="Times New Roman" w:hAnsi="Times New Roman"/>
          <w:sz w:val="24"/>
          <w:szCs w:val="24"/>
        </w:rPr>
        <w:t>, undid all the effects of the above two judgements, and made the enforceability of arbitration clauses completely dependent on the validity of the main contract, while also violating the doctrine of separability principle.</w:t>
      </w:r>
    </w:p>
    <w:p w14:paraId="48B5779E" w14:textId="77777777" w:rsidR="00375D92" w:rsidRDefault="00375D92">
      <w:pPr>
        <w:pStyle w:val="Body"/>
        <w:spacing w:line="360" w:lineRule="auto"/>
        <w:jc w:val="both"/>
        <w:rPr>
          <w:rFonts w:ascii="Times New Roman" w:eastAsia="Times New Roman" w:hAnsi="Times New Roman" w:cs="Times New Roman"/>
          <w:sz w:val="24"/>
          <w:szCs w:val="24"/>
        </w:rPr>
      </w:pPr>
    </w:p>
    <w:p w14:paraId="74BABC2A" w14:textId="77777777" w:rsidR="00375D92" w:rsidRDefault="00000000">
      <w:pPr>
        <w:pStyle w:val="Heading2"/>
        <w:spacing w:line="360" w:lineRule="auto"/>
        <w:jc w:val="both"/>
        <w:rPr>
          <w:rFonts w:ascii="Times New Roman" w:eastAsia="Times New Roman" w:hAnsi="Times New Roman" w:cs="Times New Roman"/>
          <w:sz w:val="24"/>
          <w:szCs w:val="24"/>
        </w:rPr>
      </w:pPr>
      <w:r>
        <w:rPr>
          <w:rFonts w:ascii="Times New Roman" w:hAnsi="Times New Roman"/>
          <w:sz w:val="24"/>
          <w:szCs w:val="24"/>
        </w:rPr>
        <w:t>Effects of the Judgement</w:t>
      </w:r>
    </w:p>
    <w:p w14:paraId="3AD19A4F" w14:textId="4E44DCF9" w:rsidR="00375D92" w:rsidRDefault="00000000">
      <w:pPr>
        <w:pStyle w:val="Body"/>
        <w:spacing w:line="360" w:lineRule="auto"/>
        <w:jc w:val="both"/>
        <w:rPr>
          <w:rFonts w:ascii="Times New Roman" w:eastAsia="Times New Roman" w:hAnsi="Times New Roman" w:cs="Times New Roman"/>
          <w:sz w:val="24"/>
          <w:szCs w:val="24"/>
        </w:rPr>
      </w:pPr>
      <w:r>
        <w:rPr>
          <w:rFonts w:ascii="Times New Roman" w:hAnsi="Times New Roman"/>
          <w:sz w:val="24"/>
          <w:szCs w:val="24"/>
        </w:rPr>
        <w:t xml:space="preserve">What the court was expected to do here, was to </w:t>
      </w:r>
      <w:proofErr w:type="spellStart"/>
      <w:r>
        <w:rPr>
          <w:rFonts w:ascii="Times New Roman" w:hAnsi="Times New Roman"/>
          <w:sz w:val="24"/>
          <w:szCs w:val="24"/>
        </w:rPr>
        <w:t>harmonise</w:t>
      </w:r>
      <w:proofErr w:type="spellEnd"/>
      <w:r>
        <w:rPr>
          <w:rFonts w:ascii="Times New Roman" w:hAnsi="Times New Roman"/>
          <w:sz w:val="24"/>
          <w:szCs w:val="24"/>
        </w:rPr>
        <w:t xml:space="preserve"> the laws- that of the Maharashtra Stamp Act and Arbitration and Conciliation Act, to give an effective application to both. Stepping away from the technical legal aspects discussed above, this judgement has the potential of </w:t>
      </w:r>
      <w:r>
        <w:rPr>
          <w:rFonts w:ascii="Times New Roman" w:hAnsi="Times New Roman"/>
          <w:sz w:val="24"/>
          <w:szCs w:val="24"/>
          <w:lang w:val="nl-NL"/>
        </w:rPr>
        <w:t>immensely</w:t>
      </w:r>
      <w:r>
        <w:rPr>
          <w:rFonts w:ascii="Times New Roman" w:hAnsi="Times New Roman"/>
          <w:sz w:val="24"/>
          <w:szCs w:val="24"/>
        </w:rPr>
        <w:t xml:space="preserve"> narrowing down the scope of arbitration enforceability </w:t>
      </w:r>
      <w:proofErr w:type="gramStart"/>
      <w:r>
        <w:rPr>
          <w:rFonts w:ascii="Times New Roman" w:hAnsi="Times New Roman"/>
          <w:sz w:val="24"/>
          <w:szCs w:val="24"/>
        </w:rPr>
        <w:t>as a whole in</w:t>
      </w:r>
      <w:proofErr w:type="gramEnd"/>
      <w:r>
        <w:rPr>
          <w:rFonts w:ascii="Times New Roman" w:hAnsi="Times New Roman"/>
          <w:sz w:val="24"/>
          <w:szCs w:val="24"/>
        </w:rPr>
        <w:t xml:space="preserve"> India. Since the Arbitration and Conciliation Act applies to both national and international arbitrations, the judgement invariably </w:t>
      </w:r>
      <w:r w:rsidR="001B1275">
        <w:rPr>
          <w:rFonts w:ascii="Times New Roman" w:hAnsi="Times New Roman"/>
          <w:sz w:val="24"/>
          <w:szCs w:val="24"/>
        </w:rPr>
        <w:t>restricts</w:t>
      </w:r>
      <w:r>
        <w:rPr>
          <w:rFonts w:ascii="Times New Roman" w:hAnsi="Times New Roman"/>
          <w:sz w:val="24"/>
          <w:szCs w:val="24"/>
        </w:rPr>
        <w:t xml:space="preserve"> the scope of international arbitration as well. Loosely translated, foreign firms and commercial entities would now have a lesser inclination towards choosing India as their seat of arbitration and using the national law for its procedural issues. Prohibiting the parties from proceedings with arbitration due to a technical defect would discourage arbitration in the country. This could cost India a lot of money as well as its repute in the sphere of international arbitration, which, being a rising field, will have abundant opportunities in the years to come. Alternative dispute resolution is inarguably the future of the legal field, where every entity makes </w:t>
      </w:r>
      <w:r w:rsidR="00CD6B04">
        <w:rPr>
          <w:rFonts w:ascii="Times New Roman" w:hAnsi="Times New Roman"/>
          <w:sz w:val="24"/>
          <w:szCs w:val="24"/>
        </w:rPr>
        <w:t>a</w:t>
      </w:r>
      <w:r w:rsidR="00361732">
        <w:rPr>
          <w:rFonts w:ascii="Times New Roman" w:hAnsi="Times New Roman"/>
          <w:sz w:val="24"/>
          <w:szCs w:val="24"/>
        </w:rPr>
        <w:t xml:space="preserve"> great</w:t>
      </w:r>
      <w:r>
        <w:rPr>
          <w:rFonts w:ascii="Times New Roman" w:hAnsi="Times New Roman"/>
          <w:sz w:val="24"/>
          <w:szCs w:val="24"/>
        </w:rPr>
        <w:t xml:space="preserve"> effort to steer clear from courts. In a time like this, the judgement of </w:t>
      </w:r>
      <w:r>
        <w:rPr>
          <w:rFonts w:ascii="Times New Roman" w:hAnsi="Times New Roman"/>
          <w:i/>
          <w:iCs/>
          <w:sz w:val="24"/>
          <w:szCs w:val="24"/>
        </w:rPr>
        <w:t>N.N. Global Mercantile</w:t>
      </w:r>
      <w:r>
        <w:rPr>
          <w:rFonts w:ascii="Times New Roman" w:hAnsi="Times New Roman"/>
          <w:sz w:val="24"/>
          <w:szCs w:val="24"/>
        </w:rPr>
        <w:t>, is a dispiriting one.</w:t>
      </w:r>
    </w:p>
    <w:p w14:paraId="161996B4" w14:textId="77777777" w:rsidR="00375D92" w:rsidRDefault="00375D92">
      <w:pPr>
        <w:pStyle w:val="Body"/>
        <w:spacing w:line="360" w:lineRule="auto"/>
        <w:jc w:val="both"/>
        <w:rPr>
          <w:rFonts w:ascii="Times New Roman" w:eastAsia="Times New Roman" w:hAnsi="Times New Roman" w:cs="Times New Roman"/>
          <w:sz w:val="24"/>
          <w:szCs w:val="24"/>
        </w:rPr>
      </w:pPr>
    </w:p>
    <w:p w14:paraId="6EB72E3C" w14:textId="0AE29738" w:rsidR="00375D92" w:rsidRDefault="00000000">
      <w:pPr>
        <w:pStyle w:val="Body"/>
        <w:spacing w:line="360" w:lineRule="auto"/>
        <w:jc w:val="both"/>
        <w:rPr>
          <w:rFonts w:ascii="Times New Roman" w:eastAsia="Times New Roman" w:hAnsi="Times New Roman" w:cs="Times New Roman"/>
          <w:sz w:val="24"/>
          <w:szCs w:val="24"/>
        </w:rPr>
      </w:pPr>
      <w:r>
        <w:rPr>
          <w:rFonts w:ascii="Times New Roman" w:hAnsi="Times New Roman"/>
          <w:sz w:val="24"/>
          <w:szCs w:val="24"/>
        </w:rPr>
        <w:t xml:space="preserve">The court, in the case, was unwilling to accommodate as negligible an issue as that of delayed payments of stamp duty, which </w:t>
      </w:r>
      <w:r w:rsidR="00B60C4D">
        <w:rPr>
          <w:rFonts w:ascii="Times New Roman" w:hAnsi="Times New Roman"/>
          <w:sz w:val="24"/>
          <w:szCs w:val="24"/>
        </w:rPr>
        <w:t>portrays</w:t>
      </w:r>
      <w:r>
        <w:rPr>
          <w:rFonts w:ascii="Times New Roman" w:hAnsi="Times New Roman"/>
          <w:sz w:val="24"/>
          <w:szCs w:val="24"/>
        </w:rPr>
        <w:t xml:space="preserve"> the narrow interpretative angle of the statute adopted by the courts. Moreover, the basic purpose of a Stamp Duty Regulation is to raise revenue for the government, hence letting the party pay the extra duty along with the penalty shall be sufficient for the courts to serve this purpose. Non-admissibility of the document and preventing the parties from </w:t>
      </w:r>
      <w:r>
        <w:rPr>
          <w:rFonts w:ascii="Times New Roman" w:hAnsi="Times New Roman"/>
          <w:sz w:val="24"/>
          <w:szCs w:val="24"/>
        </w:rPr>
        <w:lastRenderedPageBreak/>
        <w:t>commencing arbitral proceedings is an overreach. This decision could further lead to an overall restricted approach, reducing the scope of all domestic, as well as international, arbitrations in the future.</w:t>
      </w:r>
    </w:p>
    <w:p w14:paraId="0475B281" w14:textId="77777777" w:rsidR="00375D92" w:rsidRDefault="00375D92">
      <w:pPr>
        <w:pStyle w:val="Body"/>
        <w:spacing w:line="360" w:lineRule="auto"/>
        <w:jc w:val="both"/>
        <w:rPr>
          <w:rFonts w:ascii="Times New Roman" w:eastAsia="Times New Roman" w:hAnsi="Times New Roman" w:cs="Times New Roman"/>
          <w:sz w:val="24"/>
          <w:szCs w:val="24"/>
        </w:rPr>
      </w:pPr>
    </w:p>
    <w:p w14:paraId="324DB856" w14:textId="77777777" w:rsidR="00375D92" w:rsidRDefault="00000000">
      <w:pPr>
        <w:pStyle w:val="Heading2"/>
        <w:rPr>
          <w:rFonts w:ascii="Times New Roman" w:eastAsia="Times New Roman" w:hAnsi="Times New Roman" w:cs="Times New Roman"/>
          <w:sz w:val="24"/>
          <w:szCs w:val="24"/>
        </w:rPr>
      </w:pPr>
      <w:r>
        <w:rPr>
          <w:rFonts w:ascii="Times New Roman" w:hAnsi="Times New Roman"/>
          <w:sz w:val="24"/>
          <w:szCs w:val="24"/>
        </w:rPr>
        <w:t>Lessons to Learn</w:t>
      </w:r>
    </w:p>
    <w:p w14:paraId="6AA57AEE" w14:textId="77777777" w:rsidR="00375D92" w:rsidRDefault="00000000">
      <w:pPr>
        <w:pStyle w:val="Body"/>
        <w:spacing w:line="360" w:lineRule="auto"/>
        <w:jc w:val="both"/>
        <w:rPr>
          <w:rFonts w:ascii="Times New Roman" w:eastAsia="Times New Roman" w:hAnsi="Times New Roman" w:cs="Times New Roman"/>
          <w:sz w:val="24"/>
          <w:szCs w:val="24"/>
        </w:rPr>
      </w:pPr>
      <w:r>
        <w:rPr>
          <w:rFonts w:ascii="Times New Roman" w:hAnsi="Times New Roman"/>
          <w:sz w:val="24"/>
          <w:szCs w:val="24"/>
        </w:rPr>
        <w:t xml:space="preserve">Keeping the Stamp Regulations aside, in a larger context, the laws in our country must adopt a wider outlook towards arbitration. A 2009 judgement- </w:t>
      </w:r>
      <w:r>
        <w:rPr>
          <w:rFonts w:ascii="Times New Roman" w:hAnsi="Times New Roman"/>
          <w:i/>
          <w:iCs/>
          <w:sz w:val="24"/>
          <w:szCs w:val="24"/>
          <w:lang w:val="nl-NL"/>
        </w:rPr>
        <w:t>N. Radhakrishnan v Maestro Engineers</w:t>
      </w:r>
      <w:r>
        <w:rPr>
          <w:rFonts w:ascii="Times New Roman" w:eastAsia="Times New Roman" w:hAnsi="Times New Roman" w:cs="Times New Roman"/>
          <w:sz w:val="24"/>
          <w:szCs w:val="24"/>
          <w:vertAlign w:val="superscript"/>
        </w:rPr>
        <w:footnoteReference w:id="20"/>
      </w:r>
      <w:r>
        <w:rPr>
          <w:rFonts w:ascii="Times New Roman" w:hAnsi="Times New Roman"/>
          <w:sz w:val="24"/>
          <w:szCs w:val="24"/>
        </w:rPr>
        <w:t xml:space="preserve">- the Supreme Court barred an arbitral proceeding due to allegations of fraud. The practice prevailing in international arbitration pertaining to fraud has been set by various tribunals, which allowed the allegations of fraud to be inserted in the dispute and arbitrated upon. The judgement </w:t>
      </w:r>
      <w:proofErr w:type="gramStart"/>
      <w:r>
        <w:rPr>
          <w:rFonts w:ascii="Times New Roman" w:hAnsi="Times New Roman"/>
          <w:sz w:val="24"/>
          <w:szCs w:val="24"/>
        </w:rPr>
        <w:t>was considered to be</w:t>
      </w:r>
      <w:proofErr w:type="gramEnd"/>
      <w:r>
        <w:rPr>
          <w:rFonts w:ascii="Times New Roman" w:hAnsi="Times New Roman"/>
          <w:sz w:val="24"/>
          <w:szCs w:val="24"/>
        </w:rPr>
        <w:t xml:space="preserve"> a serious setback, as it excluded allegation of fraud from the purview of arbitration cases. Although this judgement does not hold good anymore due to the judgement of A. </w:t>
      </w:r>
      <w:proofErr w:type="spellStart"/>
      <w:r>
        <w:rPr>
          <w:rFonts w:ascii="Times New Roman" w:hAnsi="Times New Roman"/>
          <w:sz w:val="24"/>
          <w:szCs w:val="24"/>
        </w:rPr>
        <w:t>Ayyasamy</w:t>
      </w:r>
      <w:proofErr w:type="spellEnd"/>
      <w:r>
        <w:rPr>
          <w:rFonts w:ascii="Times New Roman" w:hAnsi="Times New Roman"/>
          <w:sz w:val="24"/>
          <w:szCs w:val="24"/>
        </w:rPr>
        <w:t xml:space="preserve"> v. A. </w:t>
      </w:r>
      <w:proofErr w:type="spellStart"/>
      <w:r>
        <w:rPr>
          <w:rFonts w:ascii="Times New Roman" w:hAnsi="Times New Roman"/>
          <w:sz w:val="24"/>
          <w:szCs w:val="24"/>
        </w:rPr>
        <w:t>Paramasivam</w:t>
      </w:r>
      <w:proofErr w:type="spellEnd"/>
      <w:r>
        <w:rPr>
          <w:rFonts w:ascii="Times New Roman" w:eastAsia="Times New Roman" w:hAnsi="Times New Roman" w:cs="Times New Roman"/>
          <w:sz w:val="24"/>
          <w:szCs w:val="24"/>
          <w:vertAlign w:val="superscript"/>
        </w:rPr>
        <w:footnoteReference w:id="21"/>
      </w:r>
      <w:r>
        <w:rPr>
          <w:rFonts w:ascii="Times New Roman" w:hAnsi="Times New Roman"/>
          <w:sz w:val="24"/>
          <w:szCs w:val="24"/>
        </w:rPr>
        <w:t xml:space="preserve"> which permitted fraud to be an arbitrable dispute, it did not explicitly overrule the </w:t>
      </w:r>
      <w:r>
        <w:rPr>
          <w:rFonts w:ascii="Times New Roman" w:hAnsi="Times New Roman"/>
          <w:i/>
          <w:iCs/>
          <w:sz w:val="24"/>
          <w:szCs w:val="24"/>
        </w:rPr>
        <w:t>Radhakrishnan</w:t>
      </w:r>
      <w:r>
        <w:rPr>
          <w:rFonts w:ascii="Times New Roman" w:hAnsi="Times New Roman"/>
          <w:sz w:val="24"/>
          <w:szCs w:val="24"/>
        </w:rPr>
        <w:t xml:space="preserve"> judgement, leaving scope for anomalies to arise in the future. These judgements, coupled with the numerous ambiguous laws on arbitration in India, show a bleak future for arbitration in India. </w:t>
      </w:r>
    </w:p>
    <w:p w14:paraId="6969E56F" w14:textId="77777777" w:rsidR="00375D92" w:rsidRDefault="00375D92">
      <w:pPr>
        <w:pStyle w:val="Body"/>
        <w:spacing w:line="360" w:lineRule="auto"/>
        <w:jc w:val="both"/>
        <w:rPr>
          <w:rFonts w:ascii="Times New Roman" w:eastAsia="Times New Roman" w:hAnsi="Times New Roman" w:cs="Times New Roman"/>
          <w:sz w:val="24"/>
          <w:szCs w:val="24"/>
        </w:rPr>
      </w:pPr>
    </w:p>
    <w:p w14:paraId="1E93BF86" w14:textId="1A9ABF9B" w:rsidR="00375D92" w:rsidRDefault="00000000">
      <w:pPr>
        <w:pStyle w:val="Body"/>
        <w:spacing w:line="360" w:lineRule="auto"/>
        <w:jc w:val="both"/>
        <w:rPr>
          <w:rFonts w:ascii="Times New Roman" w:eastAsia="Times New Roman" w:hAnsi="Times New Roman" w:cs="Times New Roman"/>
          <w:sz w:val="24"/>
          <w:szCs w:val="24"/>
        </w:rPr>
      </w:pPr>
      <w:r>
        <w:rPr>
          <w:rFonts w:ascii="Times New Roman" w:hAnsi="Times New Roman"/>
          <w:sz w:val="24"/>
          <w:szCs w:val="24"/>
        </w:rPr>
        <w:t>Moreover, the international arbitral rules avoid any intervention with the national arbitral rules of any country and tend to give a constructive reading to both, in the event of any overlap. For example, Article V(1)(a) of the New York Convention states that recognition and enforcement of an award may be refused if the arbitration agreement "is not valid under the law to which the parties have subjected it or, failing any indication thereon, under the law of the country where the award was made”</w:t>
      </w:r>
      <w:r>
        <w:rPr>
          <w:rFonts w:ascii="Times New Roman" w:eastAsia="Times New Roman" w:hAnsi="Times New Roman" w:cs="Times New Roman"/>
          <w:sz w:val="24"/>
          <w:szCs w:val="24"/>
          <w:vertAlign w:val="superscript"/>
        </w:rPr>
        <w:footnoteReference w:id="22"/>
      </w:r>
      <w:r>
        <w:rPr>
          <w:rFonts w:ascii="Times New Roman" w:hAnsi="Times New Roman"/>
          <w:sz w:val="24"/>
          <w:szCs w:val="24"/>
        </w:rPr>
        <w:t xml:space="preserve">. Similar provisions have been given in the ICSID, </w:t>
      </w:r>
      <w:proofErr w:type="gramStart"/>
      <w:r>
        <w:rPr>
          <w:rFonts w:ascii="Times New Roman" w:hAnsi="Times New Roman"/>
          <w:sz w:val="24"/>
          <w:szCs w:val="24"/>
        </w:rPr>
        <w:t>ICC ,</w:t>
      </w:r>
      <w:proofErr w:type="gramEnd"/>
      <w:r>
        <w:rPr>
          <w:rFonts w:ascii="Times New Roman" w:hAnsi="Times New Roman"/>
          <w:sz w:val="24"/>
          <w:szCs w:val="24"/>
        </w:rPr>
        <w:t xml:space="preserve"> etc. regulations that aim to </w:t>
      </w:r>
      <w:proofErr w:type="spellStart"/>
      <w:r>
        <w:rPr>
          <w:rFonts w:ascii="Times New Roman" w:hAnsi="Times New Roman"/>
          <w:sz w:val="24"/>
          <w:szCs w:val="24"/>
        </w:rPr>
        <w:t>minimise</w:t>
      </w:r>
      <w:proofErr w:type="spellEnd"/>
      <w:r>
        <w:rPr>
          <w:rFonts w:ascii="Times New Roman" w:hAnsi="Times New Roman"/>
          <w:sz w:val="24"/>
          <w:szCs w:val="24"/>
        </w:rPr>
        <w:t xml:space="preserve"> judicial intervention and to conduct a smooth arbitral procedure. This initiative must be mirrored by the national laws as </w:t>
      </w:r>
      <w:proofErr w:type="gramStart"/>
      <w:r>
        <w:rPr>
          <w:rFonts w:ascii="Times New Roman" w:hAnsi="Times New Roman"/>
          <w:sz w:val="24"/>
          <w:szCs w:val="24"/>
        </w:rPr>
        <w:t>well,</w:t>
      </w:r>
      <w:proofErr w:type="gramEnd"/>
      <w:r>
        <w:rPr>
          <w:rFonts w:ascii="Times New Roman" w:hAnsi="Times New Roman"/>
          <w:sz w:val="24"/>
          <w:szCs w:val="24"/>
        </w:rPr>
        <w:t xml:space="preserve"> however, this </w:t>
      </w:r>
      <w:r>
        <w:rPr>
          <w:rFonts w:ascii="Times New Roman" w:hAnsi="Times New Roman"/>
          <w:i/>
          <w:iCs/>
          <w:sz w:val="24"/>
          <w:szCs w:val="24"/>
        </w:rPr>
        <w:t>N.N. Global Mercantile</w:t>
      </w:r>
      <w:r>
        <w:rPr>
          <w:rFonts w:ascii="Times New Roman" w:hAnsi="Times New Roman"/>
          <w:sz w:val="24"/>
          <w:szCs w:val="24"/>
        </w:rPr>
        <w:t xml:space="preserve"> judgement is a step in the opposite direction. The Indian laws must be in tandem with the international practice of arbitration, and must bridge the gap between the national and international arbitration fields. Courts of most other countries engaged in arbitration also encourage taking an accommodative and well-balanced stance towards such disputes, </w:t>
      </w:r>
      <w:r w:rsidR="00545C98">
        <w:rPr>
          <w:rFonts w:ascii="Times New Roman" w:hAnsi="Times New Roman"/>
          <w:sz w:val="24"/>
          <w:szCs w:val="24"/>
        </w:rPr>
        <w:t>making India less preferable as a seat of arbitration</w:t>
      </w:r>
      <w:r w:rsidR="00851962">
        <w:rPr>
          <w:rFonts w:ascii="Times New Roman" w:hAnsi="Times New Roman"/>
          <w:sz w:val="24"/>
          <w:szCs w:val="24"/>
        </w:rPr>
        <w:t>.</w:t>
      </w:r>
    </w:p>
    <w:p w14:paraId="2527363F" w14:textId="77777777" w:rsidR="00375D92" w:rsidRDefault="00375D92">
      <w:pPr>
        <w:pStyle w:val="Body"/>
        <w:spacing w:line="360" w:lineRule="auto"/>
        <w:jc w:val="both"/>
        <w:rPr>
          <w:rFonts w:ascii="Times New Roman" w:eastAsia="Times New Roman" w:hAnsi="Times New Roman" w:cs="Times New Roman"/>
          <w:sz w:val="24"/>
          <w:szCs w:val="24"/>
        </w:rPr>
      </w:pPr>
    </w:p>
    <w:p w14:paraId="6C58DC0F" w14:textId="77777777" w:rsidR="00375D92" w:rsidRDefault="00000000">
      <w:pPr>
        <w:pStyle w:val="Body"/>
        <w:spacing w:line="360" w:lineRule="auto"/>
        <w:jc w:val="both"/>
      </w:pPr>
      <w:r>
        <w:rPr>
          <w:rFonts w:ascii="Times New Roman" w:hAnsi="Times New Roman"/>
          <w:sz w:val="24"/>
          <w:szCs w:val="24"/>
        </w:rPr>
        <w:t xml:space="preserve">This was a transcending step taken by the judiciary, in a dispute that ought to have been arbitrated according to the wishes of and consensus between the parties, as can be inferred from the agreement </w:t>
      </w:r>
      <w:r>
        <w:rPr>
          <w:rFonts w:ascii="Times New Roman" w:hAnsi="Times New Roman"/>
          <w:sz w:val="24"/>
          <w:szCs w:val="24"/>
        </w:rPr>
        <w:lastRenderedPageBreak/>
        <w:t xml:space="preserve">to arbitrate signed by both the parties. It is generally understood that when two parties, especially bound by commercial ties, wish to resolve their disputes through arbitration and expressly agree upon the same, it is </w:t>
      </w:r>
      <w:proofErr w:type="gramStart"/>
      <w:r>
        <w:rPr>
          <w:rFonts w:ascii="Times New Roman" w:hAnsi="Times New Roman"/>
          <w:sz w:val="24"/>
          <w:szCs w:val="24"/>
        </w:rPr>
        <w:t>in an attempt to</w:t>
      </w:r>
      <w:proofErr w:type="gramEnd"/>
      <w:r>
        <w:rPr>
          <w:rFonts w:ascii="Times New Roman" w:hAnsi="Times New Roman"/>
          <w:sz w:val="24"/>
          <w:szCs w:val="24"/>
        </w:rPr>
        <w:t xml:space="preserve"> avoid the arduous, lengthy and resource squeezing route by taking these to court. It is highly expected for arbitration to replace business litigation to a great extent. Hence, when contracting parties approach the courts in order to enforce this arbitration agreement, unless there exists a serious deviation or any such bar to arbitrate, the parties must be given a green light to proceed as they wish.</w:t>
      </w:r>
    </w:p>
    <w:sectPr w:rsidR="00375D92">
      <w:headerReference w:type="default" r:id="rId6"/>
      <w:footerReference w:type="default" r:id="rId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776F24" w14:textId="77777777" w:rsidR="00C34BF9" w:rsidRDefault="00C34BF9">
      <w:r>
        <w:separator/>
      </w:r>
    </w:p>
  </w:endnote>
  <w:endnote w:type="continuationSeparator" w:id="0">
    <w:p w14:paraId="19594615" w14:textId="77777777" w:rsidR="00C34BF9" w:rsidRDefault="00C34B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Times Roman">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F507EA" w14:textId="77777777" w:rsidR="00375D92" w:rsidRDefault="00375D9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29D8D7" w14:textId="77777777" w:rsidR="00C34BF9" w:rsidRDefault="00C34BF9">
      <w:r>
        <w:separator/>
      </w:r>
    </w:p>
  </w:footnote>
  <w:footnote w:type="continuationSeparator" w:id="0">
    <w:p w14:paraId="2826BD90" w14:textId="77777777" w:rsidR="00C34BF9" w:rsidRDefault="00C34BF9">
      <w:r>
        <w:continuationSeparator/>
      </w:r>
    </w:p>
  </w:footnote>
  <w:footnote w:type="continuationNotice" w:id="1">
    <w:p w14:paraId="32C2A889" w14:textId="77777777" w:rsidR="00C34BF9" w:rsidRDefault="00C34BF9"/>
  </w:footnote>
  <w:footnote w:id="2">
    <w:p w14:paraId="5193D99E" w14:textId="26074E4A" w:rsidR="00375D92" w:rsidRDefault="00000000">
      <w:pPr>
        <w:pStyle w:val="Footnote"/>
      </w:pPr>
      <w:r>
        <w:rPr>
          <w:rFonts w:ascii="Times New Roman" w:eastAsia="Times New Roman" w:hAnsi="Times New Roman" w:cs="Times New Roman"/>
          <w:vertAlign w:val="superscript"/>
        </w:rPr>
        <w:footnoteRef/>
      </w:r>
      <w:r>
        <w:rPr>
          <w:rFonts w:ascii="Times New Roman" w:hAnsi="Times New Roman"/>
          <w:lang w:val="en-US"/>
        </w:rPr>
        <w:t xml:space="preserve"> </w:t>
      </w:r>
      <w:proofErr w:type="spellStart"/>
      <w:r w:rsidR="00FC4F2B">
        <w:rPr>
          <w:rFonts w:ascii="Times New Roman" w:hAnsi="Times New Roman"/>
          <w:lang w:val="en-US"/>
        </w:rPr>
        <w:t>Shubhrotosh</w:t>
      </w:r>
      <w:proofErr w:type="spellEnd"/>
      <w:r w:rsidR="00FC4F2B">
        <w:rPr>
          <w:rFonts w:ascii="Times New Roman" w:hAnsi="Times New Roman"/>
          <w:lang w:val="en-US"/>
        </w:rPr>
        <w:t xml:space="preserve"> Banerjee, </w:t>
      </w:r>
      <w:r w:rsidR="00FC4F2B" w:rsidRPr="00FC4F2B">
        <w:rPr>
          <w:rFonts w:ascii="Times New Roman" w:hAnsi="Times New Roman"/>
          <w:i/>
          <w:iCs/>
          <w:lang w:val="en-US"/>
        </w:rPr>
        <w:t xml:space="preserve">Understanding the </w:t>
      </w:r>
      <w:proofErr w:type="spellStart"/>
      <w:r w:rsidR="00FC4F2B" w:rsidRPr="00FC4F2B">
        <w:rPr>
          <w:rFonts w:ascii="Times New Roman" w:hAnsi="Times New Roman"/>
          <w:i/>
          <w:iCs/>
          <w:lang w:val="en-US"/>
        </w:rPr>
        <w:t>Komepetenz-Kompetenz</w:t>
      </w:r>
      <w:proofErr w:type="spellEnd"/>
      <w:r w:rsidR="00FC4F2B" w:rsidRPr="00FC4F2B">
        <w:rPr>
          <w:rFonts w:ascii="Times New Roman" w:hAnsi="Times New Roman"/>
          <w:i/>
          <w:iCs/>
          <w:lang w:val="en-US"/>
        </w:rPr>
        <w:t xml:space="preserve"> Principle</w:t>
      </w:r>
      <w:r w:rsidR="00FC4F2B">
        <w:rPr>
          <w:rFonts w:ascii="Times New Roman" w:hAnsi="Times New Roman"/>
          <w:lang w:val="en-US"/>
        </w:rPr>
        <w:t>, MONDAQ (Feb. 16, 2022)</w:t>
      </w:r>
      <w:r w:rsidR="0047497B">
        <w:rPr>
          <w:rFonts w:ascii="Times New Roman" w:hAnsi="Times New Roman"/>
          <w:lang w:val="en-US"/>
        </w:rPr>
        <w:t>,</w:t>
      </w:r>
      <w:r w:rsidR="00FC4F2B">
        <w:rPr>
          <w:rFonts w:ascii="Times New Roman" w:hAnsi="Times New Roman"/>
          <w:lang w:val="en-US"/>
        </w:rPr>
        <w:t xml:space="preserve"> https://www.mondaq.com/india/arbitration--dispute-resolution/1162214/understanding-the-kompetenz-kompetenz-principle</w:t>
      </w:r>
    </w:p>
  </w:footnote>
  <w:footnote w:id="3">
    <w:p w14:paraId="301054E5" w14:textId="77777777" w:rsidR="00375D92" w:rsidRDefault="00000000">
      <w:pPr>
        <w:pStyle w:val="Footnote"/>
      </w:pPr>
      <w:r>
        <w:rPr>
          <w:rFonts w:ascii="Times New Roman" w:eastAsia="Times New Roman" w:hAnsi="Times New Roman" w:cs="Times New Roman"/>
          <w:vertAlign w:val="superscript"/>
        </w:rPr>
        <w:footnoteRef/>
      </w:r>
      <w:r>
        <w:rPr>
          <w:rFonts w:ascii="Times New Roman" w:hAnsi="Times New Roman"/>
        </w:rPr>
        <w:t xml:space="preserve"> </w:t>
      </w:r>
      <w:r>
        <w:rPr>
          <w:rFonts w:ascii="Times New Roman" w:hAnsi="Times New Roman"/>
          <w:i/>
          <w:iCs/>
          <w:lang w:val="pt-PT"/>
        </w:rPr>
        <w:t>Duro Felguera, S.A. v. Gangavaram Port Ltd.</w:t>
      </w:r>
      <w:r>
        <w:rPr>
          <w:rFonts w:ascii="Times New Roman" w:hAnsi="Times New Roman"/>
        </w:rPr>
        <w:t>, (2017) 9 SCC 729</w:t>
      </w:r>
    </w:p>
  </w:footnote>
  <w:footnote w:id="4">
    <w:p w14:paraId="7D95AE81" w14:textId="77777777" w:rsidR="00375D92" w:rsidRDefault="00000000">
      <w:pPr>
        <w:pStyle w:val="Footnote"/>
      </w:pPr>
      <w:r>
        <w:rPr>
          <w:rFonts w:ascii="Times New Roman" w:eastAsia="Times New Roman" w:hAnsi="Times New Roman" w:cs="Times New Roman"/>
          <w:vertAlign w:val="superscript"/>
        </w:rPr>
        <w:footnoteRef/>
      </w:r>
      <w:r>
        <w:rPr>
          <w:rFonts w:ascii="Times New Roman" w:hAnsi="Times New Roman"/>
        </w:rPr>
        <w:t xml:space="preserve"> </w:t>
      </w:r>
      <w:r>
        <w:rPr>
          <w:rFonts w:ascii="Times New Roman" w:hAnsi="Times New Roman"/>
          <w:lang w:val="en-US"/>
        </w:rPr>
        <w:t xml:space="preserve">Maharashtra </w:t>
      </w:r>
      <w:r w:rsidR="00A023BF">
        <w:rPr>
          <w:rFonts w:ascii="Times New Roman" w:hAnsi="Times New Roman"/>
          <w:lang w:val="en-US"/>
        </w:rPr>
        <w:t>S</w:t>
      </w:r>
      <w:r>
        <w:rPr>
          <w:rFonts w:ascii="Times New Roman" w:hAnsi="Times New Roman"/>
          <w:lang w:val="en-US"/>
        </w:rPr>
        <w:t xml:space="preserve">tamp </w:t>
      </w:r>
      <w:r w:rsidR="00A023BF">
        <w:rPr>
          <w:rFonts w:ascii="Times New Roman" w:hAnsi="Times New Roman"/>
          <w:lang w:val="en-US"/>
        </w:rPr>
        <w:t>A</w:t>
      </w:r>
      <w:r>
        <w:rPr>
          <w:rFonts w:ascii="Times New Roman" w:hAnsi="Times New Roman"/>
          <w:lang w:val="en-US"/>
        </w:rPr>
        <w:t>ct</w:t>
      </w:r>
      <w:r w:rsidR="00A023BF">
        <w:rPr>
          <w:rFonts w:ascii="Times New Roman" w:hAnsi="Times New Roman"/>
          <w:lang w:val="en-US"/>
        </w:rPr>
        <w:t>,1958, No. 60, Ministry of Govt. of Maharashtra (1958)</w:t>
      </w:r>
    </w:p>
  </w:footnote>
  <w:footnote w:id="5">
    <w:p w14:paraId="7254787B" w14:textId="77777777" w:rsidR="00375D92" w:rsidRDefault="00000000">
      <w:pPr>
        <w:pStyle w:val="Footnote"/>
      </w:pPr>
      <w:r>
        <w:rPr>
          <w:rFonts w:ascii="Times New Roman" w:eastAsia="Times New Roman" w:hAnsi="Times New Roman" w:cs="Times New Roman"/>
          <w:vertAlign w:val="superscript"/>
        </w:rPr>
        <w:footnoteRef/>
      </w:r>
      <w:r>
        <w:rPr>
          <w:rFonts w:ascii="Times New Roman" w:hAnsi="Times New Roman"/>
          <w:lang w:val="nl-NL"/>
        </w:rPr>
        <w:t xml:space="preserve"> </w:t>
      </w:r>
      <w:r w:rsidR="00A023BF" w:rsidRPr="00A023BF">
        <w:rPr>
          <w:rFonts w:ascii="Times New Roman" w:hAnsi="Times New Roman"/>
          <w:i/>
          <w:iCs/>
          <w:lang w:val="nl-NL"/>
        </w:rPr>
        <w:t>ibid</w:t>
      </w:r>
    </w:p>
  </w:footnote>
  <w:footnote w:id="6">
    <w:p w14:paraId="2D9EFCFF" w14:textId="77777777" w:rsidR="00375D92" w:rsidRDefault="00000000">
      <w:pPr>
        <w:pStyle w:val="Footnote"/>
      </w:pPr>
      <w:r>
        <w:rPr>
          <w:rFonts w:ascii="Times New Roman" w:eastAsia="Times New Roman" w:hAnsi="Times New Roman" w:cs="Times New Roman"/>
          <w:vertAlign w:val="superscript"/>
        </w:rPr>
        <w:footnoteRef/>
      </w:r>
      <w:r>
        <w:rPr>
          <w:rFonts w:ascii="Times New Roman" w:hAnsi="Times New Roman"/>
        </w:rPr>
        <w:t xml:space="preserve"> </w:t>
      </w:r>
      <w:r>
        <w:rPr>
          <w:rFonts w:ascii="Times New Roman" w:hAnsi="Times New Roman"/>
          <w:i/>
          <w:iCs/>
        </w:rPr>
        <w:t xml:space="preserve">Vidya </w:t>
      </w:r>
      <w:proofErr w:type="spellStart"/>
      <w:r>
        <w:rPr>
          <w:rFonts w:ascii="Times New Roman" w:hAnsi="Times New Roman"/>
          <w:i/>
          <w:iCs/>
        </w:rPr>
        <w:t>Drolia</w:t>
      </w:r>
      <w:proofErr w:type="spellEnd"/>
      <w:r>
        <w:rPr>
          <w:rFonts w:ascii="Times New Roman" w:hAnsi="Times New Roman"/>
          <w:i/>
          <w:iCs/>
        </w:rPr>
        <w:t xml:space="preserve"> v. Durga Trading </w:t>
      </w:r>
      <w:proofErr w:type="spellStart"/>
      <w:r>
        <w:rPr>
          <w:rFonts w:ascii="Times New Roman" w:hAnsi="Times New Roman"/>
          <w:i/>
          <w:iCs/>
        </w:rPr>
        <w:t>Corpn</w:t>
      </w:r>
      <w:proofErr w:type="spellEnd"/>
      <w:r>
        <w:rPr>
          <w:rFonts w:ascii="Times New Roman" w:hAnsi="Times New Roman"/>
          <w:i/>
          <w:iCs/>
        </w:rPr>
        <w:t>.,</w:t>
      </w:r>
      <w:r>
        <w:rPr>
          <w:rFonts w:ascii="Times New Roman" w:hAnsi="Times New Roman"/>
        </w:rPr>
        <w:t xml:space="preserve"> (2021) 2 SCC 1</w:t>
      </w:r>
    </w:p>
  </w:footnote>
  <w:footnote w:id="7">
    <w:p w14:paraId="475C9548" w14:textId="77777777" w:rsidR="00375D92" w:rsidRDefault="00000000">
      <w:pPr>
        <w:pStyle w:val="Footnote"/>
      </w:pPr>
      <w:r>
        <w:rPr>
          <w:rFonts w:ascii="Times New Roman" w:eastAsia="Times New Roman" w:hAnsi="Times New Roman" w:cs="Times New Roman"/>
          <w:vertAlign w:val="superscript"/>
        </w:rPr>
        <w:footnoteRef/>
      </w:r>
      <w:r>
        <w:rPr>
          <w:rFonts w:ascii="Times New Roman" w:hAnsi="Times New Roman"/>
        </w:rPr>
        <w:t xml:space="preserve"> </w:t>
      </w:r>
      <w:r>
        <w:rPr>
          <w:rFonts w:ascii="Times New Roman" w:hAnsi="Times New Roman"/>
          <w:lang w:val="en-US"/>
        </w:rPr>
        <w:t xml:space="preserve">ALAN REDFER, et. al., </w:t>
      </w:r>
      <w:proofErr w:type="gramStart"/>
      <w:r>
        <w:rPr>
          <w:rFonts w:ascii="Times Roman" w:hAnsi="Times Roman"/>
          <w:lang w:val="en-US"/>
        </w:rPr>
        <w:t>REDFERN</w:t>
      </w:r>
      <w:proofErr w:type="gramEnd"/>
      <w:r>
        <w:rPr>
          <w:rFonts w:ascii="Times Roman" w:hAnsi="Times Roman"/>
          <w:lang w:val="en-US"/>
        </w:rPr>
        <w:t xml:space="preserve"> AND HUNTER 65-67 (6th ed. 2015)</w:t>
      </w:r>
    </w:p>
  </w:footnote>
  <w:footnote w:id="8">
    <w:p w14:paraId="45D7D268" w14:textId="77777777" w:rsidR="00375D92" w:rsidRDefault="00000000">
      <w:pPr>
        <w:pStyle w:val="Footnote"/>
      </w:pPr>
      <w:r>
        <w:rPr>
          <w:rFonts w:ascii="Times New Roman" w:eastAsia="Times New Roman" w:hAnsi="Times New Roman" w:cs="Times New Roman"/>
          <w:vertAlign w:val="superscript"/>
        </w:rPr>
        <w:footnoteRef/>
      </w:r>
      <w:r>
        <w:rPr>
          <w:rFonts w:ascii="Times New Roman" w:hAnsi="Times New Roman"/>
        </w:rPr>
        <w:t xml:space="preserve"> </w:t>
      </w:r>
      <w:r>
        <w:rPr>
          <w:rFonts w:ascii="Times New Roman" w:hAnsi="Times New Roman"/>
          <w:i/>
          <w:iCs/>
          <w:lang w:val="it-IT"/>
        </w:rPr>
        <w:t>Gossett v. Carapelli, Cour de Cassation</w:t>
      </w:r>
      <w:r>
        <w:rPr>
          <w:rFonts w:ascii="Times New Roman" w:hAnsi="Times New Roman"/>
          <w:lang w:val="pt-PT"/>
        </w:rPr>
        <w:t>, May 7,1963, [1963] Dalloz 545</w:t>
      </w:r>
    </w:p>
  </w:footnote>
  <w:footnote w:id="9">
    <w:p w14:paraId="03AFC52A" w14:textId="77777777" w:rsidR="00375D92" w:rsidRDefault="00000000">
      <w:pPr>
        <w:pStyle w:val="Footnote"/>
      </w:pPr>
      <w:r>
        <w:rPr>
          <w:rFonts w:ascii="Times New Roman" w:eastAsia="Times New Roman" w:hAnsi="Times New Roman" w:cs="Times New Roman"/>
          <w:vertAlign w:val="superscript"/>
        </w:rPr>
        <w:footnoteRef/>
      </w:r>
      <w:r>
        <w:rPr>
          <w:rFonts w:ascii="Times New Roman" w:hAnsi="Times New Roman"/>
        </w:rPr>
        <w:t xml:space="preserve"> </w:t>
      </w:r>
      <w:r>
        <w:rPr>
          <w:rFonts w:ascii="Times New Roman" w:hAnsi="Times New Roman"/>
          <w:i/>
          <w:iCs/>
          <w:lang w:val="en-US"/>
        </w:rPr>
        <w:t>ibid</w:t>
      </w:r>
      <w:r>
        <w:rPr>
          <w:rFonts w:ascii="Times New Roman" w:hAnsi="Times New Roman"/>
          <w:lang w:val="en-US"/>
        </w:rPr>
        <w:t xml:space="preserve"> </w:t>
      </w:r>
    </w:p>
  </w:footnote>
  <w:footnote w:id="10">
    <w:p w14:paraId="092B8685" w14:textId="77777777" w:rsidR="00375D92" w:rsidRDefault="00000000">
      <w:pPr>
        <w:pStyle w:val="Footnote"/>
      </w:pPr>
      <w:r>
        <w:rPr>
          <w:rFonts w:ascii="Times New Roman" w:eastAsia="Times New Roman" w:hAnsi="Times New Roman" w:cs="Times New Roman"/>
          <w:vertAlign w:val="superscript"/>
        </w:rPr>
        <w:footnoteRef/>
      </w:r>
      <w:r>
        <w:rPr>
          <w:rFonts w:ascii="Times New Roman" w:hAnsi="Times New Roman"/>
        </w:rPr>
        <w:t xml:space="preserve"> </w:t>
      </w:r>
      <w:r>
        <w:rPr>
          <w:rFonts w:ascii="Times New Roman" w:hAnsi="Times New Roman"/>
          <w:i/>
          <w:iCs/>
          <w:lang w:val="it-IT"/>
        </w:rPr>
        <w:t>Prima</w:t>
      </w:r>
      <w:r>
        <w:rPr>
          <w:rFonts w:ascii="Times New Roman" w:hAnsi="Times New Roman"/>
          <w:i/>
          <w:iCs/>
          <w:lang w:val="en-US"/>
        </w:rPr>
        <w:t xml:space="preserve"> </w:t>
      </w:r>
      <w:r>
        <w:rPr>
          <w:rFonts w:ascii="Times New Roman" w:hAnsi="Times New Roman"/>
          <w:i/>
          <w:iCs/>
        </w:rPr>
        <w:t>Paint</w:t>
      </w:r>
      <w:r>
        <w:rPr>
          <w:rFonts w:ascii="Times New Roman" w:hAnsi="Times New Roman"/>
          <w:i/>
          <w:iCs/>
          <w:lang w:val="en-US"/>
        </w:rPr>
        <w:t xml:space="preserve"> </w:t>
      </w:r>
      <w:r>
        <w:rPr>
          <w:rFonts w:ascii="Times New Roman" w:hAnsi="Times New Roman"/>
          <w:i/>
          <w:iCs/>
          <w:lang w:val="it-IT"/>
        </w:rPr>
        <w:t>Co.</w:t>
      </w:r>
      <w:r>
        <w:rPr>
          <w:rFonts w:ascii="Times New Roman" w:hAnsi="Times New Roman"/>
          <w:i/>
          <w:iCs/>
          <w:lang w:val="en-US"/>
        </w:rPr>
        <w:t xml:space="preserve"> </w:t>
      </w:r>
      <w:r>
        <w:rPr>
          <w:rFonts w:ascii="Times New Roman" w:hAnsi="Times New Roman"/>
          <w:i/>
          <w:iCs/>
        </w:rPr>
        <w:t>v</w:t>
      </w:r>
      <w:r>
        <w:rPr>
          <w:rFonts w:ascii="Times New Roman" w:hAnsi="Times New Roman"/>
          <w:i/>
          <w:iCs/>
          <w:lang w:val="en-US"/>
        </w:rPr>
        <w:t xml:space="preserve"> Flood </w:t>
      </w:r>
      <w:r>
        <w:rPr>
          <w:rFonts w:ascii="Times New Roman" w:hAnsi="Times New Roman"/>
          <w:i/>
          <w:iCs/>
        </w:rPr>
        <w:t>Conklin</w:t>
      </w:r>
      <w:r>
        <w:rPr>
          <w:rFonts w:ascii="Times New Roman" w:hAnsi="Times New Roman"/>
          <w:i/>
          <w:iCs/>
          <w:lang w:val="en-US"/>
        </w:rPr>
        <w:t xml:space="preserve"> Manufacturing Corporation</w:t>
      </w:r>
      <w:r>
        <w:rPr>
          <w:rFonts w:ascii="Times New Roman" w:hAnsi="Times New Roman"/>
          <w:lang w:val="en-US"/>
        </w:rPr>
        <w:t xml:space="preserve"> </w:t>
      </w:r>
      <w:r>
        <w:rPr>
          <w:rFonts w:ascii="Times New Roman" w:hAnsi="Times New Roman"/>
        </w:rPr>
        <w:t>388 U.S. 395</w:t>
      </w:r>
      <w:r>
        <w:rPr>
          <w:rFonts w:ascii="Times New Roman" w:hAnsi="Times New Roman"/>
          <w:lang w:val="en-US"/>
        </w:rPr>
        <w:t xml:space="preserve"> </w:t>
      </w:r>
      <w:r>
        <w:rPr>
          <w:rFonts w:ascii="Times New Roman" w:hAnsi="Times New Roman"/>
        </w:rPr>
        <w:t xml:space="preserve">(1967) </w:t>
      </w:r>
    </w:p>
  </w:footnote>
  <w:footnote w:id="11">
    <w:p w14:paraId="65D460E0" w14:textId="77777777" w:rsidR="00375D92" w:rsidRDefault="00000000">
      <w:pPr>
        <w:pStyle w:val="Footnote"/>
      </w:pPr>
      <w:r>
        <w:rPr>
          <w:rFonts w:ascii="Times New Roman" w:eastAsia="Times New Roman" w:hAnsi="Times New Roman" w:cs="Times New Roman"/>
          <w:vertAlign w:val="superscript"/>
        </w:rPr>
        <w:footnoteRef/>
      </w:r>
      <w:r>
        <w:rPr>
          <w:rFonts w:ascii="Times New Roman" w:hAnsi="Times New Roman"/>
        </w:rPr>
        <w:t xml:space="preserve"> </w:t>
      </w:r>
      <w:r>
        <w:rPr>
          <w:rFonts w:ascii="Times New Roman" w:hAnsi="Times New Roman"/>
          <w:i/>
          <w:iCs/>
          <w:lang w:val="en-US"/>
        </w:rPr>
        <w:t xml:space="preserve">Fiona Trust &amp; Holding Corp v </w:t>
      </w:r>
      <w:proofErr w:type="spellStart"/>
      <w:r>
        <w:rPr>
          <w:rFonts w:ascii="Times New Roman" w:hAnsi="Times New Roman"/>
          <w:i/>
          <w:iCs/>
          <w:lang w:val="en-US"/>
        </w:rPr>
        <w:t>Privalov</w:t>
      </w:r>
      <w:proofErr w:type="spellEnd"/>
      <w:r>
        <w:rPr>
          <w:rFonts w:ascii="Times New Roman" w:hAnsi="Times New Roman"/>
          <w:lang w:val="en-US"/>
        </w:rPr>
        <w:t xml:space="preserve"> [2007] CILL 2528</w:t>
      </w:r>
    </w:p>
  </w:footnote>
  <w:footnote w:id="12">
    <w:p w14:paraId="1F9552EF" w14:textId="77777777" w:rsidR="00375D92" w:rsidRDefault="00000000">
      <w:pPr>
        <w:pStyle w:val="Footnote"/>
      </w:pPr>
      <w:r>
        <w:rPr>
          <w:rFonts w:ascii="Times New Roman" w:eastAsia="Times New Roman" w:hAnsi="Times New Roman" w:cs="Times New Roman"/>
          <w:vertAlign w:val="superscript"/>
        </w:rPr>
        <w:footnoteRef/>
      </w:r>
      <w:r>
        <w:rPr>
          <w:rFonts w:ascii="Times New Roman" w:hAnsi="Times New Roman"/>
          <w:lang w:val="en-US"/>
        </w:rPr>
        <w:t xml:space="preserve"> The Arbitration and Conciliation (Amendment) Act, 2015, No. 26, Acts of Parliament (2015)</w:t>
      </w:r>
    </w:p>
  </w:footnote>
  <w:footnote w:id="13">
    <w:p w14:paraId="3E9B6155" w14:textId="77777777" w:rsidR="00375D92" w:rsidRDefault="00000000">
      <w:pPr>
        <w:pStyle w:val="Footnote"/>
      </w:pPr>
      <w:r>
        <w:rPr>
          <w:rFonts w:ascii="Times New Roman" w:eastAsia="Times New Roman" w:hAnsi="Times New Roman" w:cs="Times New Roman"/>
          <w:vertAlign w:val="superscript"/>
        </w:rPr>
        <w:footnoteRef/>
      </w:r>
      <w:r>
        <w:rPr>
          <w:rFonts w:ascii="Times New Roman" w:hAnsi="Times New Roman"/>
        </w:rPr>
        <w:t xml:space="preserve"> </w:t>
      </w:r>
      <w:r>
        <w:rPr>
          <w:rFonts w:ascii="Times New Roman" w:hAnsi="Times New Roman"/>
          <w:i/>
          <w:iCs/>
          <w:lang w:val="en-US"/>
        </w:rPr>
        <w:t>Reva Electric Car Co. (P) Ltd. v. Green Mobil</w:t>
      </w:r>
      <w:r>
        <w:rPr>
          <w:rFonts w:ascii="Times New Roman" w:hAnsi="Times New Roman"/>
        </w:rPr>
        <w:t>, (2012) 2 SCC 93</w:t>
      </w:r>
    </w:p>
  </w:footnote>
  <w:footnote w:id="14">
    <w:p w14:paraId="69F1D0CB" w14:textId="77777777" w:rsidR="00375D92" w:rsidRDefault="00000000">
      <w:pPr>
        <w:pStyle w:val="Footnote"/>
      </w:pPr>
      <w:r>
        <w:rPr>
          <w:rFonts w:ascii="Times New Roman" w:eastAsia="Times New Roman" w:hAnsi="Times New Roman" w:cs="Times New Roman"/>
          <w:vertAlign w:val="superscript"/>
        </w:rPr>
        <w:footnoteRef/>
      </w:r>
      <w:r>
        <w:rPr>
          <w:rFonts w:ascii="Times New Roman" w:hAnsi="Times New Roman"/>
        </w:rPr>
        <w:t xml:space="preserve"> </w:t>
      </w:r>
      <w:r>
        <w:rPr>
          <w:rFonts w:ascii="Times New Roman" w:hAnsi="Times New Roman"/>
          <w:i/>
          <w:iCs/>
          <w:lang w:val="en-US"/>
        </w:rPr>
        <w:t>Today Homes &amp; Infrastructure (P) Ltd. v. Ludhiana Improvement Trust,</w:t>
      </w:r>
      <w:r>
        <w:rPr>
          <w:rFonts w:ascii="Times New Roman" w:hAnsi="Times New Roman"/>
        </w:rPr>
        <w:t xml:space="preserve"> (2014) 5 SCC 68</w:t>
      </w:r>
    </w:p>
  </w:footnote>
  <w:footnote w:id="15">
    <w:p w14:paraId="7CE3F08E" w14:textId="77777777" w:rsidR="00375D92" w:rsidRDefault="00000000">
      <w:pPr>
        <w:pStyle w:val="Footnote"/>
      </w:pPr>
      <w:r>
        <w:rPr>
          <w:rFonts w:ascii="Times New Roman" w:eastAsia="Times New Roman" w:hAnsi="Times New Roman" w:cs="Times New Roman"/>
          <w:vertAlign w:val="superscript"/>
        </w:rPr>
        <w:footnoteRef/>
      </w:r>
      <w:r>
        <w:rPr>
          <w:rFonts w:ascii="Times New Roman" w:hAnsi="Times New Roman"/>
        </w:rPr>
        <w:t xml:space="preserve"> </w:t>
      </w:r>
      <w:proofErr w:type="spellStart"/>
      <w:r>
        <w:rPr>
          <w:rFonts w:ascii="Times New Roman" w:hAnsi="Times New Roman"/>
          <w:i/>
          <w:iCs/>
          <w:lang w:val="en-US"/>
        </w:rPr>
        <w:t>Garware</w:t>
      </w:r>
      <w:proofErr w:type="spellEnd"/>
      <w:r>
        <w:rPr>
          <w:rFonts w:ascii="Times New Roman" w:hAnsi="Times New Roman"/>
          <w:i/>
          <w:iCs/>
          <w:lang w:val="en-US"/>
        </w:rPr>
        <w:t xml:space="preserve"> Wall Ropes Ltd. v. Coastal Marine Constructions &amp; </w:t>
      </w:r>
      <w:proofErr w:type="spellStart"/>
      <w:r>
        <w:rPr>
          <w:rFonts w:ascii="Times New Roman" w:hAnsi="Times New Roman"/>
          <w:i/>
          <w:iCs/>
          <w:lang w:val="en-US"/>
        </w:rPr>
        <w:t>Engg</w:t>
      </w:r>
      <w:proofErr w:type="spellEnd"/>
      <w:r>
        <w:rPr>
          <w:rFonts w:ascii="Times New Roman" w:hAnsi="Times New Roman"/>
          <w:i/>
          <w:iCs/>
          <w:lang w:val="en-US"/>
        </w:rPr>
        <w:t>. Ltd.</w:t>
      </w:r>
      <w:r>
        <w:rPr>
          <w:rFonts w:ascii="Times New Roman" w:hAnsi="Times New Roman"/>
        </w:rPr>
        <w:t>, (2019) 9 SCC 209</w:t>
      </w:r>
    </w:p>
  </w:footnote>
  <w:footnote w:id="16">
    <w:p w14:paraId="4F907E9B" w14:textId="77777777" w:rsidR="00375D92" w:rsidRDefault="00000000">
      <w:pPr>
        <w:pStyle w:val="Footnote"/>
      </w:pPr>
      <w:r>
        <w:rPr>
          <w:rFonts w:ascii="Times New Roman" w:eastAsia="Times New Roman" w:hAnsi="Times New Roman" w:cs="Times New Roman"/>
          <w:vertAlign w:val="superscript"/>
        </w:rPr>
        <w:footnoteRef/>
      </w:r>
      <w:r>
        <w:rPr>
          <w:rFonts w:ascii="Times New Roman" w:hAnsi="Times New Roman"/>
        </w:rPr>
        <w:t xml:space="preserve"> </w:t>
      </w:r>
      <w:r>
        <w:rPr>
          <w:rFonts w:ascii="Times New Roman" w:hAnsi="Times New Roman"/>
          <w:i/>
          <w:iCs/>
          <w:lang w:val="it-IT"/>
        </w:rPr>
        <w:t>SMS Tea Estates (P) Ltd. v. Chandmari Tea Co. (P) Ltd.</w:t>
      </w:r>
      <w:r>
        <w:rPr>
          <w:rFonts w:ascii="Times New Roman" w:hAnsi="Times New Roman"/>
        </w:rPr>
        <w:t>, (2011) 14 SCC 66</w:t>
      </w:r>
    </w:p>
  </w:footnote>
  <w:footnote w:id="17">
    <w:p w14:paraId="7555E66F" w14:textId="77777777" w:rsidR="00375D92" w:rsidRDefault="00000000">
      <w:pPr>
        <w:pStyle w:val="Footnote"/>
      </w:pPr>
      <w:r>
        <w:rPr>
          <w:rFonts w:ascii="Times New Roman" w:eastAsia="Times New Roman" w:hAnsi="Times New Roman" w:cs="Times New Roman"/>
          <w:vertAlign w:val="superscript"/>
        </w:rPr>
        <w:footnoteRef/>
      </w:r>
      <w:r>
        <w:rPr>
          <w:rFonts w:ascii="Times New Roman" w:hAnsi="Times New Roman"/>
        </w:rPr>
        <w:t xml:space="preserve"> </w:t>
      </w:r>
      <w:r>
        <w:rPr>
          <w:rFonts w:ascii="Times New Roman" w:hAnsi="Times New Roman"/>
          <w:i/>
          <w:iCs/>
          <w:lang w:val="en-US"/>
        </w:rPr>
        <w:t>Hindustan Steel Ltd. v. Dilip Construction Co.</w:t>
      </w:r>
      <w:r>
        <w:rPr>
          <w:rFonts w:ascii="Times New Roman" w:hAnsi="Times New Roman"/>
        </w:rPr>
        <w:t>, (1969) 1 SCC 597</w:t>
      </w:r>
    </w:p>
  </w:footnote>
  <w:footnote w:id="18">
    <w:p w14:paraId="7B762044" w14:textId="77777777" w:rsidR="00375D92" w:rsidRDefault="00000000">
      <w:pPr>
        <w:pStyle w:val="Footnote"/>
      </w:pPr>
      <w:r>
        <w:rPr>
          <w:rFonts w:ascii="Times New Roman" w:eastAsia="Times New Roman" w:hAnsi="Times New Roman" w:cs="Times New Roman"/>
          <w:vertAlign w:val="superscript"/>
        </w:rPr>
        <w:footnoteRef/>
      </w:r>
      <w:r>
        <w:rPr>
          <w:rFonts w:ascii="Times New Roman" w:hAnsi="Times New Roman"/>
        </w:rPr>
        <w:t xml:space="preserve"> </w:t>
      </w:r>
      <w:r>
        <w:rPr>
          <w:rFonts w:ascii="Times New Roman" w:hAnsi="Times New Roman"/>
          <w:i/>
          <w:iCs/>
          <w:lang w:val="en-US"/>
        </w:rPr>
        <w:t>supra</w:t>
      </w:r>
      <w:r>
        <w:rPr>
          <w:rFonts w:ascii="Times New Roman" w:hAnsi="Times New Roman"/>
          <w:lang w:val="en-US"/>
        </w:rPr>
        <w:t xml:space="preserve"> note 14</w:t>
      </w:r>
    </w:p>
  </w:footnote>
  <w:footnote w:id="19">
    <w:p w14:paraId="7DC0B8ED" w14:textId="77777777" w:rsidR="00375D92" w:rsidRDefault="00000000">
      <w:pPr>
        <w:pStyle w:val="Footnote"/>
      </w:pPr>
      <w:r>
        <w:rPr>
          <w:rFonts w:ascii="Times New Roman" w:eastAsia="Times New Roman" w:hAnsi="Times New Roman" w:cs="Times New Roman"/>
          <w:vertAlign w:val="superscript"/>
        </w:rPr>
        <w:footnoteRef/>
      </w:r>
      <w:r>
        <w:rPr>
          <w:rFonts w:ascii="Times New Roman" w:hAnsi="Times New Roman"/>
        </w:rPr>
        <w:t xml:space="preserve"> </w:t>
      </w:r>
      <w:r>
        <w:rPr>
          <w:rFonts w:ascii="Times New Roman" w:hAnsi="Times New Roman"/>
          <w:i/>
          <w:iCs/>
        </w:rPr>
        <w:t xml:space="preserve">Vidya </w:t>
      </w:r>
      <w:proofErr w:type="spellStart"/>
      <w:r>
        <w:rPr>
          <w:rFonts w:ascii="Times New Roman" w:hAnsi="Times New Roman"/>
          <w:i/>
          <w:iCs/>
        </w:rPr>
        <w:t>Drolia</w:t>
      </w:r>
      <w:proofErr w:type="spellEnd"/>
      <w:r>
        <w:rPr>
          <w:rFonts w:ascii="Times New Roman" w:hAnsi="Times New Roman"/>
          <w:i/>
          <w:iCs/>
        </w:rPr>
        <w:t xml:space="preserve"> v. Durga Trading </w:t>
      </w:r>
      <w:proofErr w:type="spellStart"/>
      <w:r>
        <w:rPr>
          <w:rFonts w:ascii="Times New Roman" w:hAnsi="Times New Roman"/>
          <w:i/>
          <w:iCs/>
        </w:rPr>
        <w:t>Corpn</w:t>
      </w:r>
      <w:proofErr w:type="spellEnd"/>
      <w:r>
        <w:rPr>
          <w:rFonts w:ascii="Times New Roman" w:hAnsi="Times New Roman"/>
          <w:i/>
          <w:iCs/>
        </w:rPr>
        <w:t>.</w:t>
      </w:r>
      <w:r>
        <w:rPr>
          <w:rFonts w:ascii="Times New Roman" w:hAnsi="Times New Roman"/>
        </w:rPr>
        <w:t>, (2021) 2 SCC 1</w:t>
      </w:r>
    </w:p>
  </w:footnote>
  <w:footnote w:id="20">
    <w:p w14:paraId="65834F69" w14:textId="77777777" w:rsidR="00375D92" w:rsidRDefault="00000000">
      <w:pPr>
        <w:pStyle w:val="Footnote"/>
      </w:pPr>
      <w:r>
        <w:rPr>
          <w:rFonts w:ascii="Times New Roman" w:eastAsia="Times New Roman" w:hAnsi="Times New Roman" w:cs="Times New Roman"/>
          <w:vertAlign w:val="superscript"/>
        </w:rPr>
        <w:footnoteRef/>
      </w:r>
      <w:r>
        <w:rPr>
          <w:rFonts w:ascii="Times New Roman" w:hAnsi="Times New Roman"/>
        </w:rPr>
        <w:t xml:space="preserve"> </w:t>
      </w:r>
      <w:r>
        <w:rPr>
          <w:rFonts w:ascii="Times New Roman" w:hAnsi="Times New Roman"/>
          <w:i/>
          <w:iCs/>
          <w:lang w:val="nl-NL"/>
        </w:rPr>
        <w:t>N. Radhakrishnan v. Maestro Engineers</w:t>
      </w:r>
      <w:r>
        <w:rPr>
          <w:rFonts w:ascii="Times New Roman" w:hAnsi="Times New Roman"/>
        </w:rPr>
        <w:t>, (2010) 1 SCC 72</w:t>
      </w:r>
    </w:p>
  </w:footnote>
  <w:footnote w:id="21">
    <w:p w14:paraId="798A5DF6" w14:textId="77777777" w:rsidR="00375D92" w:rsidRDefault="00000000">
      <w:pPr>
        <w:pStyle w:val="Footnote"/>
      </w:pPr>
      <w:r>
        <w:rPr>
          <w:rFonts w:ascii="Times New Roman" w:eastAsia="Times New Roman" w:hAnsi="Times New Roman" w:cs="Times New Roman"/>
          <w:vertAlign w:val="superscript"/>
        </w:rPr>
        <w:footnoteRef/>
      </w:r>
      <w:r>
        <w:rPr>
          <w:rFonts w:ascii="Times New Roman" w:hAnsi="Times New Roman"/>
        </w:rPr>
        <w:t xml:space="preserve"> </w:t>
      </w:r>
      <w:proofErr w:type="spellStart"/>
      <w:r>
        <w:rPr>
          <w:rFonts w:ascii="Times New Roman" w:hAnsi="Times New Roman"/>
          <w:i/>
          <w:iCs/>
        </w:rPr>
        <w:t>Ayyasami</w:t>
      </w:r>
      <w:proofErr w:type="spellEnd"/>
      <w:r>
        <w:rPr>
          <w:rFonts w:ascii="Times New Roman" w:hAnsi="Times New Roman"/>
          <w:i/>
          <w:iCs/>
        </w:rPr>
        <w:t xml:space="preserve"> v. State of T.N.,</w:t>
      </w:r>
      <w:r>
        <w:rPr>
          <w:rFonts w:ascii="Times New Roman" w:hAnsi="Times New Roman"/>
        </w:rPr>
        <w:t xml:space="preserve"> (</w:t>
      </w:r>
      <w:r>
        <w:rPr>
          <w:rFonts w:ascii="Times New Roman" w:hAnsi="Times New Roman"/>
          <w:lang w:val="en-US"/>
        </w:rPr>
        <w:t>2016</w:t>
      </w:r>
      <w:r>
        <w:rPr>
          <w:rFonts w:ascii="Times New Roman" w:hAnsi="Times New Roman"/>
          <w:lang w:val="de-DE"/>
        </w:rPr>
        <w:t>) 1 SCC 304</w:t>
      </w:r>
    </w:p>
  </w:footnote>
  <w:footnote w:id="22">
    <w:p w14:paraId="4C439902" w14:textId="77777777" w:rsidR="00375D92" w:rsidRDefault="00000000">
      <w:pPr>
        <w:pStyle w:val="Footnote"/>
      </w:pPr>
      <w:r>
        <w:rPr>
          <w:rFonts w:ascii="Times New Roman" w:eastAsia="Times New Roman" w:hAnsi="Times New Roman" w:cs="Times New Roman"/>
          <w:vertAlign w:val="superscript"/>
        </w:rPr>
        <w:footnoteRef/>
      </w:r>
      <w:r>
        <w:rPr>
          <w:rFonts w:ascii="Times New Roman" w:hAnsi="Times New Roman"/>
          <w:lang w:val="en-US"/>
        </w:rPr>
        <w:t xml:space="preserve"> Convention on the Recognition and Enforcement of Foreign Arbitral Awards (New York, 1958)</w:t>
      </w:r>
      <w:r>
        <w:rPr>
          <w:rFonts w:ascii="Times New Roman" w:hAnsi="Times New Roman"/>
          <w:sz w:val="24"/>
          <w:szCs w:val="24"/>
          <w:lang w:val="en-US"/>
        </w:rPr>
        <w:t>, UNCITRAL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F6759B" w14:textId="77777777" w:rsidR="00375D92" w:rsidRDefault="00375D92"/>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5D92"/>
    <w:rsid w:val="00130AD9"/>
    <w:rsid w:val="001B1275"/>
    <w:rsid w:val="002C2295"/>
    <w:rsid w:val="00361732"/>
    <w:rsid w:val="00375D92"/>
    <w:rsid w:val="0047497B"/>
    <w:rsid w:val="00545C98"/>
    <w:rsid w:val="005F22F8"/>
    <w:rsid w:val="005F797E"/>
    <w:rsid w:val="007B088A"/>
    <w:rsid w:val="00851962"/>
    <w:rsid w:val="00A023BF"/>
    <w:rsid w:val="00B60C4D"/>
    <w:rsid w:val="00C34BF9"/>
    <w:rsid w:val="00CD6B04"/>
    <w:rsid w:val="00DE016B"/>
    <w:rsid w:val="00FC4F2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8FAB88"/>
  <w15:docId w15:val="{FF6C5293-2D53-4DF4-84EE-D141B1AD4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IN" w:eastAsia="en-I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2">
    <w:name w:val="heading 2"/>
    <w:next w:val="Body"/>
    <w:uiPriority w:val="9"/>
    <w:unhideWhenUsed/>
    <w:qFormat/>
    <w:pPr>
      <w:keepNext/>
      <w:outlineLvl w:val="1"/>
    </w:pPr>
    <w:rPr>
      <w:rFonts w:ascii="Helvetica Neue" w:hAnsi="Helvetica Neue" w:cs="Arial Unicode MS"/>
      <w:b/>
      <w:bCs/>
      <w:color w:val="000000"/>
      <w:sz w:val="32"/>
      <w:szCs w:val="32"/>
      <w:lang w:val="en-US"/>
      <w14:textOutline w14:w="0" w14:cap="flat" w14:cmpd="sng" w14:algn="ctr">
        <w14:noFill/>
        <w14:prstDash w14:val="solid"/>
        <w14:bevel/>
      </w14:textOutli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Title">
    <w:name w:val="Title"/>
    <w:next w:val="Body"/>
    <w:uiPriority w:val="10"/>
    <w:qFormat/>
    <w:pPr>
      <w:keepNext/>
    </w:pPr>
    <w:rPr>
      <w:rFonts w:ascii="Helvetica Neue" w:hAnsi="Helvetica Neue" w:cs="Arial Unicode MS"/>
      <w:b/>
      <w:bCs/>
      <w:color w:val="000000"/>
      <w:sz w:val="60"/>
      <w:szCs w:val="60"/>
      <w:lang w:val="en-US"/>
      <w14:textOutline w14:w="0" w14:cap="flat" w14:cmpd="sng" w14:algn="ctr">
        <w14:noFill/>
        <w14:prstDash w14:val="solid"/>
        <w14:bevel/>
      </w14:textOutline>
    </w:rPr>
  </w:style>
  <w:style w:type="paragraph" w:customStyle="1" w:styleId="Body">
    <w:name w:val="Body"/>
    <w:rPr>
      <w:rFonts w:ascii="Helvetica Neue" w:hAnsi="Helvetica Neue" w:cs="Arial Unicode MS"/>
      <w:color w:val="000000"/>
      <w:sz w:val="22"/>
      <w:szCs w:val="22"/>
      <w:lang w:val="en-US"/>
      <w14:textOutline w14:w="0" w14:cap="flat" w14:cmpd="sng" w14:algn="ctr">
        <w14:noFill/>
        <w14:prstDash w14:val="solid"/>
        <w14:bevel/>
      </w14:textOutline>
    </w:rPr>
  </w:style>
  <w:style w:type="paragraph" w:customStyle="1" w:styleId="Footnote">
    <w:name w:val="Footnote"/>
    <w:rPr>
      <w:rFonts w:ascii="Helvetica Neue" w:eastAsia="Helvetica Neue" w:hAnsi="Helvetica Neue" w:cs="Helvetica Neue"/>
      <w:color w:val="000000"/>
      <w:sz w:val="22"/>
      <w:szCs w:val="22"/>
      <w14:textOutline w14:w="0" w14:cap="flat" w14:cmpd="sng" w14:algn="ctr">
        <w14:noFill/>
        <w14:prstDash w14:val="solid"/>
        <w14:bevel/>
      </w14:textOutline>
    </w:rPr>
  </w:style>
  <w:style w:type="paragraph" w:customStyle="1" w:styleId="Default">
    <w:name w:val="Default"/>
    <w:pPr>
      <w:spacing w:before="160" w:line="288" w:lineRule="auto"/>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lang w:val="en-US" w:eastAsia="en-US"/>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6</Pages>
  <Words>2094</Words>
  <Characters>11940</Characters>
  <Application>Microsoft Office Word</Application>
  <DocSecurity>0</DocSecurity>
  <Lines>99</Lines>
  <Paragraphs>28</Paragraphs>
  <ScaleCrop>false</ScaleCrop>
  <Company/>
  <LinksUpToDate>false</LinksUpToDate>
  <CharactersWithSpaces>14006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UPENDRA KAMAT</cp:lastModifiedBy>
  <cp:revision>14</cp:revision>
  <dcterms:created xsi:type="dcterms:W3CDTF">2023-05-25T11:49:00Z</dcterms:created>
  <dcterms:modified xsi:type="dcterms:W3CDTF">2023-05-30T17:25:00Z</dcterms:modified>
</cp:coreProperties>
</file>