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5B7" w:rsidRDefault="00101345" w:rsidP="008025B7">
      <w:pPr>
        <w:pBdr>
          <w:top w:val="thinThickSmallGap" w:sz="24" w:space="1" w:color="auto"/>
          <w:left w:val="thinThickSmallGap" w:sz="24" w:space="4" w:color="auto"/>
          <w:bottom w:val="thinThickSmallGap" w:sz="24" w:space="1" w:color="auto"/>
          <w:right w:val="thinThickSmallGap" w:sz="24" w:space="4" w:color="auto"/>
          <w:between w:val="thinThickSmallGap" w:sz="24" w:space="1" w:color="auto"/>
          <w:bar w:val="thinThickSmallGap" w:sz="24" w:color="auto"/>
        </w:pBdr>
        <w:spacing w:line="360" w:lineRule="auto"/>
        <w:jc w:val="center"/>
        <w:rPr>
          <w:rFonts w:ascii="Times New Roman" w:hAnsi="Times New Roman" w:cs="Times New Roman"/>
          <w:b/>
          <w:bCs/>
          <w:sz w:val="36"/>
          <w:szCs w:val="36"/>
        </w:rPr>
      </w:pPr>
      <w:r>
        <w:rPr>
          <w:rFonts w:ascii="Times New Roman" w:hAnsi="Times New Roman" w:cs="Times New Roman"/>
          <w:b/>
          <w:bCs/>
          <w:sz w:val="36"/>
          <w:szCs w:val="36"/>
        </w:rPr>
        <w:t>ACCUSATIONS OF WITCHCRAFT AND HUMAN RIGHT</w:t>
      </w:r>
    </w:p>
    <w:p w:rsidR="008025B7" w:rsidRDefault="008025B7" w:rsidP="008025B7">
      <w:pPr>
        <w:spacing w:line="360" w:lineRule="auto"/>
        <w:jc w:val="center"/>
        <w:rPr>
          <w:rFonts w:ascii="Times New Roman" w:hAnsi="Times New Roman" w:cs="Times New Roman"/>
        </w:rPr>
      </w:pPr>
      <w:r>
        <w:t xml:space="preserve">                                                                                                                                                       </w:t>
      </w:r>
    </w:p>
    <w:p w:rsidR="00933CD1" w:rsidRPr="008025B7" w:rsidRDefault="008025B7" w:rsidP="008025B7">
      <w:pPr>
        <w:spacing w:line="360" w:lineRule="auto"/>
        <w:jc w:val="center"/>
        <w:rPr>
          <w:rFonts w:ascii="Times New Roman" w:hAnsi="Times New Roman" w:cs="Times New Roman"/>
        </w:rPr>
      </w:pPr>
      <w:r>
        <w:t xml:space="preserve">                                                                                                                               </w:t>
      </w:r>
      <w:r w:rsidRPr="008025B7">
        <w:rPr>
          <w:rFonts w:ascii="Times New Roman" w:hAnsi="Times New Roman" w:cs="Times New Roman"/>
        </w:rPr>
        <w:t xml:space="preserve">AUTHOR:- </w:t>
      </w:r>
      <w:r>
        <w:rPr>
          <w:rFonts w:ascii="Times New Roman" w:hAnsi="Times New Roman" w:cs="Times New Roman"/>
        </w:rPr>
        <w:t xml:space="preserve">SAKSHI </w:t>
      </w:r>
      <w:r w:rsidR="00933CD1" w:rsidRPr="008025B7">
        <w:rPr>
          <w:rFonts w:ascii="Times New Roman" w:hAnsi="Times New Roman" w:cs="Times New Roman"/>
        </w:rPr>
        <w:t>KULKARNI</w:t>
      </w:r>
    </w:p>
    <w:p w:rsidR="00B27C8A" w:rsidRDefault="00933CD1" w:rsidP="000F6AD4">
      <w:pPr>
        <w:tabs>
          <w:tab w:val="left" w:pos="8664"/>
        </w:tabs>
        <w:spacing w:line="360" w:lineRule="auto"/>
        <w:rPr>
          <w:rFonts w:ascii="Times New Roman" w:hAnsi="Times New Roman" w:cs="Times New Roman"/>
          <w:szCs w:val="22"/>
        </w:rPr>
      </w:pPr>
      <w:r>
        <w:rPr>
          <w:rFonts w:ascii="Times New Roman" w:hAnsi="Times New Roman" w:cs="Times New Roman"/>
          <w:szCs w:val="22"/>
        </w:rPr>
        <w:t xml:space="preserve">                                                                                                                                     </w:t>
      </w:r>
    </w:p>
    <w:p w:rsidR="000F6AD4" w:rsidRDefault="000F6AD4" w:rsidP="00101345">
      <w:pPr>
        <w:pStyle w:val="ListParagraph"/>
        <w:numPr>
          <w:ilvl w:val="0"/>
          <w:numId w:val="3"/>
        </w:numPr>
        <w:spacing w:line="360" w:lineRule="auto"/>
        <w:rPr>
          <w:rFonts w:ascii="Times New Roman" w:hAnsi="Times New Roman" w:cs="Times New Roman"/>
          <w:sz w:val="24"/>
          <w:szCs w:val="24"/>
        </w:rPr>
      </w:pPr>
      <w:r>
        <w:rPr>
          <w:rFonts w:ascii="Times New Roman" w:hAnsi="Times New Roman" w:cs="Times New Roman"/>
          <w:b/>
          <w:bCs/>
          <w:sz w:val="28"/>
          <w:szCs w:val="28"/>
          <w:u w:val="single"/>
        </w:rPr>
        <w:t>ABSTRACT:-</w:t>
      </w:r>
    </w:p>
    <w:p w:rsidR="000F6AD4" w:rsidRPr="00B27C8A" w:rsidRDefault="000F6AD4" w:rsidP="008025B7">
      <w:pPr>
        <w:spacing w:line="360" w:lineRule="auto"/>
        <w:jc w:val="both"/>
        <w:rPr>
          <w:rFonts w:ascii="Times New Roman" w:hAnsi="Times New Roman" w:cs="Times New Roman"/>
          <w:sz w:val="24"/>
          <w:szCs w:val="24"/>
        </w:rPr>
      </w:pPr>
      <w:r w:rsidRPr="00B27C8A">
        <w:rPr>
          <w:rFonts w:ascii="Times New Roman" w:hAnsi="Times New Roman" w:cs="Times New Roman"/>
          <w:sz w:val="24"/>
          <w:szCs w:val="24"/>
        </w:rPr>
        <w:t xml:space="preserve">Throughout history, witchcraft has been associated with many human rights breaches because </w:t>
      </w:r>
      <w:r w:rsidR="006478E7">
        <w:rPr>
          <w:rFonts w:ascii="Times New Roman" w:hAnsi="Times New Roman" w:cs="Times New Roman"/>
          <w:sz w:val="24"/>
          <w:szCs w:val="24"/>
        </w:rPr>
        <w:t>of</w:t>
      </w:r>
      <w:r w:rsidR="006478E7" w:rsidRPr="00B27C8A">
        <w:rPr>
          <w:rFonts w:ascii="Times New Roman" w:hAnsi="Times New Roman" w:cs="Times New Roman"/>
          <w:sz w:val="24"/>
          <w:szCs w:val="24"/>
        </w:rPr>
        <w:t xml:space="preserve"> </w:t>
      </w:r>
      <w:r w:rsidR="006478E7">
        <w:rPr>
          <w:rFonts w:ascii="Times New Roman" w:hAnsi="Times New Roman" w:cs="Times New Roman"/>
          <w:sz w:val="24"/>
          <w:szCs w:val="24"/>
        </w:rPr>
        <w:t>persistent</w:t>
      </w:r>
      <w:r w:rsidRPr="00B27C8A">
        <w:rPr>
          <w:rFonts w:ascii="Times New Roman" w:hAnsi="Times New Roman" w:cs="Times New Roman"/>
          <w:sz w:val="24"/>
          <w:szCs w:val="24"/>
        </w:rPr>
        <w:t xml:space="preserve"> beliefs and practices. In order to understand how charges of witchcraft have impacted people and communities, as well as what it means for human rights, this research paper will examine the confluence of witchcraft and human rights.</w:t>
      </w:r>
    </w:p>
    <w:p w:rsidR="006478E7" w:rsidRDefault="006478E7" w:rsidP="009A41F0">
      <w:pPr>
        <w:pStyle w:val="ListParagraph"/>
        <w:spacing w:line="360" w:lineRule="auto"/>
        <w:rPr>
          <w:rFonts w:ascii="Times New Roman" w:hAnsi="Times New Roman" w:cs="Times New Roman"/>
          <w:b/>
          <w:bCs/>
          <w:sz w:val="28"/>
          <w:szCs w:val="28"/>
          <w:u w:val="single"/>
        </w:rPr>
      </w:pPr>
    </w:p>
    <w:p w:rsidR="000F6AD4" w:rsidRPr="00B27C8A" w:rsidRDefault="00B27C8A" w:rsidP="009A41F0">
      <w:pPr>
        <w:pStyle w:val="ListParagraph"/>
        <w:spacing w:line="360" w:lineRule="auto"/>
        <w:rPr>
          <w:rFonts w:ascii="Times New Roman" w:hAnsi="Times New Roman" w:cs="Times New Roman"/>
          <w:sz w:val="28"/>
          <w:szCs w:val="28"/>
        </w:rPr>
      </w:pPr>
      <w:r>
        <w:rPr>
          <w:rFonts w:ascii="Times New Roman" w:hAnsi="Times New Roman" w:cs="Times New Roman"/>
          <w:b/>
          <w:bCs/>
          <w:sz w:val="28"/>
          <w:szCs w:val="28"/>
          <w:u w:val="single"/>
        </w:rPr>
        <w:t>Keywords</w:t>
      </w:r>
      <w:r w:rsidRPr="00B27C8A">
        <w:rPr>
          <w:rFonts w:ascii="Times New Roman" w:hAnsi="Times New Roman" w:cs="Times New Roman"/>
          <w:b/>
          <w:bCs/>
          <w:sz w:val="24"/>
          <w:szCs w:val="24"/>
          <w:u w:val="single"/>
        </w:rPr>
        <w:t xml:space="preserve">:- </w:t>
      </w:r>
      <w:r w:rsidRPr="00B27C8A">
        <w:rPr>
          <w:rFonts w:ascii="Times New Roman" w:hAnsi="Times New Roman" w:cs="Times New Roman"/>
          <w:sz w:val="24"/>
          <w:szCs w:val="24"/>
        </w:rPr>
        <w:t xml:space="preserve"> </w:t>
      </w:r>
      <w:r>
        <w:rPr>
          <w:rFonts w:ascii="Times New Roman" w:hAnsi="Times New Roman" w:cs="Times New Roman"/>
          <w:sz w:val="24"/>
          <w:szCs w:val="24"/>
        </w:rPr>
        <w:t>H</w:t>
      </w:r>
      <w:r w:rsidRPr="00B27C8A">
        <w:rPr>
          <w:rFonts w:ascii="Times New Roman" w:hAnsi="Times New Roman" w:cs="Times New Roman"/>
          <w:sz w:val="24"/>
          <w:szCs w:val="24"/>
        </w:rPr>
        <w:t xml:space="preserve">uman rights, </w:t>
      </w:r>
      <w:r>
        <w:rPr>
          <w:rFonts w:ascii="Times New Roman" w:hAnsi="Times New Roman" w:cs="Times New Roman"/>
          <w:sz w:val="24"/>
          <w:szCs w:val="24"/>
        </w:rPr>
        <w:t>W</w:t>
      </w:r>
      <w:r w:rsidRPr="00B27C8A">
        <w:rPr>
          <w:rFonts w:ascii="Times New Roman" w:hAnsi="Times New Roman" w:cs="Times New Roman"/>
          <w:sz w:val="24"/>
          <w:szCs w:val="24"/>
        </w:rPr>
        <w:t xml:space="preserve">itchcraft, </w:t>
      </w:r>
      <w:r>
        <w:rPr>
          <w:rFonts w:ascii="Times New Roman" w:hAnsi="Times New Roman" w:cs="Times New Roman"/>
          <w:sz w:val="24"/>
          <w:szCs w:val="24"/>
        </w:rPr>
        <w:t>W</w:t>
      </w:r>
      <w:r w:rsidRPr="00B27C8A">
        <w:rPr>
          <w:rFonts w:ascii="Times New Roman" w:hAnsi="Times New Roman" w:cs="Times New Roman"/>
          <w:sz w:val="24"/>
          <w:szCs w:val="24"/>
        </w:rPr>
        <w:t xml:space="preserve">itch, </w:t>
      </w:r>
      <w:r>
        <w:rPr>
          <w:rFonts w:ascii="Times New Roman" w:hAnsi="Times New Roman" w:cs="Times New Roman"/>
          <w:sz w:val="24"/>
          <w:szCs w:val="24"/>
        </w:rPr>
        <w:t>W</w:t>
      </w:r>
      <w:r w:rsidRPr="00B27C8A">
        <w:rPr>
          <w:rFonts w:ascii="Times New Roman" w:hAnsi="Times New Roman" w:cs="Times New Roman"/>
          <w:sz w:val="24"/>
          <w:szCs w:val="24"/>
        </w:rPr>
        <w:t>itch-hunting</w:t>
      </w:r>
      <w:r>
        <w:rPr>
          <w:rFonts w:ascii="Times New Roman" w:hAnsi="Times New Roman" w:cs="Times New Roman"/>
          <w:sz w:val="28"/>
          <w:szCs w:val="28"/>
        </w:rPr>
        <w:t>.</w:t>
      </w:r>
    </w:p>
    <w:p w:rsidR="00B27C8A" w:rsidRPr="00B27C8A" w:rsidRDefault="00B27C8A" w:rsidP="00B27C8A">
      <w:pPr>
        <w:spacing w:line="360" w:lineRule="auto"/>
        <w:ind w:left="360"/>
        <w:rPr>
          <w:rFonts w:ascii="Times New Roman" w:hAnsi="Times New Roman" w:cs="Times New Roman"/>
          <w:b/>
          <w:bCs/>
          <w:sz w:val="28"/>
          <w:szCs w:val="28"/>
          <w:u w:val="single"/>
        </w:rPr>
      </w:pPr>
    </w:p>
    <w:p w:rsidR="00101345" w:rsidRPr="00101345" w:rsidRDefault="00101345" w:rsidP="009A41F0">
      <w:pPr>
        <w:pStyle w:val="ListParagraph"/>
        <w:numPr>
          <w:ilvl w:val="0"/>
          <w:numId w:val="3"/>
        </w:numPr>
        <w:spacing w:line="360" w:lineRule="auto"/>
        <w:rPr>
          <w:rFonts w:ascii="Times New Roman" w:hAnsi="Times New Roman" w:cs="Times New Roman"/>
          <w:b/>
          <w:bCs/>
          <w:sz w:val="28"/>
          <w:szCs w:val="28"/>
          <w:u w:val="single"/>
        </w:rPr>
      </w:pPr>
      <w:r w:rsidRPr="00101345">
        <w:rPr>
          <w:rFonts w:ascii="Times New Roman" w:hAnsi="Times New Roman" w:cs="Times New Roman"/>
          <w:b/>
          <w:bCs/>
          <w:sz w:val="28"/>
          <w:szCs w:val="28"/>
          <w:u w:val="single"/>
        </w:rPr>
        <w:t>INTRODUCTION:-</w:t>
      </w:r>
    </w:p>
    <w:p w:rsidR="006523D2" w:rsidRPr="00101345" w:rsidRDefault="006523D2"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 xml:space="preserve">Witchcraft is historically defined as the use of sorcery or magic, or the exercise or invocation of purported supernatural abilities, to manipulate people or events. Witchcraft has frequently been perceived, particularly in the West, as the work of crones who gather in secret at night, engage in cannibalism and orgiastic ceremonies with the Devil, or Satan, and </w:t>
      </w:r>
      <w:r w:rsidR="00417577" w:rsidRPr="00101345">
        <w:rPr>
          <w:rFonts w:ascii="Times New Roman" w:hAnsi="Times New Roman" w:cs="Times New Roman"/>
          <w:sz w:val="24"/>
          <w:szCs w:val="24"/>
        </w:rPr>
        <w:t>practice</w:t>
      </w:r>
      <w:r w:rsidRPr="00101345">
        <w:rPr>
          <w:rFonts w:ascii="Times New Roman" w:hAnsi="Times New Roman" w:cs="Times New Roman"/>
          <w:sz w:val="24"/>
          <w:szCs w:val="24"/>
        </w:rPr>
        <w:t xml:space="preserve"> black magic, despite definitions differing in many historical and cultural settings. According to this definition, witchcraft is more a product of contemporary imagination than any actuality. However, this stereotype has a long history and has served as a plausible justification for evil in many civilizations.</w:t>
      </w:r>
    </w:p>
    <w:p w:rsidR="006523D2" w:rsidRPr="00101345" w:rsidRDefault="006523D2"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 xml:space="preserve">Witchcraft and witch hunts are superstitious activities and presumptions about the likelihood and potential of someone possessing or learning magical skills. It has deep historical roots and is used by those who believe in supernatural abilities. Due to superstitious beliefs and </w:t>
      </w:r>
      <w:r w:rsidR="00417577" w:rsidRPr="00101345">
        <w:rPr>
          <w:rFonts w:ascii="Times New Roman" w:hAnsi="Times New Roman" w:cs="Times New Roman"/>
          <w:sz w:val="24"/>
          <w:szCs w:val="24"/>
        </w:rPr>
        <w:t>practices</w:t>
      </w:r>
      <w:r w:rsidRPr="00101345">
        <w:rPr>
          <w:rFonts w:ascii="Times New Roman" w:hAnsi="Times New Roman" w:cs="Times New Roman"/>
          <w:sz w:val="24"/>
          <w:szCs w:val="24"/>
        </w:rPr>
        <w:t xml:space="preserve"> for getting rid of the alleged witches living in the community, witch hunting was started. It is still </w:t>
      </w:r>
      <w:r w:rsidR="00417577" w:rsidRPr="00101345">
        <w:rPr>
          <w:rFonts w:ascii="Times New Roman" w:hAnsi="Times New Roman" w:cs="Times New Roman"/>
          <w:sz w:val="24"/>
          <w:szCs w:val="24"/>
        </w:rPr>
        <w:t>practiced</w:t>
      </w:r>
      <w:r w:rsidRPr="00101345">
        <w:rPr>
          <w:rFonts w:ascii="Times New Roman" w:hAnsi="Times New Roman" w:cs="Times New Roman"/>
          <w:sz w:val="24"/>
          <w:szCs w:val="24"/>
        </w:rPr>
        <w:t xml:space="preserve"> as a custom in several regions of the world today.</w:t>
      </w:r>
    </w:p>
    <w:p w:rsidR="008154A6" w:rsidRPr="00101345" w:rsidRDefault="00417577"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lastRenderedPageBreak/>
        <w:t>Women are singled out, brutally tormented, and referred to as "Witches." Witchcraft is a prohibited activity that is seen as profane. It is also seen as a derogatory gender stereotype and is utilized to determine how inferior women are. Women who work in this field are frequently depicted as menacing, evil, and frightening in media. Society must end this inhumane practice, supported by the establishment of new laws. Regarding the defense of women from these depraved practices of witchcraft and witch-hunting, many laws have been created.</w:t>
      </w:r>
    </w:p>
    <w:p w:rsidR="008154A6" w:rsidRPr="00101345" w:rsidRDefault="00E61262"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When witchcraft is practiced for u</w:t>
      </w:r>
      <w:r w:rsidR="00FA0AEE" w:rsidRPr="00101345">
        <w:rPr>
          <w:rFonts w:ascii="Times New Roman" w:hAnsi="Times New Roman" w:cs="Times New Roman"/>
          <w:sz w:val="24"/>
          <w:szCs w:val="24"/>
        </w:rPr>
        <w:t>nethical ends, it is referred</w:t>
      </w:r>
      <w:r w:rsidRPr="00101345">
        <w:rPr>
          <w:rFonts w:ascii="Times New Roman" w:hAnsi="Times New Roman" w:cs="Times New Roman"/>
          <w:sz w:val="24"/>
          <w:szCs w:val="24"/>
        </w:rPr>
        <w:t xml:space="preserve"> as black magic.</w:t>
      </w:r>
      <w:r w:rsidR="00D37BCB" w:rsidRPr="00101345">
        <w:rPr>
          <w:rFonts w:ascii="Times New Roman" w:hAnsi="Times New Roman" w:cs="Times New Roman"/>
          <w:sz w:val="24"/>
          <w:szCs w:val="24"/>
        </w:rPr>
        <w:t xml:space="preserve"> </w:t>
      </w:r>
      <w:r w:rsidRPr="00101345">
        <w:rPr>
          <w:rFonts w:ascii="Times New Roman" w:hAnsi="Times New Roman" w:cs="Times New Roman"/>
          <w:sz w:val="24"/>
          <w:szCs w:val="24"/>
        </w:rPr>
        <w:t>Witchcraft belief alone need not be an issue, but acts committed as a result of such belief may be against human rights.</w:t>
      </w:r>
      <w:r w:rsidR="00D37BCB" w:rsidRPr="00101345">
        <w:rPr>
          <w:rFonts w:ascii="Times New Roman" w:hAnsi="Times New Roman" w:cs="Times New Roman"/>
          <w:sz w:val="24"/>
          <w:szCs w:val="24"/>
        </w:rPr>
        <w:t xml:space="preserve"> </w:t>
      </w:r>
      <w:r w:rsidR="00D37BCB" w:rsidRPr="00101345">
        <w:rPr>
          <w:rStyle w:val="FootnoteReference"/>
          <w:rFonts w:ascii="Times New Roman" w:hAnsi="Times New Roman" w:cs="Times New Roman"/>
          <w:sz w:val="24"/>
          <w:szCs w:val="24"/>
        </w:rPr>
        <w:footnoteReference w:id="2"/>
      </w:r>
      <w:r w:rsidRPr="00101345">
        <w:rPr>
          <w:rFonts w:ascii="Times New Roman" w:hAnsi="Times New Roman" w:cs="Times New Roman"/>
          <w:sz w:val="24"/>
          <w:szCs w:val="24"/>
        </w:rPr>
        <w:t>Witchcraft is not harmful unless it is used improperly. I feel compelled to point you that witchcraft is also utilized medically. Many Indian physicians view witchcraft as a tool that may treat the body in ways that conventional medicine cannot.</w:t>
      </w:r>
    </w:p>
    <w:p w:rsidR="00933CD1" w:rsidRPr="006478E7" w:rsidRDefault="00E61262"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Regardless, memories of violence, torture, and even mutilation are frequently associated with the belief in black magic among Indians. According to a National Crime Records Bureau data, more than 1,700 women were killed for practicing witchcraft between 1991 and 2010</w:t>
      </w:r>
      <w:r w:rsidR="00D37BCB" w:rsidRPr="00101345">
        <w:rPr>
          <w:rStyle w:val="FootnoteReference"/>
          <w:rFonts w:ascii="Times New Roman" w:hAnsi="Times New Roman" w:cs="Times New Roman"/>
          <w:sz w:val="24"/>
          <w:szCs w:val="24"/>
        </w:rPr>
        <w:footnoteReference w:id="3"/>
      </w:r>
      <w:r w:rsidRPr="00101345">
        <w:rPr>
          <w:rFonts w:ascii="Times New Roman" w:hAnsi="Times New Roman" w:cs="Times New Roman"/>
          <w:sz w:val="24"/>
          <w:szCs w:val="24"/>
        </w:rPr>
        <w:t xml:space="preserve">, according to Times </w:t>
      </w:r>
      <w:r w:rsidR="006478E7">
        <w:rPr>
          <w:rFonts w:ascii="Times New Roman" w:hAnsi="Times New Roman" w:cs="Times New Roman"/>
          <w:sz w:val="24"/>
          <w:szCs w:val="24"/>
        </w:rPr>
        <w:t>of India.</w:t>
      </w:r>
    </w:p>
    <w:p w:rsidR="00933CD1" w:rsidRPr="006478E7" w:rsidRDefault="00933CD1" w:rsidP="006478E7">
      <w:pPr>
        <w:shd w:val="clear" w:color="auto" w:fill="FFFFFF"/>
        <w:spacing w:before="161" w:after="161" w:line="360" w:lineRule="auto"/>
        <w:outlineLvl w:val="0"/>
        <w:rPr>
          <w:rFonts w:ascii="Times New Roman" w:eastAsia="Times New Roman" w:hAnsi="Times New Roman" w:cs="Times New Roman"/>
          <w:b/>
          <w:bCs/>
          <w:color w:val="111111"/>
          <w:kern w:val="36"/>
          <w:sz w:val="28"/>
          <w:szCs w:val="28"/>
          <w:u w:val="single"/>
        </w:rPr>
      </w:pPr>
    </w:p>
    <w:p w:rsidR="00B01EB3" w:rsidRPr="00B01EB3" w:rsidRDefault="00101345" w:rsidP="009A41F0">
      <w:pPr>
        <w:pStyle w:val="ListParagraph"/>
        <w:numPr>
          <w:ilvl w:val="0"/>
          <w:numId w:val="3"/>
        </w:numPr>
        <w:shd w:val="clear" w:color="auto" w:fill="FFFFFF"/>
        <w:spacing w:before="161" w:after="161" w:line="360" w:lineRule="auto"/>
        <w:outlineLvl w:val="0"/>
        <w:rPr>
          <w:rFonts w:ascii="Times New Roman" w:eastAsia="Times New Roman" w:hAnsi="Times New Roman" w:cs="Times New Roman"/>
          <w:b/>
          <w:bCs/>
          <w:color w:val="111111"/>
          <w:kern w:val="36"/>
          <w:sz w:val="28"/>
          <w:szCs w:val="28"/>
          <w:u w:val="single"/>
        </w:rPr>
      </w:pPr>
      <w:r w:rsidRPr="00B01EB3">
        <w:rPr>
          <w:rFonts w:ascii="Times New Roman" w:eastAsia="Times New Roman" w:hAnsi="Times New Roman" w:cs="Times New Roman"/>
          <w:b/>
          <w:bCs/>
          <w:color w:val="111111"/>
          <w:kern w:val="36"/>
          <w:sz w:val="28"/>
          <w:szCs w:val="28"/>
          <w:u w:val="single"/>
        </w:rPr>
        <w:t>HISTORY OF WITCH CRAFTING IN</w:t>
      </w:r>
      <w:r w:rsidR="00B01EB3" w:rsidRPr="00B01EB3">
        <w:rPr>
          <w:rFonts w:ascii="Times New Roman" w:eastAsia="Times New Roman" w:hAnsi="Times New Roman" w:cs="Times New Roman"/>
          <w:b/>
          <w:bCs/>
          <w:color w:val="111111"/>
          <w:kern w:val="36"/>
          <w:sz w:val="28"/>
          <w:szCs w:val="28"/>
          <w:u w:val="single"/>
        </w:rPr>
        <w:t xml:space="preserve"> </w:t>
      </w:r>
      <w:r w:rsidR="00D37BCB" w:rsidRPr="00B01EB3">
        <w:rPr>
          <w:rFonts w:ascii="Times New Roman" w:eastAsia="Times New Roman" w:hAnsi="Times New Roman" w:cs="Times New Roman"/>
          <w:b/>
          <w:bCs/>
          <w:color w:val="111111"/>
          <w:kern w:val="36"/>
          <w:sz w:val="28"/>
          <w:szCs w:val="28"/>
          <w:u w:val="single"/>
        </w:rPr>
        <w:t xml:space="preserve"> </w:t>
      </w:r>
      <w:r w:rsidR="00B01EB3" w:rsidRPr="00B01EB3">
        <w:rPr>
          <w:rFonts w:ascii="Times New Roman" w:eastAsia="Times New Roman" w:hAnsi="Times New Roman" w:cs="Times New Roman"/>
          <w:b/>
          <w:bCs/>
          <w:color w:val="111111"/>
          <w:kern w:val="36"/>
          <w:sz w:val="28"/>
          <w:szCs w:val="28"/>
          <w:u w:val="single"/>
        </w:rPr>
        <w:t>INDIA</w:t>
      </w:r>
      <w:r w:rsidR="00B01EB3">
        <w:rPr>
          <w:rFonts w:ascii="Times New Roman" w:eastAsia="Times New Roman" w:hAnsi="Times New Roman" w:cs="Times New Roman"/>
          <w:b/>
          <w:bCs/>
          <w:color w:val="111111"/>
          <w:kern w:val="36"/>
          <w:sz w:val="28"/>
          <w:szCs w:val="28"/>
          <w:u w:val="single"/>
        </w:rPr>
        <w:t>:-</w:t>
      </w:r>
      <w:r w:rsidR="00B01EB3" w:rsidRPr="00B01EB3">
        <w:rPr>
          <w:rFonts w:ascii="Times New Roman" w:eastAsia="Times New Roman" w:hAnsi="Times New Roman" w:cs="Times New Roman"/>
          <w:b/>
          <w:bCs/>
          <w:color w:val="111111"/>
          <w:kern w:val="36"/>
          <w:sz w:val="28"/>
          <w:szCs w:val="28"/>
          <w:u w:val="single"/>
        </w:rPr>
        <w:t xml:space="preserve"> </w:t>
      </w:r>
    </w:p>
    <w:p w:rsidR="00B01EB3" w:rsidRDefault="00B01EB3" w:rsidP="009A41F0">
      <w:pPr>
        <w:pStyle w:val="ListParagraph"/>
        <w:spacing w:line="360" w:lineRule="auto"/>
        <w:rPr>
          <w:rFonts w:ascii="Times New Roman" w:hAnsi="Times New Roman" w:cs="Times New Roman"/>
          <w:b/>
          <w:bCs/>
          <w:color w:val="111111"/>
          <w:sz w:val="24"/>
          <w:szCs w:val="24"/>
        </w:rPr>
      </w:pPr>
    </w:p>
    <w:p w:rsidR="00B01EB3" w:rsidRPr="00B01EB3" w:rsidRDefault="00B01EB3" w:rsidP="009A41F0">
      <w:pPr>
        <w:pStyle w:val="ListParagraph"/>
        <w:numPr>
          <w:ilvl w:val="0"/>
          <w:numId w:val="4"/>
        </w:numPr>
        <w:spacing w:line="360" w:lineRule="auto"/>
        <w:rPr>
          <w:rFonts w:ascii="Times New Roman" w:hAnsi="Times New Roman" w:cs="Times New Roman"/>
          <w:b/>
          <w:bCs/>
          <w:color w:val="111111"/>
          <w:sz w:val="24"/>
          <w:szCs w:val="24"/>
        </w:rPr>
      </w:pPr>
      <w:r w:rsidRPr="00B01EB3">
        <w:rPr>
          <w:rFonts w:ascii="Times New Roman" w:hAnsi="Times New Roman" w:cs="Times New Roman"/>
          <w:b/>
          <w:bCs/>
          <w:color w:val="111111"/>
          <w:sz w:val="24"/>
          <w:szCs w:val="24"/>
        </w:rPr>
        <w:t xml:space="preserve">ANCIENT WITCH CRAFT </w:t>
      </w:r>
    </w:p>
    <w:p w:rsidR="00D37BCB" w:rsidRPr="00101345" w:rsidRDefault="003A440A" w:rsidP="008025B7">
      <w:pPr>
        <w:spacing w:line="360" w:lineRule="auto"/>
        <w:jc w:val="both"/>
        <w:rPr>
          <w:rFonts w:ascii="Times New Roman" w:hAnsi="Times New Roman" w:cs="Times New Roman"/>
          <w:sz w:val="24"/>
          <w:szCs w:val="24"/>
        </w:rPr>
      </w:pPr>
      <w:r>
        <w:rPr>
          <w:rStyle w:val="FootnoteReference"/>
          <w:rFonts w:ascii="Times New Roman" w:hAnsi="Times New Roman" w:cs="Times New Roman"/>
          <w:sz w:val="24"/>
          <w:szCs w:val="24"/>
        </w:rPr>
        <w:footnoteReference w:id="4"/>
      </w:r>
      <w:r w:rsidR="0040284C" w:rsidRPr="00101345">
        <w:rPr>
          <w:rFonts w:ascii="Times New Roman" w:hAnsi="Times New Roman" w:cs="Times New Roman"/>
          <w:sz w:val="24"/>
          <w:szCs w:val="24"/>
        </w:rPr>
        <w:t>The history of witch haunting dates back to antiquity. Missionaries and colonial officials were the ones who attempted to document and look into witch-hunting instances throughout the colonial era. This legislation was carried out with the intention of governing and managing the people who were subject to colonial India's rule.</w:t>
      </w:r>
    </w:p>
    <w:p w:rsidR="00933CD1" w:rsidRPr="006478E7" w:rsidRDefault="0040284C"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 xml:space="preserve">Declares that sepoy mutinies and the civilian outbreaks during 1857 had some clear interconnections and links with the policy imposed by the Britishers through secondary sources of data, which include old historical writings, notes written by colonial administrators, district gazettes, letters to the </w:t>
      </w:r>
      <w:r w:rsidRPr="00101345">
        <w:rPr>
          <w:rFonts w:ascii="Times New Roman" w:hAnsi="Times New Roman" w:cs="Times New Roman"/>
          <w:sz w:val="24"/>
          <w:szCs w:val="24"/>
        </w:rPr>
        <w:lastRenderedPageBreak/>
        <w:t>administrators, judicial pronouncements, folktales, books, and literature by other historians. In the meantime, the British tried to eradicate the indigenous peoples' traditions and practices. In contrast, the tribal people believed that witchcraft would do significant harm to their community. A harsh practice that was firmly ingrained and ingrained in tribal customs was the hunting of witches in the guise of eradicating evil influence on the tribe.</w:t>
      </w:r>
    </w:p>
    <w:p w:rsidR="00933CD1" w:rsidRDefault="00933CD1" w:rsidP="00933CD1">
      <w:pPr>
        <w:pStyle w:val="ListParagraph"/>
        <w:spacing w:line="360" w:lineRule="auto"/>
        <w:rPr>
          <w:rFonts w:ascii="Times New Roman" w:hAnsi="Times New Roman" w:cs="Times New Roman"/>
          <w:b/>
          <w:bCs/>
          <w:sz w:val="24"/>
          <w:szCs w:val="24"/>
        </w:rPr>
      </w:pPr>
    </w:p>
    <w:p w:rsidR="00B01EB3" w:rsidRPr="00B01EB3" w:rsidRDefault="00B01EB3" w:rsidP="009A41F0">
      <w:pPr>
        <w:pStyle w:val="ListParagraph"/>
        <w:numPr>
          <w:ilvl w:val="0"/>
          <w:numId w:val="4"/>
        </w:numPr>
        <w:spacing w:line="360" w:lineRule="auto"/>
        <w:rPr>
          <w:rFonts w:ascii="Times New Roman" w:hAnsi="Times New Roman" w:cs="Times New Roman"/>
          <w:b/>
          <w:bCs/>
          <w:sz w:val="24"/>
          <w:szCs w:val="24"/>
        </w:rPr>
      </w:pPr>
      <w:r>
        <w:rPr>
          <w:rFonts w:ascii="Times New Roman" w:hAnsi="Times New Roman" w:cs="Times New Roman"/>
          <w:b/>
          <w:bCs/>
          <w:sz w:val="24"/>
          <w:szCs w:val="24"/>
        </w:rPr>
        <w:t>AFTER MEDIVAL PERIOD</w:t>
      </w:r>
    </w:p>
    <w:p w:rsidR="0038177C" w:rsidRPr="00101345" w:rsidRDefault="0040284C"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Law and order in the area were destroyed in the post-17th century due to the administration of the East India Company momentarily losing control. The English magistrates, however, cannot provide any scientific or logical proof of witchcraft or other paranormal abilities. As a result, the verdicts were rendered in favor of the accused witches and sorcerers. The tribal people used this freedom to purge the witches and wizards who had gathered due to the British government's influence. The trial of the witch-hunter's rebel, which takes place after the 18th century, argues that "personal animosity" and "materialistic gains" were the primary causes of the widespread practice of witch-hunting.</w:t>
      </w:r>
    </w:p>
    <w:p w:rsidR="0040284C" w:rsidRPr="00101345" w:rsidRDefault="0038177C"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 xml:space="preserve">The practice of witch-hunting expanded throughout Europe during the medieval centuries. The development of the witch trial as a tradition throughout the early modern era made things worse. People convicted of practicing witchcraft continued to be burnt alive during witch trials.  </w:t>
      </w:r>
    </w:p>
    <w:p w:rsidR="00B01EB3" w:rsidRPr="00B01EB3" w:rsidRDefault="00B01EB3" w:rsidP="009A41F0">
      <w:pPr>
        <w:pStyle w:val="ListParagraph"/>
        <w:numPr>
          <w:ilvl w:val="0"/>
          <w:numId w:val="4"/>
        </w:num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MORDEN WITCH HUNTING </w:t>
      </w:r>
    </w:p>
    <w:p w:rsidR="0038177C" w:rsidRPr="00101345" w:rsidRDefault="0038177C"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India is not an exception to such superstitious customs and beliefs, but after the 18th century, this psychological custom was disguised in many parts of the world, including Asia and Africa. Witchcraft and sorcery as a concept are still prevalent in the culture. Superstitious practices have frequently been used by both educated and illiterate people to treat disease, find love, and explain unfortunate happenings.</w:t>
      </w:r>
    </w:p>
    <w:p w:rsidR="0038177C" w:rsidRPr="00101345" w:rsidRDefault="0038177C"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 xml:space="preserve">The majority of contemporary witch hunts target the socially and economically disadvantaged. Additionally, it was noted that family members who participated in these acts of social cleansing were also involved. Witchcraft has emphasized its tight ties to morality and has also been connected to traditional healers, neo-paganism, and shamanism. </w:t>
      </w:r>
    </w:p>
    <w:p w:rsidR="0038177C" w:rsidRDefault="0038177C" w:rsidP="008025B7">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lastRenderedPageBreak/>
        <w:t>Three Indian states—Andhra Pradesh, Jharkhand, and Odisha—are among the most affected, with each having had roughly 400 fatalities in the previous 15 years, according to the NCRB report. Children have been victims of these depraved practices in Sub-Saharan Africa for the past three centuries. According to several studies, locations with bigger tribal populations than other demographics tend to see more witchcraft-related occurrences. The majority of these crimes occur in states or nations with scant economic development and little to no access to services for basic healthcare and education. According to data provided by the National Crimes Record Bureau, between 1999 and 2013 in India, there were 2391 murders or culpable homicides related to witch-hunting.</w:t>
      </w:r>
    </w:p>
    <w:p w:rsidR="00B01EB3" w:rsidRPr="00B01EB3" w:rsidRDefault="00B01EB3" w:rsidP="009A41F0">
      <w:pPr>
        <w:pStyle w:val="ListParagraph"/>
        <w:numPr>
          <w:ilvl w:val="0"/>
          <w:numId w:val="3"/>
        </w:numPr>
        <w:spacing w:line="360" w:lineRule="auto"/>
        <w:rPr>
          <w:rFonts w:ascii="Times New Roman" w:hAnsi="Times New Roman" w:cs="Times New Roman"/>
          <w:b/>
          <w:bCs/>
          <w:sz w:val="28"/>
          <w:szCs w:val="28"/>
          <w:u w:val="single"/>
        </w:rPr>
      </w:pPr>
      <w:r>
        <w:rPr>
          <w:rFonts w:ascii="Times New Roman" w:hAnsi="Times New Roman" w:cs="Times New Roman"/>
          <w:b/>
          <w:bCs/>
          <w:sz w:val="28"/>
          <w:szCs w:val="28"/>
          <w:u w:val="single"/>
        </w:rPr>
        <w:t>WITCH: DANGER TO SOCEITY:-</w:t>
      </w:r>
    </w:p>
    <w:p w:rsidR="009A41F0" w:rsidRPr="006478E7" w:rsidRDefault="003A440A" w:rsidP="00CE5782">
      <w:pPr>
        <w:spacing w:line="360" w:lineRule="auto"/>
        <w:jc w:val="both"/>
        <w:rPr>
          <w:rFonts w:ascii="Times New Roman" w:hAnsi="Times New Roman" w:cs="Times New Roman"/>
          <w:sz w:val="24"/>
          <w:szCs w:val="24"/>
        </w:rPr>
      </w:pPr>
      <w:r>
        <w:rPr>
          <w:rStyle w:val="FootnoteReference"/>
          <w:rFonts w:ascii="Times New Roman" w:hAnsi="Times New Roman" w:cs="Times New Roman"/>
          <w:sz w:val="24"/>
          <w:szCs w:val="24"/>
        </w:rPr>
        <w:footnoteReference w:id="5"/>
      </w:r>
      <w:r w:rsidR="00E535DD" w:rsidRPr="00101345">
        <w:rPr>
          <w:rFonts w:ascii="Times New Roman" w:hAnsi="Times New Roman" w:cs="Times New Roman"/>
          <w:sz w:val="24"/>
          <w:szCs w:val="24"/>
        </w:rPr>
        <w:t>India has long been associated with mythological narratives and snake charmers. It has a rich past full of stories, rituals, traditions, and strange superstitious practices. In the Indian subcontinent, witches are known as Chudail or Chudel (pronounced chew-dale). They are also known as Daayan (pronounced dye-en) in various regions. Regardless of their similar roots, there are significant conceptual distinctions in how these phrases are used in society. A Chudail is an Indian witch or female ghost who is said to be the result of a woman's death owing to some tragedy. The Indian witch myths vary greatly, with each having its own set of reasonings and fate. North Indian states, for example, believe that the Chudail can alter its physical shape and entice young men. She brings them into a lonely spot, then pounces on them to either murder or make personal contact with them, during which the victim's life is allegedly drained. However, many of these ideas are figments of obsolete conceptions with no compelling scientific or factual support to back them up</w:t>
      </w:r>
      <w:r w:rsidR="00B27C8A">
        <w:rPr>
          <w:rFonts w:ascii="Times New Roman" w:hAnsi="Times New Roman" w:cs="Times New Roman"/>
          <w:sz w:val="24"/>
          <w:szCs w:val="24"/>
        </w:rPr>
        <w:t>.</w:t>
      </w:r>
    </w:p>
    <w:p w:rsidR="00E535DD" w:rsidRPr="009A41F0" w:rsidRDefault="00B01EB3" w:rsidP="009A41F0">
      <w:pPr>
        <w:pStyle w:val="ListParagraph"/>
        <w:numPr>
          <w:ilvl w:val="0"/>
          <w:numId w:val="3"/>
        </w:numPr>
        <w:spacing w:line="360" w:lineRule="auto"/>
        <w:rPr>
          <w:rFonts w:ascii="Times New Roman" w:hAnsi="Times New Roman" w:cs="Times New Roman"/>
          <w:b/>
          <w:bCs/>
          <w:sz w:val="28"/>
          <w:szCs w:val="28"/>
          <w:u w:val="single"/>
        </w:rPr>
      </w:pPr>
      <w:r w:rsidRPr="009A41F0">
        <w:rPr>
          <w:rFonts w:ascii="Times New Roman" w:hAnsi="Times New Roman" w:cs="Times New Roman"/>
          <w:b/>
          <w:bCs/>
          <w:sz w:val="28"/>
          <w:szCs w:val="28"/>
          <w:u w:val="single"/>
        </w:rPr>
        <w:t>WITCHCRAFT HUNTING:-</w:t>
      </w:r>
    </w:p>
    <w:p w:rsidR="00E535DD" w:rsidRPr="00101345" w:rsidRDefault="003A440A" w:rsidP="00CE5782">
      <w:pPr>
        <w:spacing w:line="360" w:lineRule="auto"/>
        <w:jc w:val="both"/>
        <w:rPr>
          <w:rFonts w:ascii="Times New Roman" w:hAnsi="Times New Roman" w:cs="Times New Roman"/>
          <w:sz w:val="24"/>
          <w:szCs w:val="24"/>
        </w:rPr>
      </w:pPr>
      <w:r>
        <w:rPr>
          <w:rStyle w:val="FootnoteReference"/>
          <w:rFonts w:ascii="Times New Roman" w:hAnsi="Times New Roman" w:cs="Times New Roman"/>
          <w:sz w:val="24"/>
          <w:szCs w:val="24"/>
        </w:rPr>
        <w:footnoteReference w:id="6"/>
      </w:r>
      <w:r w:rsidR="00E535DD" w:rsidRPr="00101345">
        <w:rPr>
          <w:rFonts w:ascii="Times New Roman" w:hAnsi="Times New Roman" w:cs="Times New Roman"/>
          <w:sz w:val="24"/>
          <w:szCs w:val="24"/>
        </w:rPr>
        <w:t xml:space="preserve">In the popular imagination, witchcraft is sometimes connected with the belief in the imposition of damage on people or property via the alleged use of supernatural abilities possessed by an individual (identified as a witch). It is a sociological or anthropological phenomenon in which such concepts are evoked into the collective conscience of society to provide an explanation for the tragedy produced by attributing it to the nefarious influence of someone. Thus, witchcraft has traditionally been used to bring </w:t>
      </w:r>
      <w:r w:rsidR="00E535DD" w:rsidRPr="00101345">
        <w:rPr>
          <w:rFonts w:ascii="Times New Roman" w:hAnsi="Times New Roman" w:cs="Times New Roman"/>
          <w:sz w:val="24"/>
          <w:szCs w:val="24"/>
        </w:rPr>
        <w:lastRenderedPageBreak/>
        <w:t>about the murder of some annoying individual, or to arouse the passion of love in those who are the objects of desire, or to summon up the dead, or to inflict catastrophe or impotence upon enemies, competitors, and fictitious oppressors.</w:t>
      </w:r>
      <w:r w:rsidR="00465511" w:rsidRPr="00101345">
        <w:rPr>
          <w:rFonts w:ascii="Times New Roman" w:hAnsi="Times New Roman" w:cs="Times New Roman"/>
          <w:sz w:val="24"/>
          <w:szCs w:val="24"/>
        </w:rPr>
        <w:t xml:space="preserve"> </w:t>
      </w:r>
      <w:r w:rsidR="00465511" w:rsidRPr="00101345">
        <w:rPr>
          <w:rStyle w:val="FootnoteReference"/>
          <w:rFonts w:ascii="Times New Roman" w:hAnsi="Times New Roman" w:cs="Times New Roman"/>
          <w:sz w:val="24"/>
          <w:szCs w:val="24"/>
        </w:rPr>
        <w:footnoteReference w:id="7"/>
      </w:r>
      <w:r w:rsidR="00E535DD" w:rsidRPr="00101345">
        <w:rPr>
          <w:rFonts w:ascii="Times New Roman" w:hAnsi="Times New Roman" w:cs="Times New Roman"/>
          <w:sz w:val="24"/>
          <w:szCs w:val="24"/>
        </w:rPr>
        <w:t>In terms of beliefs in witches and witchcraft, five qualities are common across var</w:t>
      </w:r>
      <w:r w:rsidR="00465511" w:rsidRPr="00101345">
        <w:rPr>
          <w:rFonts w:ascii="Times New Roman" w:hAnsi="Times New Roman" w:cs="Times New Roman"/>
          <w:sz w:val="24"/>
          <w:szCs w:val="24"/>
        </w:rPr>
        <w:t>ious countries and societies</w:t>
      </w:r>
      <w:r w:rsidR="00465511" w:rsidRPr="00101345">
        <w:rPr>
          <w:rStyle w:val="FootnoteReference"/>
          <w:rFonts w:ascii="Times New Roman" w:hAnsi="Times New Roman" w:cs="Times New Roman"/>
          <w:sz w:val="24"/>
          <w:szCs w:val="24"/>
        </w:rPr>
        <w:footnoteReference w:id="8"/>
      </w:r>
    </w:p>
    <w:p w:rsidR="00E535DD" w:rsidRPr="00101345" w:rsidRDefault="00E535DD" w:rsidP="009A41F0">
      <w:pPr>
        <w:spacing w:line="360" w:lineRule="auto"/>
        <w:rPr>
          <w:rFonts w:ascii="Times New Roman" w:hAnsi="Times New Roman" w:cs="Times New Roman"/>
          <w:sz w:val="24"/>
          <w:szCs w:val="24"/>
        </w:rPr>
      </w:pPr>
    </w:p>
    <w:p w:rsidR="00E535DD" w:rsidRPr="00101345" w:rsidRDefault="00E535DD" w:rsidP="00CE5782">
      <w:pPr>
        <w:pStyle w:val="ListParagraph"/>
        <w:numPr>
          <w:ilvl w:val="0"/>
          <w:numId w:val="2"/>
        </w:num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Witches employ non-physical ways to create harm or misfortune to others.</w:t>
      </w:r>
    </w:p>
    <w:p w:rsidR="00E535DD" w:rsidRPr="00101345" w:rsidRDefault="00E535DD" w:rsidP="00CE5782">
      <w:pPr>
        <w:pStyle w:val="ListParagraph"/>
        <w:numPr>
          <w:ilvl w:val="0"/>
          <w:numId w:val="2"/>
        </w:num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Neighbors or family members are more likely to be harmed than outsiders.</w:t>
      </w:r>
    </w:p>
    <w:p w:rsidR="00E535DD" w:rsidRPr="00101345" w:rsidRDefault="00E535DD" w:rsidP="00CE5782">
      <w:pPr>
        <w:pStyle w:val="ListParagraph"/>
        <w:numPr>
          <w:ilvl w:val="0"/>
          <w:numId w:val="2"/>
        </w:num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Strong societal censure ensues, in part due to the aspect of secret and in part due to their goals being venom and spite rather than riches or status.</w:t>
      </w:r>
    </w:p>
    <w:p w:rsidR="00465511" w:rsidRPr="00101345" w:rsidRDefault="00E535DD" w:rsidP="00CE5782">
      <w:pPr>
        <w:pStyle w:val="ListParagraph"/>
        <w:numPr>
          <w:ilvl w:val="0"/>
          <w:numId w:val="2"/>
        </w:num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 xml:space="preserve">Other people can oppose witches by persuasion, non-physical measures (counter magic), or </w:t>
      </w:r>
      <w:r w:rsidR="00465511" w:rsidRPr="00101345">
        <w:rPr>
          <w:rFonts w:ascii="Times New Roman" w:hAnsi="Times New Roman" w:cs="Times New Roman"/>
          <w:color w:val="000000"/>
          <w:sz w:val="24"/>
          <w:szCs w:val="24"/>
          <w:shd w:val="clear" w:color="auto" w:fill="FFFFFF"/>
        </w:rPr>
        <w:t>deterrence including through corporal punishment, exile, fines or execution.</w:t>
      </w:r>
    </w:p>
    <w:p w:rsidR="00E30C21" w:rsidRPr="00101345" w:rsidRDefault="00465511" w:rsidP="00CE5782">
      <w:pPr>
        <w:spacing w:line="360" w:lineRule="auto"/>
        <w:ind w:firstLine="720"/>
        <w:jc w:val="both"/>
        <w:rPr>
          <w:rFonts w:ascii="Times New Roman" w:hAnsi="Times New Roman" w:cs="Times New Roman"/>
          <w:sz w:val="24"/>
          <w:szCs w:val="24"/>
        </w:rPr>
      </w:pPr>
      <w:r w:rsidRPr="00101345">
        <w:rPr>
          <w:rFonts w:ascii="Times New Roman" w:hAnsi="Times New Roman" w:cs="Times New Roman"/>
          <w:sz w:val="24"/>
          <w:szCs w:val="24"/>
        </w:rPr>
        <w:t>Witchcraft is also commonly connected with neo-paganism, shamanism, and the works of traditional healers. Some have emphasized its tight connections to moral and larger belief systems, portraying it more benignly as offering a framework of moral agency that allows believers to make sense of otherwise seemingly unexplained coincidences or incidents.</w:t>
      </w:r>
      <w:r w:rsidRPr="00101345">
        <w:rPr>
          <w:rStyle w:val="FootnoteReference"/>
          <w:rFonts w:ascii="Times New Roman" w:hAnsi="Times New Roman" w:cs="Times New Roman"/>
          <w:sz w:val="24"/>
          <w:szCs w:val="24"/>
        </w:rPr>
        <w:footnoteReference w:id="9"/>
      </w:r>
      <w:r w:rsidRPr="00101345">
        <w:rPr>
          <w:rFonts w:ascii="Times New Roman" w:hAnsi="Times New Roman" w:cs="Times New Roman"/>
          <w:sz w:val="24"/>
          <w:szCs w:val="24"/>
        </w:rPr>
        <w:t xml:space="preserve"> It is also connected with good meanings like healing or cleaning, as well as a technique for expressing and copi</w:t>
      </w:r>
      <w:r w:rsidR="00E30C21" w:rsidRPr="00101345">
        <w:rPr>
          <w:rFonts w:ascii="Times New Roman" w:hAnsi="Times New Roman" w:cs="Times New Roman"/>
          <w:sz w:val="24"/>
          <w:szCs w:val="24"/>
        </w:rPr>
        <w:t>ng with psychological issues.</w:t>
      </w:r>
      <w:r w:rsidR="00E30C21" w:rsidRPr="00101345">
        <w:rPr>
          <w:rStyle w:val="FootnoteReference"/>
          <w:rFonts w:ascii="Times New Roman" w:hAnsi="Times New Roman" w:cs="Times New Roman"/>
          <w:sz w:val="24"/>
          <w:szCs w:val="24"/>
        </w:rPr>
        <w:footnoteReference w:id="10"/>
      </w:r>
    </w:p>
    <w:p w:rsidR="00920F27" w:rsidRPr="00101345" w:rsidRDefault="00E30C21" w:rsidP="00CE5782">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Stewart and Strathern</w:t>
      </w:r>
      <w:r w:rsidRPr="00101345">
        <w:rPr>
          <w:rStyle w:val="FootnoteReference"/>
          <w:rFonts w:ascii="Times New Roman" w:hAnsi="Times New Roman" w:cs="Times New Roman"/>
          <w:sz w:val="24"/>
          <w:szCs w:val="24"/>
        </w:rPr>
        <w:footnoteReference w:id="11"/>
      </w:r>
      <w:r w:rsidRPr="00101345">
        <w:rPr>
          <w:rFonts w:ascii="Times New Roman" w:hAnsi="Times New Roman" w:cs="Times New Roman"/>
          <w:sz w:val="24"/>
          <w:szCs w:val="24"/>
        </w:rPr>
        <w:t xml:space="preserve"> conducted extensive research on the role of rumors and gossip in witchcraft allegations. Their theory is that rumor and gossip play an important part in the early phases of tense situations that might lead to accusations. Data from Indian witch hunts show that "whispering" efforts play a critical role in ostracising a witch and rallying sympathy for her accusers. Rumors allow people to believe anything they want to believe (in this example, the witch's terrible actions), and they replace </w:t>
      </w:r>
      <w:r w:rsidRPr="00101345">
        <w:rPr>
          <w:rFonts w:ascii="Times New Roman" w:hAnsi="Times New Roman" w:cs="Times New Roman"/>
          <w:sz w:val="24"/>
          <w:szCs w:val="24"/>
        </w:rPr>
        <w:lastRenderedPageBreak/>
        <w:t>truth (Stewart &amp; Strathern, 2004). This strengthens the position of accused women as easy and plau</w:t>
      </w:r>
      <w:r w:rsidR="00920F27" w:rsidRPr="00101345">
        <w:rPr>
          <w:rFonts w:ascii="Times New Roman" w:hAnsi="Times New Roman" w:cs="Times New Roman"/>
          <w:sz w:val="24"/>
          <w:szCs w:val="24"/>
        </w:rPr>
        <w:t>sible targets or scapegoats.</w:t>
      </w:r>
      <w:r w:rsidR="00920F27" w:rsidRPr="00101345">
        <w:rPr>
          <w:rStyle w:val="FootnoteReference"/>
          <w:rFonts w:ascii="Times New Roman" w:hAnsi="Times New Roman" w:cs="Times New Roman"/>
          <w:sz w:val="24"/>
          <w:szCs w:val="24"/>
        </w:rPr>
        <w:footnoteReference w:id="12"/>
      </w:r>
    </w:p>
    <w:p w:rsidR="003C2C9B" w:rsidRPr="00101345" w:rsidRDefault="003C2C9B" w:rsidP="00CE5782">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According to Balwant, a male tribal social activist, most witch charges come from small family or neighborhood conflicts amongst women (ghorelu jogra).</w:t>
      </w:r>
      <w:r w:rsidRPr="00101345">
        <w:rPr>
          <w:rStyle w:val="FootnoteReference"/>
          <w:rFonts w:ascii="Times New Roman" w:hAnsi="Times New Roman" w:cs="Times New Roman"/>
          <w:sz w:val="24"/>
          <w:szCs w:val="24"/>
        </w:rPr>
        <w:footnoteReference w:id="13"/>
      </w:r>
      <w:r w:rsidRPr="00101345">
        <w:rPr>
          <w:rFonts w:ascii="Times New Roman" w:hAnsi="Times New Roman" w:cs="Times New Roman"/>
          <w:sz w:val="24"/>
          <w:szCs w:val="24"/>
        </w:rPr>
        <w:t>Many feminist scholars agree with this argument when it comes to witch hunts. Balwant has also stated that males, who are generally the decision-makers in such circumstances, use women's disputes to further their own goals. Thus, the women (the suspected witch and those who brought the charge against her) are only scapegoats in the larger scheme hatched by the males of the hamlet.</w:t>
      </w:r>
      <w:r w:rsidRPr="00101345">
        <w:rPr>
          <w:rStyle w:val="FootnoteReference"/>
          <w:rFonts w:ascii="Times New Roman" w:hAnsi="Times New Roman" w:cs="Times New Roman"/>
          <w:sz w:val="24"/>
          <w:szCs w:val="24"/>
        </w:rPr>
        <w:footnoteReference w:id="14"/>
      </w:r>
    </w:p>
    <w:p w:rsidR="00920F27" w:rsidRPr="00101345" w:rsidRDefault="00920F27" w:rsidP="00CE5782">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Surprise Witch Hunts - In situations of surprise assaults, the woman victims and their families were or claimed to be uninformed of the charges leveled against them prior to the attack. The incident occurred without any prior disagreement or any history of witchcraft allegations against the alleged witch.</w:t>
      </w:r>
    </w:p>
    <w:p w:rsidR="00920F27" w:rsidRPr="00101345" w:rsidRDefault="00920F27" w:rsidP="00CE5782">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Petty brawls, illnesses, and small disputes in these surprise attacks were used as "legitimizing incidents" to launch the witch hunt and rally support against the target. In deliberate attacks, the size of the conflict that leads to the commencement of a hunt is greater than in surprise attacks. Ridding the community of witchcraft or bad magic functioned as a cover for the true purpose, an ulterior motive, in the premeditated attacks. These ulterior objectives included resolving a financial issue, property problems, and personal animosity. The accusers' aims in the surprise category of hunts were not ulterior reasons, but the eradicat</w:t>
      </w:r>
      <w:r w:rsidR="003C2C9B" w:rsidRPr="00101345">
        <w:rPr>
          <w:rFonts w:ascii="Times New Roman" w:hAnsi="Times New Roman" w:cs="Times New Roman"/>
          <w:sz w:val="24"/>
          <w:szCs w:val="24"/>
        </w:rPr>
        <w:t>ion of evil from the town.</w:t>
      </w:r>
      <w:r w:rsidR="003C2C9B" w:rsidRPr="00101345">
        <w:rPr>
          <w:rStyle w:val="FootnoteReference"/>
          <w:rFonts w:ascii="Times New Roman" w:hAnsi="Times New Roman" w:cs="Times New Roman"/>
          <w:sz w:val="24"/>
          <w:szCs w:val="24"/>
        </w:rPr>
        <w:footnoteReference w:id="15"/>
      </w:r>
    </w:p>
    <w:p w:rsidR="00B01EB3" w:rsidRPr="00B01EB3" w:rsidRDefault="00B01EB3" w:rsidP="009A41F0">
      <w:pPr>
        <w:pStyle w:val="ListParagraph"/>
        <w:numPr>
          <w:ilvl w:val="0"/>
          <w:numId w:val="3"/>
        </w:numPr>
        <w:spacing w:line="360" w:lineRule="auto"/>
        <w:rPr>
          <w:rStyle w:val="Emphasis"/>
          <w:rFonts w:ascii="Times New Roman" w:hAnsi="Times New Roman" w:cs="Times New Roman"/>
          <w:b/>
          <w:bCs/>
          <w:i w:val="0"/>
          <w:iCs w:val="0"/>
          <w:color w:val="000000"/>
          <w:sz w:val="28"/>
          <w:szCs w:val="28"/>
          <w:u w:val="single"/>
          <w:shd w:val="clear" w:color="auto" w:fill="FFFFFF"/>
        </w:rPr>
      </w:pPr>
      <w:r>
        <w:rPr>
          <w:rStyle w:val="Emphasis"/>
          <w:rFonts w:ascii="Times New Roman" w:hAnsi="Times New Roman" w:cs="Times New Roman"/>
          <w:b/>
          <w:bCs/>
          <w:i w:val="0"/>
          <w:iCs w:val="0"/>
          <w:color w:val="000000"/>
          <w:sz w:val="28"/>
          <w:szCs w:val="28"/>
          <w:u w:val="single"/>
          <w:shd w:val="clear" w:color="auto" w:fill="FFFFFF"/>
        </w:rPr>
        <w:t>VITMIZATION PROCESS:-</w:t>
      </w:r>
    </w:p>
    <w:p w:rsidR="003C2C9B" w:rsidRPr="00101345" w:rsidRDefault="003C2C9B" w:rsidP="00CE5782">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According to the different studies that have been undertaken on the subject, not only women but also men and, at times, children are accused of witchcraft and must face the weight of the evil of witch-hunting.</w:t>
      </w:r>
    </w:p>
    <w:p w:rsidR="003C2C9B" w:rsidRPr="00101345" w:rsidRDefault="003C2C9B" w:rsidP="00CE5782">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 xml:space="preserve">But how does all of this take place? How quickly are people labelled as witches? What goes in the offenders' heads? Where does it all begin, and what are the many phases that lead to the crime? These are some of the concerns that have arisen throughout the research and must be addressed in order to </w:t>
      </w:r>
      <w:r w:rsidRPr="00101345">
        <w:rPr>
          <w:rFonts w:ascii="Times New Roman" w:hAnsi="Times New Roman" w:cs="Times New Roman"/>
          <w:sz w:val="24"/>
          <w:szCs w:val="24"/>
        </w:rPr>
        <w:lastRenderedPageBreak/>
        <w:t>determine why this activity lacks realism and is entirely based on myths and concoctions. A few witch-doctors (called ojha) use a gimmick to make a living, and it has been a lucrative business for them at times.</w:t>
      </w:r>
    </w:p>
    <w:p w:rsidR="006D6A6B" w:rsidRPr="00101345" w:rsidRDefault="006D6A6B" w:rsidP="00CE5782">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The presence of a dispute/difference between the criminal and the victim is the first step. It might be a difference in the victim's physical appearance, a difference in social standing, or a behavioral difference that causes suspicion, or it can be a conflict such as a property dispute, ego issues, dislikes, or a feud, which can sometimes be latent. This builds a dislike in the perpetrator's head. The next step is the occurrence of an unfavorable incidence such as unexpected disease or death, loss of property, insufficient monsoons, crop devastation, and so on, for which the offenders blame the victim.</w:t>
      </w:r>
    </w:p>
    <w:p w:rsidR="009A41F0" w:rsidRPr="006478E7" w:rsidRDefault="006D6A6B" w:rsidP="00CE5782">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The second step is frequently foul play, so that the victim may be blamed for something and the score can be settled. "They tried to take my land and sell it without my permission." "When I confronted them, they called me a 'dayan' (witch), blamed me for many bad things in the village, and nearly killed me," one victim claimed.</w:t>
      </w:r>
      <w:r w:rsidRPr="00101345">
        <w:rPr>
          <w:rStyle w:val="FootnoteReference"/>
          <w:rFonts w:ascii="Times New Roman" w:hAnsi="Times New Roman" w:cs="Times New Roman"/>
          <w:sz w:val="24"/>
          <w:szCs w:val="24"/>
        </w:rPr>
        <w:footnoteReference w:id="16"/>
      </w:r>
    </w:p>
    <w:p w:rsidR="00920F27" w:rsidRPr="00B01EB3" w:rsidRDefault="00B01EB3" w:rsidP="009A41F0">
      <w:pPr>
        <w:pStyle w:val="ListParagraph"/>
        <w:numPr>
          <w:ilvl w:val="0"/>
          <w:numId w:val="3"/>
        </w:numPr>
        <w:spacing w:line="360" w:lineRule="auto"/>
        <w:rPr>
          <w:rFonts w:ascii="Times New Roman" w:hAnsi="Times New Roman" w:cs="Times New Roman"/>
          <w:b/>
          <w:bCs/>
          <w:sz w:val="28"/>
          <w:szCs w:val="28"/>
          <w:u w:val="single"/>
        </w:rPr>
      </w:pPr>
      <w:r>
        <w:rPr>
          <w:rFonts w:ascii="Times New Roman" w:hAnsi="Times New Roman" w:cs="Times New Roman"/>
          <w:b/>
          <w:bCs/>
          <w:sz w:val="28"/>
          <w:szCs w:val="28"/>
          <w:u w:val="single"/>
        </w:rPr>
        <w:t>CASE LAWS ON WITCH HUNTING:-</w:t>
      </w:r>
    </w:p>
    <w:p w:rsidR="004566B2" w:rsidRPr="00B01EB3" w:rsidRDefault="004566B2" w:rsidP="009A41F0">
      <w:pPr>
        <w:pStyle w:val="Heading2"/>
        <w:numPr>
          <w:ilvl w:val="0"/>
          <w:numId w:val="5"/>
        </w:numPr>
        <w:shd w:val="clear" w:color="auto" w:fill="FFFFFF"/>
        <w:spacing w:before="360" w:after="240" w:line="360" w:lineRule="auto"/>
        <w:rPr>
          <w:rFonts w:ascii="Times New Roman" w:hAnsi="Times New Roman" w:cs="Times New Roman"/>
          <w:color w:val="111111"/>
          <w:sz w:val="24"/>
          <w:szCs w:val="24"/>
        </w:rPr>
      </w:pPr>
      <w:r w:rsidRPr="00B01EB3">
        <w:rPr>
          <w:rFonts w:ascii="Times New Roman" w:hAnsi="Times New Roman" w:cs="Times New Roman"/>
          <w:color w:val="111111"/>
          <w:sz w:val="24"/>
          <w:szCs w:val="24"/>
        </w:rPr>
        <w:t>Bhim Turi v. the State of Assam</w:t>
      </w:r>
      <w:r w:rsidR="003A440A">
        <w:rPr>
          <w:rStyle w:val="FootnoteReference"/>
          <w:rFonts w:ascii="Times New Roman" w:hAnsi="Times New Roman" w:cs="Times New Roman"/>
          <w:color w:val="111111"/>
          <w:sz w:val="24"/>
          <w:szCs w:val="24"/>
        </w:rPr>
        <w:footnoteReference w:id="17"/>
      </w:r>
    </w:p>
    <w:p w:rsidR="004566B2" w:rsidRPr="00101345" w:rsidRDefault="004566B2" w:rsidP="00CE5782">
      <w:pPr>
        <w:spacing w:line="360" w:lineRule="auto"/>
        <w:jc w:val="both"/>
        <w:rPr>
          <w:rFonts w:ascii="Times New Roman" w:hAnsi="Times New Roman" w:cs="Times New Roman"/>
          <w:sz w:val="24"/>
          <w:szCs w:val="24"/>
        </w:rPr>
      </w:pPr>
      <w:r w:rsidRPr="00101345">
        <w:rPr>
          <w:rFonts w:ascii="Times New Roman" w:hAnsi="Times New Roman" w:cs="Times New Roman"/>
          <w:sz w:val="24"/>
          <w:szCs w:val="24"/>
        </w:rPr>
        <w:t>In this instance, the court stated that in the North-Eastern states, predominantly elder women are labelled as witches and subjected to harsh treatment in the guise of purging evil from society. The court further described this type of crime as one of the worst types of human rights violation, adding that it is not limited to Assam and is founded in faulty quasi-religious beliefs, ancient socio-cultural customs, and excessive superstitious practises.</w:t>
      </w:r>
    </w:p>
    <w:p w:rsidR="004566B2" w:rsidRPr="00B01EB3" w:rsidRDefault="004566B2" w:rsidP="009A41F0">
      <w:pPr>
        <w:pStyle w:val="Heading2"/>
        <w:numPr>
          <w:ilvl w:val="0"/>
          <w:numId w:val="6"/>
        </w:numPr>
        <w:shd w:val="clear" w:color="auto" w:fill="FFFFFF"/>
        <w:spacing w:before="360" w:after="240" w:line="360" w:lineRule="auto"/>
        <w:rPr>
          <w:rFonts w:ascii="Times New Roman" w:hAnsi="Times New Roman" w:cs="Times New Roman"/>
          <w:color w:val="111111"/>
          <w:sz w:val="24"/>
          <w:szCs w:val="24"/>
        </w:rPr>
      </w:pPr>
      <w:r w:rsidRPr="00B01EB3">
        <w:rPr>
          <w:rFonts w:ascii="Times New Roman" w:hAnsi="Times New Roman" w:cs="Times New Roman"/>
          <w:color w:val="111111"/>
          <w:sz w:val="24"/>
          <w:szCs w:val="24"/>
        </w:rPr>
        <w:t>Tula Devi v. the State of Jharkhand</w:t>
      </w:r>
      <w:r w:rsidR="009A41F0">
        <w:rPr>
          <w:rStyle w:val="FootnoteReference"/>
          <w:rFonts w:ascii="Times New Roman" w:hAnsi="Times New Roman" w:cs="Times New Roman"/>
          <w:color w:val="111111"/>
          <w:sz w:val="24"/>
          <w:szCs w:val="24"/>
        </w:rPr>
        <w:footnoteReference w:id="18"/>
      </w:r>
    </w:p>
    <w:p w:rsidR="00B01EB3" w:rsidRDefault="004566B2" w:rsidP="00CE5782">
      <w:pPr>
        <w:pStyle w:val="NormalWeb"/>
        <w:shd w:val="clear" w:color="auto" w:fill="FFFFFF"/>
        <w:spacing w:before="0" w:beforeAutospacing="0" w:after="312" w:afterAutospacing="0" w:line="360" w:lineRule="auto"/>
        <w:jc w:val="both"/>
        <w:rPr>
          <w:color w:val="222222"/>
        </w:rPr>
      </w:pPr>
      <w:r w:rsidRPr="00101345">
        <w:rPr>
          <w:color w:val="222222"/>
        </w:rPr>
        <w:t xml:space="preserve">In </w:t>
      </w:r>
      <w:r w:rsidRPr="00CE5782">
        <w:rPr>
          <w:color w:val="000000" w:themeColor="text1"/>
        </w:rPr>
        <w:t>this </w:t>
      </w:r>
      <w:hyperlink r:id="rId8" w:tgtFrame="_blank" w:history="1">
        <w:r w:rsidRPr="00CE5782">
          <w:rPr>
            <w:rStyle w:val="Hyperlink"/>
            <w:i/>
            <w:iCs/>
            <w:color w:val="000000" w:themeColor="text1"/>
            <w:u w:val="none"/>
          </w:rPr>
          <w:t>case</w:t>
        </w:r>
      </w:hyperlink>
      <w:r w:rsidRPr="00CE5782">
        <w:rPr>
          <w:color w:val="000000" w:themeColor="text1"/>
        </w:rPr>
        <w:t>,</w:t>
      </w:r>
      <w:r w:rsidRPr="00101345">
        <w:rPr>
          <w:color w:val="222222"/>
        </w:rPr>
        <w:t xml:space="preserve"> the respondent alleged that the petitioner used to call and address her as a Daain for the last two years and it was further threatened that a Daain would not be allowed to live there. The court </w:t>
      </w:r>
      <w:r w:rsidRPr="00CE5782">
        <w:rPr>
          <w:color w:val="000000" w:themeColor="text1"/>
        </w:rPr>
        <w:lastRenderedPageBreak/>
        <w:t>quashed the cognizance under the </w:t>
      </w:r>
      <w:hyperlink r:id="rId9" w:tgtFrame="_blank" w:history="1">
        <w:r w:rsidRPr="00CE5782">
          <w:rPr>
            <w:rStyle w:val="Hyperlink"/>
            <w:color w:val="000000" w:themeColor="text1"/>
            <w:u w:val="none"/>
          </w:rPr>
          <w:t>Prevention of Witch (Daain) Practice Act, 1999,</w:t>
        </w:r>
      </w:hyperlink>
      <w:r w:rsidRPr="00CE5782">
        <w:rPr>
          <w:color w:val="000000" w:themeColor="text1"/>
        </w:rPr>
        <w:t> but the conviction of the defendants was upheld as per the offenses under the </w:t>
      </w:r>
      <w:hyperlink r:id="rId10" w:tgtFrame="_blank" w:history="1">
        <w:r w:rsidRPr="00CE5782">
          <w:rPr>
            <w:rStyle w:val="Hyperlink"/>
            <w:color w:val="000000" w:themeColor="text1"/>
            <w:u w:val="none"/>
          </w:rPr>
          <w:t>IPC</w:t>
        </w:r>
      </w:hyperlink>
      <w:r w:rsidRPr="00CE5782">
        <w:rPr>
          <w:color w:val="000000" w:themeColor="text1"/>
        </w:rPr>
        <w:t>.</w:t>
      </w:r>
      <w:r w:rsidRPr="00101345">
        <w:rPr>
          <w:color w:val="222222"/>
        </w:rPr>
        <w:t> </w:t>
      </w:r>
    </w:p>
    <w:p w:rsidR="00A4320E" w:rsidRPr="00CE5782" w:rsidRDefault="00A4320E" w:rsidP="009A41F0">
      <w:pPr>
        <w:pStyle w:val="NormalWeb"/>
        <w:numPr>
          <w:ilvl w:val="0"/>
          <w:numId w:val="7"/>
        </w:numPr>
        <w:shd w:val="clear" w:color="auto" w:fill="FFFFFF"/>
        <w:spacing w:before="0" w:beforeAutospacing="0" w:after="312" w:afterAutospacing="0" w:line="360" w:lineRule="auto"/>
        <w:rPr>
          <w:b/>
          <w:bCs/>
          <w:color w:val="222222"/>
        </w:rPr>
      </w:pPr>
      <w:r w:rsidRPr="00CE5782">
        <w:rPr>
          <w:b/>
          <w:bCs/>
          <w:color w:val="111111"/>
        </w:rPr>
        <w:t>Madhu Munda &amp; Ors. v State of Bihar</w:t>
      </w:r>
      <w:r w:rsidR="009A41F0" w:rsidRPr="00CE5782">
        <w:rPr>
          <w:rStyle w:val="FootnoteReference"/>
          <w:b/>
          <w:bCs/>
          <w:color w:val="111111"/>
        </w:rPr>
        <w:footnoteReference w:id="19"/>
      </w:r>
    </w:p>
    <w:p w:rsidR="00A4320E" w:rsidRPr="00101345" w:rsidRDefault="00A4320E" w:rsidP="00CE5782">
      <w:pPr>
        <w:pStyle w:val="NormalWeb"/>
        <w:shd w:val="clear" w:color="auto" w:fill="FFFFFF"/>
        <w:spacing w:before="0" w:beforeAutospacing="0" w:after="312" w:afterAutospacing="0" w:line="360" w:lineRule="auto"/>
        <w:jc w:val="both"/>
        <w:rPr>
          <w:color w:val="222222"/>
        </w:rPr>
      </w:pPr>
      <w:r w:rsidRPr="00CE5782">
        <w:t>In the </w:t>
      </w:r>
      <w:hyperlink r:id="rId11" w:tgtFrame="_blank" w:history="1">
        <w:r w:rsidRPr="00CE5782">
          <w:rPr>
            <w:rStyle w:val="Hyperlink"/>
            <w:i/>
            <w:iCs/>
            <w:color w:val="auto"/>
            <w:u w:val="none"/>
          </w:rPr>
          <w:t>Madhu Munda case</w:t>
        </w:r>
      </w:hyperlink>
      <w:r w:rsidRPr="00CE5782">
        <w:t>, the court’s order of conviction was set aside because of the delay in lodging the FIR and the inability to prove that some wrong was caused to the appellants or the family members due to the alleged witchcraft of the deceased</w:t>
      </w:r>
      <w:r w:rsidRPr="00101345">
        <w:rPr>
          <w:color w:val="222222"/>
        </w:rPr>
        <w:t>.</w:t>
      </w:r>
    </w:p>
    <w:p w:rsidR="000F6AD4" w:rsidRDefault="000F6AD4" w:rsidP="009A41F0">
      <w:pPr>
        <w:pStyle w:val="ListParagraph"/>
        <w:numPr>
          <w:ilvl w:val="0"/>
          <w:numId w:val="3"/>
        </w:numPr>
        <w:spacing w:line="360" w:lineRule="auto"/>
        <w:rPr>
          <w:rFonts w:ascii="Times New Roman" w:hAnsi="Times New Roman" w:cs="Times New Roman"/>
          <w:sz w:val="28"/>
          <w:szCs w:val="28"/>
        </w:rPr>
      </w:pPr>
      <w:r>
        <w:rPr>
          <w:rFonts w:ascii="Times New Roman" w:hAnsi="Times New Roman" w:cs="Times New Roman"/>
          <w:b/>
          <w:bCs/>
          <w:sz w:val="28"/>
          <w:szCs w:val="28"/>
          <w:u w:val="single"/>
        </w:rPr>
        <w:t xml:space="preserve">SUGGESTION:- </w:t>
      </w:r>
    </w:p>
    <w:p w:rsidR="003A440A" w:rsidRDefault="000F6AD4" w:rsidP="00CE5782">
      <w:pPr>
        <w:tabs>
          <w:tab w:val="left" w:pos="996"/>
        </w:tabs>
        <w:spacing w:line="360" w:lineRule="auto"/>
        <w:jc w:val="both"/>
        <w:rPr>
          <w:rFonts w:ascii="Times New Roman" w:hAnsi="Times New Roman" w:cs="Times New Roman"/>
          <w:sz w:val="24"/>
          <w:szCs w:val="24"/>
        </w:rPr>
      </w:pPr>
      <w:r w:rsidRPr="000F6AD4">
        <w:rPr>
          <w:rFonts w:ascii="Times New Roman" w:hAnsi="Times New Roman" w:cs="Times New Roman"/>
          <w:sz w:val="24"/>
          <w:szCs w:val="24"/>
        </w:rPr>
        <w:t>On the basis of the study's findings, it is recommended that future research on witchcraft and human rights use an interdisciplinary strategy that takes into account viewpoints from anthropology, sociology, psychology, law, gender studies, and human rights. This can give a thorough knowledge of the intricate social, cultural, and gender variables at play in charges of witchcraft and provide better guidance for developing measures to address human rights abuses resulting from witchcraft doctrines and practices.</w:t>
      </w:r>
    </w:p>
    <w:p w:rsidR="00E535DD" w:rsidRDefault="003A440A" w:rsidP="00CE5782">
      <w:pPr>
        <w:spacing w:line="360" w:lineRule="auto"/>
        <w:jc w:val="both"/>
        <w:rPr>
          <w:rFonts w:ascii="Times New Roman" w:hAnsi="Times New Roman" w:cs="Times New Roman"/>
          <w:sz w:val="24"/>
          <w:szCs w:val="24"/>
        </w:rPr>
      </w:pPr>
      <w:r w:rsidRPr="003A440A">
        <w:rPr>
          <w:rFonts w:ascii="Times New Roman" w:hAnsi="Times New Roman" w:cs="Times New Roman"/>
          <w:sz w:val="24"/>
          <w:szCs w:val="24"/>
        </w:rPr>
        <w:t>Further investigation can look at how accusations of witchcraft affect particularly vulnerable groups, such as children, the elderly, people with disabilities, and LGBTQ+ communities. This will help researchers better understand the special difficulties these groups face and create interventions that are specifically designed to safeguard their human rights.</w:t>
      </w:r>
    </w:p>
    <w:p w:rsidR="003A440A" w:rsidRDefault="003A440A" w:rsidP="009A41F0">
      <w:pPr>
        <w:pStyle w:val="ListParagraph"/>
        <w:numPr>
          <w:ilvl w:val="0"/>
          <w:numId w:val="3"/>
        </w:numPr>
        <w:spacing w:line="360" w:lineRule="auto"/>
        <w:rPr>
          <w:rFonts w:ascii="Times New Roman" w:hAnsi="Times New Roman" w:cs="Times New Roman"/>
          <w:b/>
          <w:bCs/>
          <w:sz w:val="28"/>
          <w:szCs w:val="28"/>
          <w:u w:val="single"/>
        </w:rPr>
      </w:pPr>
      <w:r>
        <w:rPr>
          <w:rFonts w:ascii="Times New Roman" w:hAnsi="Times New Roman" w:cs="Times New Roman"/>
          <w:b/>
          <w:bCs/>
          <w:sz w:val="28"/>
          <w:szCs w:val="28"/>
          <w:u w:val="single"/>
        </w:rPr>
        <w:t>CONCLUSION:-</w:t>
      </w:r>
    </w:p>
    <w:p w:rsidR="003A440A" w:rsidRPr="00B27C8A" w:rsidRDefault="003A440A" w:rsidP="00CE5782">
      <w:pPr>
        <w:spacing w:line="360" w:lineRule="auto"/>
        <w:jc w:val="both"/>
        <w:rPr>
          <w:rFonts w:ascii="Times New Roman" w:hAnsi="Times New Roman" w:cs="Times New Roman"/>
          <w:sz w:val="24"/>
          <w:szCs w:val="24"/>
        </w:rPr>
      </w:pPr>
      <w:r w:rsidRPr="00B27C8A">
        <w:rPr>
          <w:rFonts w:ascii="Times New Roman" w:hAnsi="Times New Roman" w:cs="Times New Roman"/>
          <w:sz w:val="24"/>
          <w:szCs w:val="24"/>
        </w:rPr>
        <w:t>In conclusion, the topic of witchcraft and human rights is intricate and varied and needs serious examination from an intersectional and multidisciplinary standpoint. Witchcraft accusations frequently lead to grave human rights breaches, such as torture, discrimination, and assault, with disproportionately negative effects on women and other marginalized groups. Despite efforts to solve this issue through governmental actions, social and cultural initiatives, and advocacy campaigns, difficulties still exist.</w:t>
      </w:r>
    </w:p>
    <w:p w:rsidR="00CE5782" w:rsidRDefault="003A440A" w:rsidP="00CE5782">
      <w:pPr>
        <w:spacing w:line="360" w:lineRule="auto"/>
        <w:jc w:val="both"/>
        <w:rPr>
          <w:rFonts w:ascii="Times New Roman" w:hAnsi="Times New Roman" w:cs="Times New Roman"/>
          <w:sz w:val="24"/>
          <w:szCs w:val="24"/>
        </w:rPr>
      </w:pPr>
      <w:r w:rsidRPr="00B27C8A">
        <w:rPr>
          <w:rFonts w:ascii="Times New Roman" w:hAnsi="Times New Roman" w:cs="Times New Roman"/>
          <w:sz w:val="24"/>
          <w:szCs w:val="24"/>
        </w:rPr>
        <w:t xml:space="preserve">It is essential to acknowledge the intertwining issues of gender, racism, class, religion, and other kinds of oppression and adopt holistic and rights-based methods in order to successfully address the human rights implications of witchcraft allegations. Priority should be given to raising awareness, educating </w:t>
      </w:r>
      <w:r w:rsidRPr="00B27C8A">
        <w:rPr>
          <w:rFonts w:ascii="Times New Roman" w:hAnsi="Times New Roman" w:cs="Times New Roman"/>
          <w:sz w:val="24"/>
          <w:szCs w:val="24"/>
        </w:rPr>
        <w:lastRenderedPageBreak/>
        <w:t>people, and advocating for change in order to combat harmful witchcraft practices and beliefs and safeguard the legal rights of individuals who are accused of practicing them. Any efforts made to protect human rights in the context of witchcraft should also focus on interacting with local stakeholders and communities, including witchcraft practitioners, and promoting social justice and equality for all people and communities affected by witchcraft accusations.</w:t>
      </w: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96144B" w:rsidRDefault="0096144B" w:rsidP="00CE5782">
      <w:pPr>
        <w:rPr>
          <w:rFonts w:ascii="Times New Roman" w:hAnsi="Times New Roman" w:cs="Times New Roman"/>
          <w:b/>
          <w:bCs/>
          <w:sz w:val="28"/>
          <w:szCs w:val="28"/>
          <w:u w:val="single"/>
        </w:rPr>
      </w:pPr>
    </w:p>
    <w:p w:rsidR="00CE5782" w:rsidRDefault="00CE5782" w:rsidP="00CE5782">
      <w:pPr>
        <w:rPr>
          <w:rFonts w:ascii="Times New Roman" w:hAnsi="Times New Roman" w:cs="Times New Roman"/>
          <w:b/>
          <w:bCs/>
          <w:sz w:val="28"/>
          <w:szCs w:val="28"/>
          <w:u w:val="single"/>
        </w:rPr>
      </w:pPr>
      <w:r w:rsidRPr="00CE5782">
        <w:rPr>
          <w:rFonts w:ascii="Times New Roman" w:hAnsi="Times New Roman" w:cs="Times New Roman"/>
          <w:b/>
          <w:bCs/>
          <w:sz w:val="28"/>
          <w:szCs w:val="28"/>
          <w:u w:val="single"/>
        </w:rPr>
        <w:lastRenderedPageBreak/>
        <w:t xml:space="preserve">BIBLOGRAPHY </w:t>
      </w:r>
    </w:p>
    <w:p w:rsidR="003A440A" w:rsidRDefault="00CE5782" w:rsidP="00CE5782">
      <w:pPr>
        <w:pStyle w:val="ListParagraph"/>
        <w:numPr>
          <w:ilvl w:val="0"/>
          <w:numId w:val="9"/>
        </w:numPr>
        <w:rPr>
          <w:rFonts w:ascii="Times New Roman" w:hAnsi="Times New Roman" w:cs="Times New Roman"/>
          <w:sz w:val="24"/>
          <w:szCs w:val="24"/>
        </w:rPr>
      </w:pPr>
      <w:hyperlink r:id="rId12" w:history="1">
        <w:r w:rsidRPr="00CE5782">
          <w:rPr>
            <w:rStyle w:val="Hyperlink"/>
            <w:rFonts w:ascii="Times New Roman" w:hAnsi="Times New Roman" w:cs="Times New Roman"/>
            <w:sz w:val="24"/>
            <w:szCs w:val="24"/>
          </w:rPr>
          <w:t>https://www.ohchr.org/en/special-procedures/ie-albinism/witchcraft-and-human-rights#:~:text=In%20numerous%20countries%20around%20the,of%20limbs%2C%20torture%20and%20murder</w:t>
        </w:r>
      </w:hyperlink>
      <w:r w:rsidRPr="00CE5782">
        <w:rPr>
          <w:rFonts w:ascii="Times New Roman" w:hAnsi="Times New Roman" w:cs="Times New Roman"/>
          <w:sz w:val="24"/>
          <w:szCs w:val="24"/>
        </w:rPr>
        <w:t xml:space="preserve"> </w:t>
      </w:r>
    </w:p>
    <w:p w:rsidR="00CE5782" w:rsidRDefault="00CE5782" w:rsidP="00CE5782">
      <w:pPr>
        <w:pStyle w:val="ListParagraph"/>
        <w:numPr>
          <w:ilvl w:val="0"/>
          <w:numId w:val="9"/>
        </w:numPr>
        <w:rPr>
          <w:rFonts w:ascii="Times New Roman" w:hAnsi="Times New Roman" w:cs="Times New Roman"/>
          <w:sz w:val="24"/>
          <w:szCs w:val="24"/>
        </w:rPr>
      </w:pPr>
      <w:hyperlink r:id="rId13" w:history="1">
        <w:r w:rsidRPr="00C750A6">
          <w:rPr>
            <w:rStyle w:val="Hyperlink"/>
            <w:rFonts w:ascii="Times New Roman" w:hAnsi="Times New Roman" w:cs="Times New Roman"/>
            <w:sz w:val="24"/>
            <w:szCs w:val="24"/>
          </w:rPr>
          <w:t>https://www.nationalarchives.gov.uk/education/resources/early-modern-witch-trials/#:~:text=Witchcraft%20caused%20great%20fear%20within,a%20way%20of%20making%20money</w:t>
        </w:r>
      </w:hyperlink>
      <w:r>
        <w:rPr>
          <w:rFonts w:ascii="Times New Roman" w:hAnsi="Times New Roman" w:cs="Times New Roman"/>
          <w:sz w:val="24"/>
          <w:szCs w:val="24"/>
        </w:rPr>
        <w:t xml:space="preserve"> </w:t>
      </w:r>
    </w:p>
    <w:p w:rsidR="00CE5782" w:rsidRDefault="00CE5782" w:rsidP="00CE5782">
      <w:pPr>
        <w:pStyle w:val="ListParagraph"/>
        <w:numPr>
          <w:ilvl w:val="0"/>
          <w:numId w:val="9"/>
        </w:numPr>
        <w:rPr>
          <w:rFonts w:ascii="Times New Roman" w:hAnsi="Times New Roman" w:cs="Times New Roman"/>
          <w:sz w:val="24"/>
          <w:szCs w:val="24"/>
        </w:rPr>
      </w:pPr>
      <w:hyperlink r:id="rId14" w:history="1">
        <w:r w:rsidRPr="00C750A6">
          <w:rPr>
            <w:rStyle w:val="Hyperlink"/>
            <w:rFonts w:ascii="Times New Roman" w:hAnsi="Times New Roman" w:cs="Times New Roman"/>
            <w:sz w:val="24"/>
            <w:szCs w:val="24"/>
          </w:rPr>
          <w:t>https://www.whrin.org/</w:t>
        </w:r>
      </w:hyperlink>
      <w:r>
        <w:rPr>
          <w:rFonts w:ascii="Times New Roman" w:hAnsi="Times New Roman" w:cs="Times New Roman"/>
          <w:sz w:val="24"/>
          <w:szCs w:val="24"/>
        </w:rPr>
        <w:t xml:space="preserve"> </w:t>
      </w:r>
    </w:p>
    <w:p w:rsidR="00CE5782" w:rsidRDefault="00CE5782" w:rsidP="00CE5782">
      <w:pPr>
        <w:pStyle w:val="ListParagraph"/>
        <w:numPr>
          <w:ilvl w:val="0"/>
          <w:numId w:val="9"/>
        </w:numPr>
        <w:rPr>
          <w:rFonts w:ascii="Times New Roman" w:hAnsi="Times New Roman" w:cs="Times New Roman"/>
          <w:sz w:val="24"/>
          <w:szCs w:val="24"/>
        </w:rPr>
      </w:pPr>
      <w:hyperlink r:id="rId15" w:history="1">
        <w:r w:rsidRPr="00C750A6">
          <w:rPr>
            <w:rStyle w:val="Hyperlink"/>
            <w:rFonts w:ascii="Times New Roman" w:hAnsi="Times New Roman" w:cs="Times New Roman"/>
            <w:sz w:val="24"/>
            <w:szCs w:val="24"/>
          </w:rPr>
          <w:t>https://indico.un.org/event/26643/</w:t>
        </w:r>
      </w:hyperlink>
      <w:r>
        <w:rPr>
          <w:rFonts w:ascii="Times New Roman" w:hAnsi="Times New Roman" w:cs="Times New Roman"/>
          <w:sz w:val="24"/>
          <w:szCs w:val="24"/>
        </w:rPr>
        <w:t xml:space="preserve"> </w:t>
      </w:r>
    </w:p>
    <w:p w:rsidR="00CE5782" w:rsidRDefault="00CE5782" w:rsidP="00CE5782">
      <w:pPr>
        <w:pStyle w:val="ListParagraph"/>
        <w:numPr>
          <w:ilvl w:val="0"/>
          <w:numId w:val="9"/>
        </w:numPr>
        <w:rPr>
          <w:rFonts w:ascii="Times New Roman" w:hAnsi="Times New Roman" w:cs="Times New Roman"/>
          <w:sz w:val="24"/>
          <w:szCs w:val="24"/>
        </w:rPr>
      </w:pPr>
      <w:hyperlink r:id="rId16" w:history="1">
        <w:r w:rsidRPr="00CE5782">
          <w:rPr>
            <w:rStyle w:val="Hyperlink"/>
            <w:rFonts w:ascii="Times New Roman" w:hAnsi="Times New Roman" w:cs="Times New Roman"/>
            <w:sz w:val="24"/>
            <w:szCs w:val="24"/>
          </w:rPr>
          <w:t>https://www.manupatrafast.com/?t=desktop</w:t>
        </w:r>
      </w:hyperlink>
    </w:p>
    <w:p w:rsidR="0096144B" w:rsidRDefault="0096144B" w:rsidP="00CE5782">
      <w:pPr>
        <w:pStyle w:val="ListParagraph"/>
        <w:numPr>
          <w:ilvl w:val="0"/>
          <w:numId w:val="9"/>
        </w:numPr>
        <w:rPr>
          <w:rFonts w:ascii="Times New Roman" w:hAnsi="Times New Roman" w:cs="Times New Roman"/>
          <w:sz w:val="24"/>
          <w:szCs w:val="24"/>
        </w:rPr>
      </w:pPr>
      <w:hyperlink r:id="rId17" w:history="1">
        <w:r w:rsidRPr="0096144B">
          <w:rPr>
            <w:rStyle w:val="Hyperlink"/>
            <w:rFonts w:ascii="Times New Roman" w:hAnsi="Times New Roman" w:cs="Times New Roman"/>
            <w:sz w:val="24"/>
            <w:szCs w:val="24"/>
          </w:rPr>
          <w:t>https://indiankanoon.org/</w:t>
        </w:r>
      </w:hyperlink>
      <w:r w:rsidRPr="0096144B">
        <w:rPr>
          <w:rFonts w:ascii="Times New Roman" w:hAnsi="Times New Roman" w:cs="Times New Roman"/>
          <w:sz w:val="24"/>
          <w:szCs w:val="24"/>
        </w:rPr>
        <w:t xml:space="preserve">  </w:t>
      </w:r>
    </w:p>
    <w:p w:rsidR="0096144B" w:rsidRDefault="0096144B" w:rsidP="00CE5782">
      <w:pPr>
        <w:pStyle w:val="ListParagraph"/>
        <w:numPr>
          <w:ilvl w:val="0"/>
          <w:numId w:val="9"/>
        </w:numPr>
        <w:rPr>
          <w:rFonts w:ascii="Times New Roman" w:hAnsi="Times New Roman" w:cs="Times New Roman"/>
          <w:sz w:val="24"/>
          <w:szCs w:val="24"/>
        </w:rPr>
      </w:pPr>
      <w:hyperlink r:id="rId18" w:history="1">
        <w:r w:rsidRPr="0096144B">
          <w:rPr>
            <w:rStyle w:val="Hyperlink"/>
            <w:rFonts w:ascii="Times New Roman" w:hAnsi="Times New Roman" w:cs="Times New Roman"/>
            <w:sz w:val="24"/>
            <w:szCs w:val="24"/>
          </w:rPr>
          <w:t>https://in.reuters.com/article/india-landrights-women/witches-beaten-buried-burned-for-land-in-princely-indian-state-idINKCN1C90EL</w:t>
        </w:r>
      </w:hyperlink>
      <w:r w:rsidRPr="0096144B">
        <w:rPr>
          <w:rFonts w:ascii="Times New Roman" w:hAnsi="Times New Roman" w:cs="Times New Roman"/>
          <w:sz w:val="24"/>
          <w:szCs w:val="24"/>
        </w:rPr>
        <w:t>,</w:t>
      </w:r>
    </w:p>
    <w:p w:rsidR="0096144B" w:rsidRPr="0096144B" w:rsidRDefault="0096144B" w:rsidP="00CE5782">
      <w:pPr>
        <w:pStyle w:val="ListParagraph"/>
        <w:numPr>
          <w:ilvl w:val="0"/>
          <w:numId w:val="9"/>
        </w:numPr>
        <w:rPr>
          <w:rFonts w:ascii="Times New Roman" w:hAnsi="Times New Roman" w:cs="Times New Roman"/>
          <w:sz w:val="24"/>
          <w:szCs w:val="24"/>
        </w:rPr>
      </w:pPr>
      <w:hyperlink r:id="rId19" w:history="1">
        <w:r w:rsidRPr="0096144B">
          <w:rPr>
            <w:rStyle w:val="Hyperlink"/>
            <w:rFonts w:ascii="Times New Roman" w:hAnsi="Times New Roman" w:cs="Times New Roman"/>
            <w:sz w:val="24"/>
            <w:szCs w:val="24"/>
          </w:rPr>
          <w:t>https://journals.sagepub.com/doi/10.1177/1077801212465155</w:t>
        </w:r>
      </w:hyperlink>
    </w:p>
    <w:p w:rsidR="0096144B" w:rsidRDefault="0096144B" w:rsidP="00CE5782">
      <w:pPr>
        <w:pStyle w:val="ListParagraph"/>
        <w:numPr>
          <w:ilvl w:val="0"/>
          <w:numId w:val="9"/>
        </w:numPr>
        <w:rPr>
          <w:rFonts w:ascii="Times New Roman" w:hAnsi="Times New Roman" w:cs="Times New Roman"/>
          <w:sz w:val="24"/>
          <w:szCs w:val="24"/>
        </w:rPr>
      </w:pPr>
      <w:hyperlink r:id="rId20" w:history="1">
        <w:r w:rsidRPr="0096144B">
          <w:rPr>
            <w:rStyle w:val="Hyperlink"/>
            <w:rFonts w:ascii="Times New Roman" w:hAnsi="Times New Roman" w:cs="Times New Roman"/>
            <w:sz w:val="24"/>
            <w:szCs w:val="24"/>
          </w:rPr>
          <w:t>https://www.newadvent.org/cathen/1567a.htm</w:t>
        </w:r>
      </w:hyperlink>
      <w:r w:rsidRPr="0096144B">
        <w:rPr>
          <w:rFonts w:ascii="Times New Roman" w:hAnsi="Times New Roman" w:cs="Times New Roman"/>
          <w:sz w:val="24"/>
          <w:szCs w:val="24"/>
        </w:rPr>
        <w:t>,</w:t>
      </w:r>
    </w:p>
    <w:p w:rsidR="0096144B" w:rsidRPr="0096144B" w:rsidRDefault="0096144B" w:rsidP="00CE5782">
      <w:pPr>
        <w:pStyle w:val="ListParagraph"/>
        <w:numPr>
          <w:ilvl w:val="0"/>
          <w:numId w:val="9"/>
        </w:numPr>
        <w:rPr>
          <w:rFonts w:ascii="Times New Roman" w:hAnsi="Times New Roman" w:cs="Times New Roman"/>
          <w:sz w:val="24"/>
          <w:szCs w:val="24"/>
        </w:rPr>
      </w:pPr>
      <w:hyperlink r:id="rId21" w:history="1">
        <w:r w:rsidRPr="0096144B">
          <w:rPr>
            <w:rStyle w:val="Hyperlink"/>
            <w:rFonts w:ascii="Times New Roman" w:hAnsi="Times New Roman" w:cs="Times New Roman"/>
            <w:sz w:val="24"/>
            <w:szCs w:val="24"/>
          </w:rPr>
          <w:t>https://blog.ipleaders.in/witch-hunting-india-socio-legal-</w:t>
        </w:r>
      </w:hyperlink>
    </w:p>
    <w:p w:rsidR="0096144B" w:rsidRPr="0096144B" w:rsidRDefault="0096144B" w:rsidP="00CE5782">
      <w:pPr>
        <w:pStyle w:val="ListParagraph"/>
        <w:numPr>
          <w:ilvl w:val="0"/>
          <w:numId w:val="9"/>
        </w:numPr>
        <w:rPr>
          <w:rFonts w:ascii="Times New Roman" w:hAnsi="Times New Roman" w:cs="Times New Roman"/>
          <w:sz w:val="24"/>
          <w:szCs w:val="24"/>
        </w:rPr>
      </w:pPr>
      <w:r w:rsidRPr="0096144B">
        <w:rPr>
          <w:rFonts w:ascii="Times New Roman" w:hAnsi="Times New Roman" w:cs="Times New Roman"/>
          <w:sz w:val="24"/>
          <w:szCs w:val="24"/>
        </w:rPr>
        <w:t xml:space="preserve"> </w:t>
      </w:r>
      <w:hyperlink r:id="rId22" w:history="1">
        <w:r w:rsidRPr="0096144B">
          <w:rPr>
            <w:rStyle w:val="Hyperlink"/>
            <w:rFonts w:ascii="Times New Roman" w:hAnsi="Times New Roman" w:cs="Times New Roman"/>
            <w:sz w:val="24"/>
            <w:szCs w:val="24"/>
          </w:rPr>
          <w:t>https://www.scconline.com/blog/post/2020/10/01/incessant-witch-hunt-of-human-rights-organizations-by-govt-of-india-over-unfounded-motivated-allegations-amnesty-international-halts-work-in-india/</w:t>
        </w:r>
      </w:hyperlink>
    </w:p>
    <w:sectPr w:rsidR="0096144B" w:rsidRPr="0096144B" w:rsidSect="00B27C8A">
      <w:footerReference w:type="default" r:id="rId23"/>
      <w:pgSz w:w="12240" w:h="15840"/>
      <w:pgMar w:top="1440" w:right="1080" w:bottom="1440" w:left="108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5D70" w:rsidRDefault="00E95D70" w:rsidP="00E61262">
      <w:pPr>
        <w:spacing w:after="0" w:line="240" w:lineRule="auto"/>
      </w:pPr>
      <w:r>
        <w:separator/>
      </w:r>
    </w:p>
  </w:endnote>
  <w:endnote w:type="continuationSeparator" w:id="1">
    <w:p w:rsidR="00E95D70" w:rsidRDefault="00E95D70" w:rsidP="00E612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6518001"/>
      <w:docPartObj>
        <w:docPartGallery w:val="Page Numbers (Bottom of Page)"/>
        <w:docPartUnique/>
      </w:docPartObj>
    </w:sdtPr>
    <w:sdtEndPr>
      <w:rPr>
        <w:color w:val="7F7F7F" w:themeColor="background1" w:themeShade="7F"/>
        <w:spacing w:val="60"/>
      </w:rPr>
    </w:sdtEndPr>
    <w:sdtContent>
      <w:p w:rsidR="00101345" w:rsidRDefault="0043333F">
        <w:pPr>
          <w:pStyle w:val="Footer"/>
          <w:pBdr>
            <w:top w:val="single" w:sz="4" w:space="1" w:color="D9D9D9" w:themeColor="background1" w:themeShade="D9"/>
          </w:pBdr>
          <w:rPr>
            <w:b/>
          </w:rPr>
        </w:pPr>
        <w:fldSimple w:instr=" PAGE   \* MERGEFORMAT ">
          <w:r w:rsidR="006D55C7" w:rsidRPr="006D55C7">
            <w:rPr>
              <w:b/>
              <w:noProof/>
            </w:rPr>
            <w:t>7</w:t>
          </w:r>
        </w:fldSimple>
        <w:r w:rsidR="00101345">
          <w:rPr>
            <w:b/>
          </w:rPr>
          <w:t xml:space="preserve"> | </w:t>
        </w:r>
        <w:r w:rsidR="00101345">
          <w:rPr>
            <w:color w:val="7F7F7F" w:themeColor="background1" w:themeShade="7F"/>
            <w:spacing w:val="60"/>
          </w:rPr>
          <w:t>Page</w:t>
        </w:r>
      </w:p>
    </w:sdtContent>
  </w:sdt>
  <w:p w:rsidR="00101345" w:rsidRDefault="001013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5D70" w:rsidRDefault="00E95D70" w:rsidP="00E61262">
      <w:pPr>
        <w:spacing w:after="0" w:line="240" w:lineRule="auto"/>
      </w:pPr>
      <w:r>
        <w:separator/>
      </w:r>
    </w:p>
  </w:footnote>
  <w:footnote w:type="continuationSeparator" w:id="1">
    <w:p w:rsidR="00E95D70" w:rsidRDefault="00E95D70" w:rsidP="00E61262">
      <w:pPr>
        <w:spacing w:after="0" w:line="240" w:lineRule="auto"/>
      </w:pPr>
      <w:r>
        <w:continuationSeparator/>
      </w:r>
    </w:p>
  </w:footnote>
  <w:footnote w:id="2">
    <w:p w:rsidR="00D37BCB" w:rsidRPr="009A41F0" w:rsidRDefault="00D37BCB">
      <w:pPr>
        <w:pStyle w:val="FootnoteText"/>
        <w:rPr>
          <w:rFonts w:ascii="Times New Roman" w:hAnsi="Times New Roman" w:cs="Times New Roman"/>
        </w:rPr>
      </w:pPr>
      <w:r w:rsidRPr="009A41F0">
        <w:rPr>
          <w:rStyle w:val="FootnoteReference"/>
          <w:rFonts w:ascii="Times New Roman" w:hAnsi="Times New Roman" w:cs="Times New Roman"/>
        </w:rPr>
        <w:footnoteRef/>
      </w:r>
      <w:r w:rsidRPr="009A41F0">
        <w:rPr>
          <w:rFonts w:ascii="Times New Roman" w:hAnsi="Times New Roman" w:cs="Times New Roman"/>
        </w:rPr>
        <w:t xml:space="preserve"> Introduction: the Evil Called Witchcraft in Imagining Evil: Witchcraft Beliefs and Accusation in Contemporary Africa.</w:t>
      </w:r>
    </w:p>
  </w:footnote>
  <w:footnote w:id="3">
    <w:p w:rsidR="00D37BCB" w:rsidRPr="009A41F0" w:rsidRDefault="00D37BCB">
      <w:pPr>
        <w:pStyle w:val="FootnoteText"/>
        <w:rPr>
          <w:rFonts w:ascii="Times New Roman" w:hAnsi="Times New Roman" w:cs="Times New Roman"/>
        </w:rPr>
      </w:pPr>
      <w:r w:rsidRPr="009A41F0">
        <w:rPr>
          <w:rStyle w:val="FootnoteReference"/>
          <w:rFonts w:ascii="Times New Roman" w:hAnsi="Times New Roman" w:cs="Times New Roman"/>
        </w:rPr>
        <w:footnoteRef/>
      </w:r>
      <w:r w:rsidRPr="009A41F0">
        <w:rPr>
          <w:rFonts w:ascii="Times New Roman" w:hAnsi="Times New Roman" w:cs="Times New Roman"/>
        </w:rPr>
        <w:t xml:space="preserve"> </w:t>
      </w:r>
      <w:r w:rsidR="008025B7">
        <w:rPr>
          <w:rFonts w:ascii="Times New Roman" w:hAnsi="Times New Roman" w:cs="Times New Roman"/>
        </w:rPr>
        <w:t xml:space="preserve">Available at  </w:t>
      </w:r>
      <w:hyperlink r:id="rId1" w:history="1">
        <w:r w:rsidRPr="009A41F0">
          <w:rPr>
            <w:rStyle w:val="Hyperlink"/>
            <w:rFonts w:ascii="Times New Roman" w:hAnsi="Times New Roman" w:cs="Times New Roman"/>
          </w:rPr>
          <w:t>https://skepticalinqurirer.org/2014/07/modern-witch-hunting-and-susperstitious-murder-in-india/</w:t>
        </w:r>
      </w:hyperlink>
      <w:r w:rsidRPr="009A41F0">
        <w:rPr>
          <w:rFonts w:ascii="Times New Roman" w:hAnsi="Times New Roman" w:cs="Times New Roman"/>
        </w:rPr>
        <w:t xml:space="preserve"> </w:t>
      </w:r>
      <w:r w:rsidR="008025B7">
        <w:rPr>
          <w:rFonts w:ascii="Times New Roman" w:hAnsi="Times New Roman" w:cs="Times New Roman"/>
        </w:rPr>
        <w:t>(last visited 5</w:t>
      </w:r>
      <w:r w:rsidR="008025B7" w:rsidRPr="008025B7">
        <w:rPr>
          <w:rFonts w:ascii="Times New Roman" w:hAnsi="Times New Roman" w:cs="Times New Roman"/>
          <w:vertAlign w:val="superscript"/>
        </w:rPr>
        <w:t>th</w:t>
      </w:r>
      <w:r w:rsidR="008025B7">
        <w:rPr>
          <w:rFonts w:ascii="Times New Roman" w:hAnsi="Times New Roman" w:cs="Times New Roman"/>
        </w:rPr>
        <w:t xml:space="preserve"> may 2023)</w:t>
      </w:r>
    </w:p>
  </w:footnote>
  <w:footnote w:id="4">
    <w:p w:rsidR="003A440A" w:rsidRDefault="003A440A">
      <w:pPr>
        <w:pStyle w:val="FootnoteText"/>
      </w:pPr>
      <w:r w:rsidRPr="009A41F0">
        <w:rPr>
          <w:rStyle w:val="FootnoteReference"/>
          <w:rFonts w:ascii="Times New Roman" w:hAnsi="Times New Roman" w:cs="Times New Roman"/>
        </w:rPr>
        <w:footnoteRef/>
      </w:r>
      <w:r w:rsidR="008025B7">
        <w:rPr>
          <w:rFonts w:ascii="Times New Roman" w:hAnsi="Times New Roman" w:cs="Times New Roman"/>
        </w:rPr>
        <w:t>Available at</w:t>
      </w:r>
      <w:r w:rsidRPr="009A41F0">
        <w:rPr>
          <w:rFonts w:ascii="Times New Roman" w:hAnsi="Times New Roman" w:cs="Times New Roman"/>
        </w:rPr>
        <w:t xml:space="preserve"> </w:t>
      </w:r>
      <w:hyperlink r:id="rId2" w:history="1">
        <w:r w:rsidRPr="009A41F0">
          <w:rPr>
            <w:rStyle w:val="Hyperlink"/>
            <w:rFonts w:ascii="Times New Roman" w:hAnsi="Times New Roman" w:cs="Times New Roman"/>
          </w:rPr>
          <w:t>https://blog.ipleaders.in/witch-hunting-india-socio-legal-</w:t>
        </w:r>
      </w:hyperlink>
      <w:r w:rsidRPr="009A41F0">
        <w:rPr>
          <w:rFonts w:ascii="Times New Roman" w:hAnsi="Times New Roman" w:cs="Times New Roman"/>
        </w:rPr>
        <w:t xml:space="preserve"> study/#:~:text=Witch%2Dhunting%20violates%20Section%20299,of%20the%20Indian%20Penal%20Code.</w:t>
      </w:r>
      <w:r>
        <w:t xml:space="preserve"> </w:t>
      </w:r>
    </w:p>
  </w:footnote>
  <w:footnote w:id="5">
    <w:p w:rsidR="003A440A" w:rsidRPr="009A41F0" w:rsidRDefault="003A440A">
      <w:pPr>
        <w:pStyle w:val="FootnoteText"/>
        <w:rPr>
          <w:rFonts w:ascii="Times New Roman" w:hAnsi="Times New Roman" w:cs="Times New Roman"/>
        </w:rPr>
      </w:pPr>
      <w:r w:rsidRPr="009A41F0">
        <w:rPr>
          <w:rStyle w:val="FootnoteReference"/>
          <w:rFonts w:ascii="Times New Roman" w:hAnsi="Times New Roman" w:cs="Times New Roman"/>
        </w:rPr>
        <w:footnoteRef/>
      </w:r>
      <w:r w:rsidR="00CE5782">
        <w:rPr>
          <w:rFonts w:ascii="Times New Roman" w:hAnsi="Times New Roman" w:cs="Times New Roman"/>
        </w:rPr>
        <w:t xml:space="preserve">Available at </w:t>
      </w:r>
      <w:r w:rsidRPr="009A41F0">
        <w:rPr>
          <w:rFonts w:ascii="Times New Roman" w:hAnsi="Times New Roman" w:cs="Times New Roman"/>
        </w:rPr>
        <w:t xml:space="preserve"> </w:t>
      </w:r>
      <w:hyperlink r:id="rId3" w:history="1">
        <w:r w:rsidRPr="009A41F0">
          <w:rPr>
            <w:rStyle w:val="Hyperlink"/>
            <w:rFonts w:ascii="Times New Roman" w:hAnsi="Times New Roman" w:cs="Times New Roman"/>
          </w:rPr>
          <w:t>https://www.scconline.com/blog/post/2020/10/01/incessant-witch-hunt-of-human-rights-organizations-by-govt-of-india-over-unfounded-motivated-allegations-amnesty-international-halts-work-in-india/</w:t>
        </w:r>
      </w:hyperlink>
      <w:r w:rsidRPr="009A41F0">
        <w:rPr>
          <w:rFonts w:ascii="Times New Roman" w:hAnsi="Times New Roman" w:cs="Times New Roman"/>
        </w:rPr>
        <w:t xml:space="preserve"> </w:t>
      </w:r>
    </w:p>
  </w:footnote>
  <w:footnote w:id="6">
    <w:p w:rsidR="003A440A" w:rsidRPr="009A41F0" w:rsidRDefault="003A440A">
      <w:pPr>
        <w:pStyle w:val="FootnoteText"/>
        <w:rPr>
          <w:rFonts w:ascii="Times New Roman" w:hAnsi="Times New Roman" w:cs="Times New Roman"/>
        </w:rPr>
      </w:pPr>
      <w:r w:rsidRPr="009A41F0">
        <w:rPr>
          <w:rStyle w:val="FootnoteReference"/>
          <w:rFonts w:ascii="Times New Roman" w:hAnsi="Times New Roman" w:cs="Times New Roman"/>
        </w:rPr>
        <w:footnoteRef/>
      </w:r>
      <w:r w:rsidR="00CE5782">
        <w:rPr>
          <w:rFonts w:ascii="Times New Roman" w:hAnsi="Times New Roman" w:cs="Times New Roman"/>
        </w:rPr>
        <w:t xml:space="preserve"> Available at </w:t>
      </w:r>
      <w:r w:rsidRPr="009A41F0">
        <w:rPr>
          <w:rFonts w:ascii="Times New Roman" w:hAnsi="Times New Roman" w:cs="Times New Roman"/>
        </w:rPr>
        <w:t xml:space="preserve"> </w:t>
      </w:r>
      <w:hyperlink r:id="rId4" w:history="1">
        <w:r w:rsidRPr="009A41F0">
          <w:rPr>
            <w:rStyle w:val="Hyperlink"/>
            <w:rFonts w:ascii="Times New Roman" w:hAnsi="Times New Roman" w:cs="Times New Roman"/>
          </w:rPr>
          <w:t>https://blog.ipleaders.in/witch-hunting-india-socio-legal-</w:t>
        </w:r>
      </w:hyperlink>
      <w:r w:rsidRPr="009A41F0">
        <w:rPr>
          <w:rFonts w:ascii="Times New Roman" w:hAnsi="Times New Roman" w:cs="Times New Roman"/>
        </w:rPr>
        <w:t xml:space="preserve"> study/#:~:text=Witch%2Dhunting%20violates%20Section%20299,of%20the%20Indian%20Penal%20Code</w:t>
      </w:r>
    </w:p>
  </w:footnote>
  <w:footnote w:id="7">
    <w:p w:rsidR="00465511" w:rsidRPr="009A41F0" w:rsidRDefault="00465511" w:rsidP="00465511">
      <w:pPr>
        <w:pStyle w:val="FootnoteText"/>
        <w:rPr>
          <w:rFonts w:ascii="Times New Roman" w:hAnsi="Times New Roman" w:cs="Times New Roman"/>
        </w:rPr>
      </w:pPr>
      <w:r w:rsidRPr="009A41F0">
        <w:rPr>
          <w:rStyle w:val="FootnoteReference"/>
          <w:rFonts w:ascii="Times New Roman" w:hAnsi="Times New Roman" w:cs="Times New Roman"/>
        </w:rPr>
        <w:footnoteRef/>
      </w:r>
      <w:r w:rsidRPr="009A41F0">
        <w:rPr>
          <w:rFonts w:ascii="Times New Roman" w:hAnsi="Times New Roman" w:cs="Times New Roman"/>
        </w:rPr>
        <w:t xml:space="preserve"> witchcraft, newadvent.org, available at </w:t>
      </w:r>
    </w:p>
    <w:p w:rsidR="00465511" w:rsidRPr="009A41F0" w:rsidRDefault="0043333F" w:rsidP="00465511">
      <w:pPr>
        <w:pStyle w:val="FootnoteText"/>
        <w:rPr>
          <w:rFonts w:ascii="Times New Roman" w:hAnsi="Times New Roman" w:cs="Times New Roman"/>
        </w:rPr>
      </w:pPr>
      <w:hyperlink r:id="rId5" w:history="1">
        <w:r w:rsidR="00465511" w:rsidRPr="009A41F0">
          <w:rPr>
            <w:rStyle w:val="Hyperlink"/>
            <w:rFonts w:ascii="Times New Roman" w:hAnsi="Times New Roman" w:cs="Times New Roman"/>
          </w:rPr>
          <w:t>https://www.newadvent.org/cathen/1567a.htm</w:t>
        </w:r>
      </w:hyperlink>
      <w:r w:rsidR="00465511" w:rsidRPr="009A41F0">
        <w:rPr>
          <w:rFonts w:ascii="Times New Roman" w:hAnsi="Times New Roman" w:cs="Times New Roman"/>
        </w:rPr>
        <w:t xml:space="preserve">, </w:t>
      </w:r>
    </w:p>
  </w:footnote>
  <w:footnote w:id="8">
    <w:p w:rsidR="00465511" w:rsidRPr="009A41F0" w:rsidRDefault="00465511">
      <w:pPr>
        <w:pStyle w:val="FootnoteText"/>
        <w:rPr>
          <w:rFonts w:ascii="Times New Roman" w:hAnsi="Times New Roman" w:cs="Times New Roman"/>
        </w:rPr>
      </w:pPr>
      <w:r w:rsidRPr="009A41F0">
        <w:rPr>
          <w:rStyle w:val="FootnoteReference"/>
          <w:rFonts w:ascii="Times New Roman" w:hAnsi="Times New Roman" w:cs="Times New Roman"/>
        </w:rPr>
        <w:footnoteRef/>
      </w:r>
      <w:r w:rsidRPr="009A41F0">
        <w:rPr>
          <w:rFonts w:ascii="Times New Roman" w:hAnsi="Times New Roman" w:cs="Times New Roman"/>
        </w:rPr>
        <w:t xml:space="preserve"> Supra 2. </w:t>
      </w:r>
    </w:p>
  </w:footnote>
  <w:footnote w:id="9">
    <w:p w:rsidR="00E30C21" w:rsidRDefault="00465511">
      <w:pPr>
        <w:pStyle w:val="FootnoteText"/>
      </w:pPr>
      <w:r w:rsidRPr="009A41F0">
        <w:rPr>
          <w:rStyle w:val="FootnoteReference"/>
          <w:rFonts w:ascii="Times New Roman" w:hAnsi="Times New Roman" w:cs="Times New Roman"/>
        </w:rPr>
        <w:footnoteRef/>
      </w:r>
      <w:r w:rsidRPr="009A41F0">
        <w:rPr>
          <w:rFonts w:ascii="Times New Roman" w:hAnsi="Times New Roman" w:cs="Times New Roman"/>
        </w:rPr>
        <w:t xml:space="preserve"> Evans &amp; Pritchard, witchcraft oracles and magic among the Azande, (</w:t>
      </w:r>
      <w:r w:rsidR="00E30C21" w:rsidRPr="009A41F0">
        <w:rPr>
          <w:rFonts w:ascii="Times New Roman" w:hAnsi="Times New Roman" w:cs="Times New Roman"/>
        </w:rPr>
        <w:t>1937) Oxford University press.</w:t>
      </w:r>
    </w:p>
  </w:footnote>
  <w:footnote w:id="10">
    <w:p w:rsidR="00E30C21" w:rsidRPr="009A41F0" w:rsidRDefault="00E30C21">
      <w:pPr>
        <w:pStyle w:val="FootnoteText"/>
        <w:rPr>
          <w:rFonts w:ascii="Times New Roman" w:hAnsi="Times New Roman" w:cs="Times New Roman"/>
        </w:rPr>
      </w:pPr>
      <w:r w:rsidRPr="009A41F0">
        <w:rPr>
          <w:rStyle w:val="FootnoteReference"/>
          <w:rFonts w:ascii="Times New Roman" w:hAnsi="Times New Roman" w:cs="Times New Roman"/>
        </w:rPr>
        <w:footnoteRef/>
      </w:r>
      <w:r w:rsidRPr="009A41F0">
        <w:rPr>
          <w:rFonts w:ascii="Times New Roman" w:hAnsi="Times New Roman" w:cs="Times New Roman"/>
        </w:rPr>
        <w:t xml:space="preserve"> Report of the Special Reporters on Extrajudicial, Summary or Arbitrary Executions, UN General Assembly, (A/HRC/11/2 27 on may, 2009).</w:t>
      </w:r>
    </w:p>
  </w:footnote>
  <w:footnote w:id="11">
    <w:p w:rsidR="00E30C21" w:rsidRPr="009A41F0" w:rsidRDefault="00E30C21">
      <w:pPr>
        <w:pStyle w:val="FootnoteText"/>
        <w:rPr>
          <w:rFonts w:ascii="Times New Roman" w:hAnsi="Times New Roman" w:cs="Times New Roman"/>
        </w:rPr>
      </w:pPr>
      <w:r w:rsidRPr="009A41F0">
        <w:rPr>
          <w:rStyle w:val="FootnoteReference"/>
          <w:rFonts w:ascii="Times New Roman" w:hAnsi="Times New Roman" w:cs="Times New Roman"/>
        </w:rPr>
        <w:footnoteRef/>
      </w:r>
      <w:r w:rsidRPr="009A41F0">
        <w:rPr>
          <w:rFonts w:ascii="Times New Roman" w:hAnsi="Times New Roman" w:cs="Times New Roman"/>
        </w:rPr>
        <w:t xml:space="preserve"> S. Chaudhari, Witchcraft, Tea Plantation, and Lives of Migrant Laborers in </w:t>
      </w:r>
      <w:r w:rsidR="00920F27" w:rsidRPr="009A41F0">
        <w:rPr>
          <w:rFonts w:ascii="Times New Roman" w:hAnsi="Times New Roman" w:cs="Times New Roman"/>
        </w:rPr>
        <w:t xml:space="preserve">India: Tempest in A Teapot (first published in 2013, Lantham: Lexington books) </w:t>
      </w:r>
      <w:r w:rsidRPr="009A41F0">
        <w:rPr>
          <w:rFonts w:ascii="Times New Roman" w:hAnsi="Times New Roman" w:cs="Times New Roman"/>
        </w:rPr>
        <w:t xml:space="preserve"> </w:t>
      </w:r>
    </w:p>
  </w:footnote>
  <w:footnote w:id="12">
    <w:p w:rsidR="00920F27" w:rsidRPr="009A41F0" w:rsidRDefault="00920F27">
      <w:pPr>
        <w:pStyle w:val="FootnoteText"/>
        <w:rPr>
          <w:rFonts w:ascii="Times New Roman" w:hAnsi="Times New Roman" w:cs="Times New Roman"/>
        </w:rPr>
      </w:pPr>
      <w:r w:rsidRPr="009A41F0">
        <w:rPr>
          <w:rStyle w:val="FootnoteReference"/>
          <w:rFonts w:ascii="Times New Roman" w:hAnsi="Times New Roman" w:cs="Times New Roman"/>
        </w:rPr>
        <w:footnoteRef/>
      </w:r>
      <w:r w:rsidRPr="009A41F0">
        <w:rPr>
          <w:rFonts w:ascii="Times New Roman" w:hAnsi="Times New Roman" w:cs="Times New Roman"/>
        </w:rPr>
        <w:t xml:space="preserve"> S. Chaudhari, Women as Easy Scapegoats Witch Accusation and Women as Targets in Tea Plantations of India, 18 Sage Journals 10 (2012), available at </w:t>
      </w:r>
      <w:hyperlink r:id="rId6" w:history="1">
        <w:r w:rsidRPr="009A41F0">
          <w:rPr>
            <w:rStyle w:val="Hyperlink"/>
            <w:rFonts w:ascii="Times New Roman" w:hAnsi="Times New Roman" w:cs="Times New Roman"/>
          </w:rPr>
          <w:t>https://journals.sagepub.com/doi/10.1177/1077801212465155</w:t>
        </w:r>
      </w:hyperlink>
      <w:r w:rsidRPr="009A41F0">
        <w:rPr>
          <w:rFonts w:ascii="Times New Roman" w:hAnsi="Times New Roman" w:cs="Times New Roman"/>
        </w:rPr>
        <w:t xml:space="preserve">, </w:t>
      </w:r>
    </w:p>
  </w:footnote>
  <w:footnote w:id="13">
    <w:p w:rsidR="003C2C9B" w:rsidRPr="009A41F0" w:rsidRDefault="003C2C9B">
      <w:pPr>
        <w:pStyle w:val="FootnoteText"/>
        <w:rPr>
          <w:rFonts w:ascii="Times New Roman" w:hAnsi="Times New Roman" w:cs="Times New Roman"/>
        </w:rPr>
      </w:pPr>
      <w:r w:rsidRPr="009A41F0">
        <w:rPr>
          <w:rStyle w:val="FootnoteReference"/>
          <w:rFonts w:ascii="Times New Roman" w:hAnsi="Times New Roman" w:cs="Times New Roman"/>
        </w:rPr>
        <w:footnoteRef/>
      </w:r>
      <w:r w:rsidRPr="009A41F0">
        <w:rPr>
          <w:rFonts w:ascii="Times New Roman" w:hAnsi="Times New Roman" w:cs="Times New Roman"/>
        </w:rPr>
        <w:t xml:space="preserve">  Ibid. </w:t>
      </w:r>
    </w:p>
  </w:footnote>
  <w:footnote w:id="14">
    <w:p w:rsidR="003C2C9B" w:rsidRDefault="003C2C9B">
      <w:pPr>
        <w:pStyle w:val="FootnoteText"/>
      </w:pPr>
      <w:r w:rsidRPr="009A41F0">
        <w:rPr>
          <w:rStyle w:val="FootnoteReference"/>
          <w:rFonts w:ascii="Times New Roman" w:hAnsi="Times New Roman" w:cs="Times New Roman"/>
        </w:rPr>
        <w:footnoteRef/>
      </w:r>
      <w:r w:rsidRPr="009A41F0">
        <w:rPr>
          <w:rFonts w:ascii="Times New Roman" w:hAnsi="Times New Roman" w:cs="Times New Roman"/>
        </w:rPr>
        <w:t xml:space="preserve"> Ibid.</w:t>
      </w:r>
      <w:r>
        <w:t xml:space="preserve"> </w:t>
      </w:r>
    </w:p>
  </w:footnote>
  <w:footnote w:id="15">
    <w:p w:rsidR="003C2C9B" w:rsidRPr="009A41F0" w:rsidRDefault="003C2C9B">
      <w:pPr>
        <w:pStyle w:val="FootnoteText"/>
        <w:rPr>
          <w:rFonts w:ascii="Times New Roman" w:hAnsi="Times New Roman" w:cs="Times New Roman"/>
        </w:rPr>
      </w:pPr>
      <w:r w:rsidRPr="009A41F0">
        <w:rPr>
          <w:rStyle w:val="FootnoteReference"/>
          <w:rFonts w:ascii="Times New Roman" w:hAnsi="Times New Roman" w:cs="Times New Roman"/>
        </w:rPr>
        <w:footnoteRef/>
      </w:r>
      <w:r w:rsidRPr="009A41F0">
        <w:rPr>
          <w:rFonts w:ascii="Times New Roman" w:hAnsi="Times New Roman" w:cs="Times New Roman"/>
        </w:rPr>
        <w:t xml:space="preserve"> Ibid.</w:t>
      </w:r>
    </w:p>
  </w:footnote>
  <w:footnote w:id="16">
    <w:p w:rsidR="006D6A6B" w:rsidRDefault="006D6A6B">
      <w:pPr>
        <w:pStyle w:val="FootnoteText"/>
      </w:pPr>
      <w:r w:rsidRPr="009A41F0">
        <w:rPr>
          <w:rStyle w:val="FootnoteReference"/>
          <w:rFonts w:ascii="Times New Roman" w:hAnsi="Times New Roman" w:cs="Times New Roman"/>
        </w:rPr>
        <w:footnoteRef/>
      </w:r>
      <w:r w:rsidRPr="009A41F0">
        <w:rPr>
          <w:rFonts w:ascii="Times New Roman" w:hAnsi="Times New Roman" w:cs="Times New Roman"/>
        </w:rPr>
        <w:t xml:space="preserve"> </w:t>
      </w:r>
      <w:r w:rsidR="004566B2" w:rsidRPr="009A41F0">
        <w:rPr>
          <w:rFonts w:ascii="Times New Roman" w:hAnsi="Times New Roman" w:cs="Times New Roman"/>
        </w:rPr>
        <w:t xml:space="preserve">R. Chandran, Witches beaten, buried, burned for land in princely Indian state, Reuters (4/10/2017), available at </w:t>
      </w:r>
      <w:hyperlink r:id="rId7" w:history="1">
        <w:r w:rsidR="004566B2" w:rsidRPr="009A41F0">
          <w:rPr>
            <w:rStyle w:val="Hyperlink"/>
            <w:rFonts w:ascii="Times New Roman" w:hAnsi="Times New Roman" w:cs="Times New Roman"/>
          </w:rPr>
          <w:t>https://in.reuters.com/article/india-landrights-women/witches-beaten-buried-burned-for-land-in-princely-indian-state-idINKCN1C90EL</w:t>
        </w:r>
      </w:hyperlink>
      <w:r w:rsidR="004566B2" w:rsidRPr="009A41F0">
        <w:rPr>
          <w:rFonts w:ascii="Times New Roman" w:hAnsi="Times New Roman" w:cs="Times New Roman"/>
        </w:rPr>
        <w:t>,</w:t>
      </w:r>
      <w:r w:rsidR="004566B2">
        <w:t xml:space="preserve"> </w:t>
      </w:r>
    </w:p>
  </w:footnote>
  <w:footnote w:id="17">
    <w:p w:rsidR="003A440A" w:rsidRPr="009A41F0" w:rsidRDefault="003A440A">
      <w:pPr>
        <w:pStyle w:val="FootnoteText"/>
        <w:rPr>
          <w:rFonts w:ascii="Times New Roman" w:hAnsi="Times New Roman" w:cs="Times New Roman"/>
        </w:rPr>
      </w:pPr>
      <w:r w:rsidRPr="009A41F0">
        <w:rPr>
          <w:rStyle w:val="FootnoteReference"/>
          <w:rFonts w:ascii="Times New Roman" w:hAnsi="Times New Roman" w:cs="Times New Roman"/>
        </w:rPr>
        <w:footnoteRef/>
      </w:r>
      <w:r w:rsidR="0096144B">
        <w:rPr>
          <w:rFonts w:ascii="Times New Roman" w:hAnsi="Times New Roman" w:cs="Times New Roman"/>
        </w:rPr>
        <w:t xml:space="preserve"> On 27 October 2017 SCC OLine </w:t>
      </w:r>
      <w:r w:rsidR="006D55C7">
        <w:rPr>
          <w:rFonts w:ascii="Times New Roman" w:hAnsi="Times New Roman" w:cs="Times New Roman"/>
        </w:rPr>
        <w:t>Gau 813</w:t>
      </w:r>
      <w:r w:rsidR="0096144B">
        <w:rPr>
          <w:rFonts w:ascii="Times New Roman" w:hAnsi="Times New Roman" w:cs="Times New Roman"/>
        </w:rPr>
        <w:t xml:space="preserve"> </w:t>
      </w:r>
      <w:r w:rsidR="00CE5782">
        <w:rPr>
          <w:rFonts w:ascii="Times New Roman" w:hAnsi="Times New Roman" w:cs="Times New Roman"/>
        </w:rPr>
        <w:t xml:space="preserve"> Available at</w:t>
      </w:r>
      <w:r w:rsidRPr="009A41F0">
        <w:rPr>
          <w:rFonts w:ascii="Times New Roman" w:hAnsi="Times New Roman" w:cs="Times New Roman"/>
        </w:rPr>
        <w:t xml:space="preserve"> </w:t>
      </w:r>
      <w:hyperlink r:id="rId8" w:history="1">
        <w:r w:rsidR="00CE5782" w:rsidRPr="00C750A6">
          <w:rPr>
            <w:rStyle w:val="Hyperlink"/>
            <w:rFonts w:ascii="Times New Roman" w:hAnsi="Times New Roman" w:cs="Times New Roman"/>
          </w:rPr>
          <w:t>https://indiankanoon.org/</w:t>
        </w:r>
      </w:hyperlink>
      <w:r w:rsidR="00CE5782">
        <w:rPr>
          <w:rFonts w:ascii="Times New Roman" w:hAnsi="Times New Roman" w:cs="Times New Roman"/>
        </w:rPr>
        <w:t xml:space="preserve"> </w:t>
      </w:r>
    </w:p>
  </w:footnote>
  <w:footnote w:id="18">
    <w:p w:rsidR="009A41F0" w:rsidRPr="009A41F0" w:rsidRDefault="009A41F0">
      <w:pPr>
        <w:pStyle w:val="FootnoteText"/>
        <w:rPr>
          <w:rFonts w:ascii="Times New Roman" w:hAnsi="Times New Roman" w:cs="Times New Roman"/>
        </w:rPr>
      </w:pPr>
      <w:r w:rsidRPr="009A41F0">
        <w:rPr>
          <w:rStyle w:val="FootnoteReference"/>
          <w:rFonts w:ascii="Times New Roman" w:hAnsi="Times New Roman" w:cs="Times New Roman"/>
        </w:rPr>
        <w:footnoteRef/>
      </w:r>
      <w:r w:rsidR="006D55C7">
        <w:rPr>
          <w:rFonts w:ascii="Times New Roman" w:hAnsi="Times New Roman" w:cs="Times New Roman"/>
        </w:rPr>
        <w:t xml:space="preserve"> 2006 (3) BLJR 1041 </w:t>
      </w:r>
      <w:r w:rsidR="00CE5782">
        <w:rPr>
          <w:rFonts w:ascii="Times New Roman" w:hAnsi="Times New Roman" w:cs="Times New Roman"/>
        </w:rPr>
        <w:t xml:space="preserve">Available at </w:t>
      </w:r>
      <w:r w:rsidRPr="009A41F0">
        <w:rPr>
          <w:rFonts w:ascii="Times New Roman" w:hAnsi="Times New Roman" w:cs="Times New Roman"/>
        </w:rPr>
        <w:t xml:space="preserve"> </w:t>
      </w:r>
      <w:hyperlink r:id="rId9" w:history="1">
        <w:r w:rsidR="00CE5782" w:rsidRPr="00C750A6">
          <w:rPr>
            <w:rStyle w:val="Hyperlink"/>
            <w:rFonts w:ascii="Times New Roman" w:hAnsi="Times New Roman" w:cs="Times New Roman"/>
          </w:rPr>
          <w:t>https://indiankanoon.org/</w:t>
        </w:r>
      </w:hyperlink>
      <w:r w:rsidR="00CE5782">
        <w:rPr>
          <w:rFonts w:ascii="Times New Roman" w:hAnsi="Times New Roman" w:cs="Times New Roman"/>
        </w:rPr>
        <w:t xml:space="preserve"> </w:t>
      </w:r>
      <w:r w:rsidRPr="009A41F0">
        <w:rPr>
          <w:rFonts w:ascii="Times New Roman" w:hAnsi="Times New Roman" w:cs="Times New Roman"/>
        </w:rPr>
        <w:t xml:space="preserve"> </w:t>
      </w:r>
    </w:p>
  </w:footnote>
  <w:footnote w:id="19">
    <w:p w:rsidR="009A41F0" w:rsidRDefault="009A41F0">
      <w:pPr>
        <w:pStyle w:val="FootnoteText"/>
      </w:pPr>
      <w:r w:rsidRPr="009A41F0">
        <w:rPr>
          <w:rStyle w:val="FootnoteReference"/>
          <w:rFonts w:ascii="Times New Roman" w:hAnsi="Times New Roman" w:cs="Times New Roman"/>
        </w:rPr>
        <w:footnoteRef/>
      </w:r>
      <w:r w:rsidR="00CE5782">
        <w:rPr>
          <w:rFonts w:ascii="Times New Roman" w:hAnsi="Times New Roman" w:cs="Times New Roman"/>
        </w:rPr>
        <w:t xml:space="preserve"> </w:t>
      </w:r>
      <w:r w:rsidR="006D55C7">
        <w:rPr>
          <w:rFonts w:ascii="Times New Roman" w:hAnsi="Times New Roman" w:cs="Times New Roman"/>
        </w:rPr>
        <w:t xml:space="preserve"> 2003 (3) JCR 222 jhr </w:t>
      </w:r>
      <w:r w:rsidR="00CE5782">
        <w:rPr>
          <w:rFonts w:ascii="Times New Roman" w:hAnsi="Times New Roman" w:cs="Times New Roman"/>
        </w:rPr>
        <w:t xml:space="preserve">Available at </w:t>
      </w:r>
      <w:r w:rsidRPr="009A41F0">
        <w:rPr>
          <w:rFonts w:ascii="Times New Roman" w:hAnsi="Times New Roman" w:cs="Times New Roman"/>
        </w:rPr>
        <w:t xml:space="preserve"> </w:t>
      </w:r>
      <w:hyperlink r:id="rId10" w:history="1">
        <w:r w:rsidRPr="009A41F0">
          <w:rPr>
            <w:rStyle w:val="Hyperlink"/>
            <w:rFonts w:ascii="Times New Roman" w:hAnsi="Times New Roman" w:cs="Times New Roman"/>
          </w:rPr>
          <w:t>https://www.manupatrafast.com/?t=desktop</w:t>
        </w:r>
      </w:hyperlink>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75592"/>
    <w:multiLevelType w:val="hybridMultilevel"/>
    <w:tmpl w:val="FA3EC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FA1272"/>
    <w:multiLevelType w:val="hybridMultilevel"/>
    <w:tmpl w:val="99BAF898"/>
    <w:lvl w:ilvl="0" w:tplc="28DC0A12">
      <w:numFmt w:val="bullet"/>
      <w:lvlText w:val="-"/>
      <w:lvlJc w:val="left"/>
      <w:pPr>
        <w:ind w:left="6120" w:hanging="360"/>
      </w:pPr>
      <w:rPr>
        <w:rFonts w:ascii="Times New Roman" w:eastAsiaTheme="minorHAnsi" w:hAnsi="Times New Roman" w:cs="Times New Roman" w:hint="default"/>
      </w:rPr>
    </w:lvl>
    <w:lvl w:ilvl="1" w:tplc="04090003" w:tentative="1">
      <w:start w:val="1"/>
      <w:numFmt w:val="bullet"/>
      <w:lvlText w:val="o"/>
      <w:lvlJc w:val="left"/>
      <w:pPr>
        <w:ind w:left="6840" w:hanging="360"/>
      </w:pPr>
      <w:rPr>
        <w:rFonts w:ascii="Courier New" w:hAnsi="Courier New" w:cs="Courier New" w:hint="default"/>
      </w:rPr>
    </w:lvl>
    <w:lvl w:ilvl="2" w:tplc="04090005" w:tentative="1">
      <w:start w:val="1"/>
      <w:numFmt w:val="bullet"/>
      <w:lvlText w:val=""/>
      <w:lvlJc w:val="left"/>
      <w:pPr>
        <w:ind w:left="7560" w:hanging="360"/>
      </w:pPr>
      <w:rPr>
        <w:rFonts w:ascii="Wingdings" w:hAnsi="Wingdings" w:hint="default"/>
      </w:rPr>
    </w:lvl>
    <w:lvl w:ilvl="3" w:tplc="04090001" w:tentative="1">
      <w:start w:val="1"/>
      <w:numFmt w:val="bullet"/>
      <w:lvlText w:val=""/>
      <w:lvlJc w:val="left"/>
      <w:pPr>
        <w:ind w:left="8280" w:hanging="360"/>
      </w:pPr>
      <w:rPr>
        <w:rFonts w:ascii="Symbol" w:hAnsi="Symbol" w:hint="default"/>
      </w:rPr>
    </w:lvl>
    <w:lvl w:ilvl="4" w:tplc="04090003" w:tentative="1">
      <w:start w:val="1"/>
      <w:numFmt w:val="bullet"/>
      <w:lvlText w:val="o"/>
      <w:lvlJc w:val="left"/>
      <w:pPr>
        <w:ind w:left="9000" w:hanging="360"/>
      </w:pPr>
      <w:rPr>
        <w:rFonts w:ascii="Courier New" w:hAnsi="Courier New" w:cs="Courier New" w:hint="default"/>
      </w:rPr>
    </w:lvl>
    <w:lvl w:ilvl="5" w:tplc="04090005" w:tentative="1">
      <w:start w:val="1"/>
      <w:numFmt w:val="bullet"/>
      <w:lvlText w:val=""/>
      <w:lvlJc w:val="left"/>
      <w:pPr>
        <w:ind w:left="9720" w:hanging="360"/>
      </w:pPr>
      <w:rPr>
        <w:rFonts w:ascii="Wingdings" w:hAnsi="Wingdings" w:hint="default"/>
      </w:rPr>
    </w:lvl>
    <w:lvl w:ilvl="6" w:tplc="04090001" w:tentative="1">
      <w:start w:val="1"/>
      <w:numFmt w:val="bullet"/>
      <w:lvlText w:val=""/>
      <w:lvlJc w:val="left"/>
      <w:pPr>
        <w:ind w:left="10440" w:hanging="360"/>
      </w:pPr>
      <w:rPr>
        <w:rFonts w:ascii="Symbol" w:hAnsi="Symbol" w:hint="default"/>
      </w:rPr>
    </w:lvl>
    <w:lvl w:ilvl="7" w:tplc="04090003" w:tentative="1">
      <w:start w:val="1"/>
      <w:numFmt w:val="bullet"/>
      <w:lvlText w:val="o"/>
      <w:lvlJc w:val="left"/>
      <w:pPr>
        <w:ind w:left="11160" w:hanging="360"/>
      </w:pPr>
      <w:rPr>
        <w:rFonts w:ascii="Courier New" w:hAnsi="Courier New" w:cs="Courier New" w:hint="default"/>
      </w:rPr>
    </w:lvl>
    <w:lvl w:ilvl="8" w:tplc="04090005" w:tentative="1">
      <w:start w:val="1"/>
      <w:numFmt w:val="bullet"/>
      <w:lvlText w:val=""/>
      <w:lvlJc w:val="left"/>
      <w:pPr>
        <w:ind w:left="11880" w:hanging="360"/>
      </w:pPr>
      <w:rPr>
        <w:rFonts w:ascii="Wingdings" w:hAnsi="Wingdings" w:hint="default"/>
      </w:rPr>
    </w:lvl>
  </w:abstractNum>
  <w:abstractNum w:abstractNumId="2">
    <w:nsid w:val="0FDF14C4"/>
    <w:multiLevelType w:val="hybridMultilevel"/>
    <w:tmpl w:val="EA9E5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D64D37"/>
    <w:multiLevelType w:val="hybridMultilevel"/>
    <w:tmpl w:val="69069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6F2A15"/>
    <w:multiLevelType w:val="hybridMultilevel"/>
    <w:tmpl w:val="33B64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043C88"/>
    <w:multiLevelType w:val="multilevel"/>
    <w:tmpl w:val="D90E9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3284437"/>
    <w:multiLevelType w:val="hybridMultilevel"/>
    <w:tmpl w:val="7C44B75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A4C6424"/>
    <w:multiLevelType w:val="hybridMultilevel"/>
    <w:tmpl w:val="2D1A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66C6370"/>
    <w:multiLevelType w:val="hybridMultilevel"/>
    <w:tmpl w:val="28B06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6"/>
  </w:num>
  <w:num w:numId="4">
    <w:abstractNumId w:val="2"/>
  </w:num>
  <w:num w:numId="5">
    <w:abstractNumId w:val="0"/>
  </w:num>
  <w:num w:numId="6">
    <w:abstractNumId w:val="7"/>
  </w:num>
  <w:num w:numId="7">
    <w:abstractNumId w:val="8"/>
  </w:num>
  <w:num w:numId="8">
    <w:abstractNumId w:val="1"/>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8154A6"/>
    <w:rsid w:val="000D575F"/>
    <w:rsid w:val="000F6AD4"/>
    <w:rsid w:val="00101345"/>
    <w:rsid w:val="001C2DC9"/>
    <w:rsid w:val="00276058"/>
    <w:rsid w:val="00323239"/>
    <w:rsid w:val="0035059C"/>
    <w:rsid w:val="0038177C"/>
    <w:rsid w:val="0039158D"/>
    <w:rsid w:val="003A440A"/>
    <w:rsid w:val="003C2C9B"/>
    <w:rsid w:val="003D2D9A"/>
    <w:rsid w:val="0040284C"/>
    <w:rsid w:val="00417577"/>
    <w:rsid w:val="00423364"/>
    <w:rsid w:val="0043333F"/>
    <w:rsid w:val="004566B2"/>
    <w:rsid w:val="00465511"/>
    <w:rsid w:val="004D7B9F"/>
    <w:rsid w:val="005318BE"/>
    <w:rsid w:val="006478E7"/>
    <w:rsid w:val="006523D2"/>
    <w:rsid w:val="00685BE2"/>
    <w:rsid w:val="006A4251"/>
    <w:rsid w:val="006C320D"/>
    <w:rsid w:val="006D55C7"/>
    <w:rsid w:val="006D6A6B"/>
    <w:rsid w:val="007C582D"/>
    <w:rsid w:val="007E6EAB"/>
    <w:rsid w:val="007F713E"/>
    <w:rsid w:val="008025B7"/>
    <w:rsid w:val="008154A6"/>
    <w:rsid w:val="00920F27"/>
    <w:rsid w:val="00931559"/>
    <w:rsid w:val="00933CD1"/>
    <w:rsid w:val="0096144B"/>
    <w:rsid w:val="009A41F0"/>
    <w:rsid w:val="009C7C83"/>
    <w:rsid w:val="00A4320E"/>
    <w:rsid w:val="00B01EB3"/>
    <w:rsid w:val="00B27C8A"/>
    <w:rsid w:val="00CD327A"/>
    <w:rsid w:val="00CE5782"/>
    <w:rsid w:val="00D37BCB"/>
    <w:rsid w:val="00E002E4"/>
    <w:rsid w:val="00E30C21"/>
    <w:rsid w:val="00E535DD"/>
    <w:rsid w:val="00E61262"/>
    <w:rsid w:val="00E95D70"/>
    <w:rsid w:val="00FA0AEE"/>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059C"/>
    <w:rPr>
      <w:rFonts w:cs="Mangal"/>
    </w:rPr>
  </w:style>
  <w:style w:type="paragraph" w:styleId="Heading1">
    <w:name w:val="heading 1"/>
    <w:basedOn w:val="Normal"/>
    <w:link w:val="Heading1Char"/>
    <w:uiPriority w:val="9"/>
    <w:qFormat/>
    <w:rsid w:val="00D37BC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40284C"/>
    <w:pPr>
      <w:keepNext/>
      <w:keepLines/>
      <w:spacing w:before="200" w:after="0"/>
      <w:outlineLvl w:val="1"/>
    </w:pPr>
    <w:rPr>
      <w:rFonts w:asciiTheme="majorHAnsi" w:eastAsiaTheme="majorEastAsia" w:hAnsiTheme="majorHAnsi" w:cstheme="majorBidi"/>
      <w:b/>
      <w:bCs/>
      <w:color w:val="4F81BD" w:themeColor="accent1"/>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61262"/>
    <w:pPr>
      <w:spacing w:after="0" w:line="240" w:lineRule="auto"/>
    </w:pPr>
    <w:rPr>
      <w:sz w:val="20"/>
      <w:szCs w:val="18"/>
    </w:rPr>
  </w:style>
  <w:style w:type="character" w:customStyle="1" w:styleId="FootnoteTextChar">
    <w:name w:val="Footnote Text Char"/>
    <w:basedOn w:val="DefaultParagraphFont"/>
    <w:link w:val="FootnoteText"/>
    <w:uiPriority w:val="99"/>
    <w:rsid w:val="00E61262"/>
    <w:rPr>
      <w:rFonts w:cs="Mangal"/>
      <w:sz w:val="20"/>
      <w:szCs w:val="18"/>
    </w:rPr>
  </w:style>
  <w:style w:type="character" w:styleId="FootnoteReference">
    <w:name w:val="footnote reference"/>
    <w:basedOn w:val="DefaultParagraphFont"/>
    <w:uiPriority w:val="99"/>
    <w:semiHidden/>
    <w:unhideWhenUsed/>
    <w:rsid w:val="00E61262"/>
    <w:rPr>
      <w:vertAlign w:val="superscript"/>
    </w:rPr>
  </w:style>
  <w:style w:type="paragraph" w:styleId="ListParagraph">
    <w:name w:val="List Paragraph"/>
    <w:basedOn w:val="Normal"/>
    <w:uiPriority w:val="34"/>
    <w:qFormat/>
    <w:rsid w:val="00E61262"/>
    <w:pPr>
      <w:ind w:left="720"/>
      <w:contextualSpacing/>
    </w:pPr>
  </w:style>
  <w:style w:type="paragraph" w:styleId="Header">
    <w:name w:val="header"/>
    <w:basedOn w:val="Normal"/>
    <w:link w:val="HeaderChar"/>
    <w:uiPriority w:val="99"/>
    <w:semiHidden/>
    <w:unhideWhenUsed/>
    <w:rsid w:val="00D37BC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37BCB"/>
    <w:rPr>
      <w:rFonts w:cs="Mangal"/>
    </w:rPr>
  </w:style>
  <w:style w:type="paragraph" w:styleId="Footer">
    <w:name w:val="footer"/>
    <w:basedOn w:val="Normal"/>
    <w:link w:val="FooterChar"/>
    <w:uiPriority w:val="99"/>
    <w:unhideWhenUsed/>
    <w:rsid w:val="00D37B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7BCB"/>
    <w:rPr>
      <w:rFonts w:cs="Mangal"/>
    </w:rPr>
  </w:style>
  <w:style w:type="character" w:styleId="Hyperlink">
    <w:name w:val="Hyperlink"/>
    <w:basedOn w:val="DefaultParagraphFont"/>
    <w:uiPriority w:val="99"/>
    <w:unhideWhenUsed/>
    <w:rsid w:val="00D37BCB"/>
    <w:rPr>
      <w:color w:val="0000FF" w:themeColor="hyperlink"/>
      <w:u w:val="single"/>
    </w:rPr>
  </w:style>
  <w:style w:type="character" w:customStyle="1" w:styleId="Heading1Char">
    <w:name w:val="Heading 1 Char"/>
    <w:basedOn w:val="DefaultParagraphFont"/>
    <w:link w:val="Heading1"/>
    <w:uiPriority w:val="9"/>
    <w:rsid w:val="00D37BC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40284C"/>
    <w:rPr>
      <w:rFonts w:asciiTheme="majorHAnsi" w:eastAsiaTheme="majorEastAsia" w:hAnsiTheme="majorHAnsi" w:cstheme="majorBidi"/>
      <w:b/>
      <w:bCs/>
      <w:color w:val="4F81BD" w:themeColor="accent1"/>
      <w:sz w:val="26"/>
      <w:szCs w:val="23"/>
    </w:rPr>
  </w:style>
  <w:style w:type="character" w:styleId="Emphasis">
    <w:name w:val="Emphasis"/>
    <w:basedOn w:val="DefaultParagraphFont"/>
    <w:uiPriority w:val="20"/>
    <w:qFormat/>
    <w:rsid w:val="003C2C9B"/>
    <w:rPr>
      <w:i/>
      <w:iCs/>
    </w:rPr>
  </w:style>
  <w:style w:type="paragraph" w:styleId="NormalWeb">
    <w:name w:val="Normal (Web)"/>
    <w:basedOn w:val="Normal"/>
    <w:uiPriority w:val="99"/>
    <w:unhideWhenUsed/>
    <w:rsid w:val="004566B2"/>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33CD1"/>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933CD1"/>
    <w:rPr>
      <w:rFonts w:ascii="Tahoma" w:hAnsi="Tahoma" w:cs="Mangal"/>
      <w:sz w:val="16"/>
      <w:szCs w:val="14"/>
    </w:rPr>
  </w:style>
  <w:style w:type="paragraph" w:styleId="Quote">
    <w:name w:val="Quote"/>
    <w:basedOn w:val="Normal"/>
    <w:next w:val="Normal"/>
    <w:link w:val="QuoteChar"/>
    <w:uiPriority w:val="29"/>
    <w:qFormat/>
    <w:rsid w:val="008025B7"/>
    <w:rPr>
      <w:i/>
      <w:iCs/>
      <w:color w:val="000000" w:themeColor="text1"/>
    </w:rPr>
  </w:style>
  <w:style w:type="character" w:customStyle="1" w:styleId="QuoteChar">
    <w:name w:val="Quote Char"/>
    <w:basedOn w:val="DefaultParagraphFont"/>
    <w:link w:val="Quote"/>
    <w:uiPriority w:val="29"/>
    <w:rsid w:val="008025B7"/>
    <w:rPr>
      <w:rFonts w:cs="Mangal"/>
      <w:i/>
      <w:iCs/>
      <w:color w:val="000000" w:themeColor="text1"/>
    </w:rPr>
  </w:style>
</w:styles>
</file>

<file path=word/webSettings.xml><?xml version="1.0" encoding="utf-8"?>
<w:webSettings xmlns:r="http://schemas.openxmlformats.org/officeDocument/2006/relationships" xmlns:w="http://schemas.openxmlformats.org/wordprocessingml/2006/main">
  <w:divs>
    <w:div w:id="196552776">
      <w:bodyDiv w:val="1"/>
      <w:marLeft w:val="0"/>
      <w:marRight w:val="0"/>
      <w:marTop w:val="0"/>
      <w:marBottom w:val="0"/>
      <w:divBdr>
        <w:top w:val="none" w:sz="0" w:space="0" w:color="auto"/>
        <w:left w:val="none" w:sz="0" w:space="0" w:color="auto"/>
        <w:bottom w:val="none" w:sz="0" w:space="0" w:color="auto"/>
        <w:right w:val="none" w:sz="0" w:space="0" w:color="auto"/>
      </w:divBdr>
    </w:div>
    <w:div w:id="244152960">
      <w:bodyDiv w:val="1"/>
      <w:marLeft w:val="0"/>
      <w:marRight w:val="0"/>
      <w:marTop w:val="0"/>
      <w:marBottom w:val="0"/>
      <w:divBdr>
        <w:top w:val="none" w:sz="0" w:space="0" w:color="auto"/>
        <w:left w:val="none" w:sz="0" w:space="0" w:color="auto"/>
        <w:bottom w:val="none" w:sz="0" w:space="0" w:color="auto"/>
        <w:right w:val="none" w:sz="0" w:space="0" w:color="auto"/>
      </w:divBdr>
    </w:div>
    <w:div w:id="596060509">
      <w:bodyDiv w:val="1"/>
      <w:marLeft w:val="0"/>
      <w:marRight w:val="0"/>
      <w:marTop w:val="0"/>
      <w:marBottom w:val="0"/>
      <w:divBdr>
        <w:top w:val="none" w:sz="0" w:space="0" w:color="auto"/>
        <w:left w:val="none" w:sz="0" w:space="0" w:color="auto"/>
        <w:bottom w:val="none" w:sz="0" w:space="0" w:color="auto"/>
        <w:right w:val="none" w:sz="0" w:space="0" w:color="auto"/>
      </w:divBdr>
    </w:div>
    <w:div w:id="642582218">
      <w:bodyDiv w:val="1"/>
      <w:marLeft w:val="0"/>
      <w:marRight w:val="0"/>
      <w:marTop w:val="0"/>
      <w:marBottom w:val="0"/>
      <w:divBdr>
        <w:top w:val="none" w:sz="0" w:space="0" w:color="auto"/>
        <w:left w:val="none" w:sz="0" w:space="0" w:color="auto"/>
        <w:bottom w:val="none" w:sz="0" w:space="0" w:color="auto"/>
        <w:right w:val="none" w:sz="0" w:space="0" w:color="auto"/>
      </w:divBdr>
    </w:div>
    <w:div w:id="866680378">
      <w:bodyDiv w:val="1"/>
      <w:marLeft w:val="0"/>
      <w:marRight w:val="0"/>
      <w:marTop w:val="0"/>
      <w:marBottom w:val="0"/>
      <w:divBdr>
        <w:top w:val="none" w:sz="0" w:space="0" w:color="auto"/>
        <w:left w:val="none" w:sz="0" w:space="0" w:color="auto"/>
        <w:bottom w:val="none" w:sz="0" w:space="0" w:color="auto"/>
        <w:right w:val="none" w:sz="0" w:space="0" w:color="auto"/>
      </w:divBdr>
    </w:div>
    <w:div w:id="885027676">
      <w:bodyDiv w:val="1"/>
      <w:marLeft w:val="0"/>
      <w:marRight w:val="0"/>
      <w:marTop w:val="0"/>
      <w:marBottom w:val="0"/>
      <w:divBdr>
        <w:top w:val="none" w:sz="0" w:space="0" w:color="auto"/>
        <w:left w:val="none" w:sz="0" w:space="0" w:color="auto"/>
        <w:bottom w:val="none" w:sz="0" w:space="0" w:color="auto"/>
        <w:right w:val="none" w:sz="0" w:space="0" w:color="auto"/>
      </w:divBdr>
    </w:div>
    <w:div w:id="1133517771">
      <w:bodyDiv w:val="1"/>
      <w:marLeft w:val="0"/>
      <w:marRight w:val="0"/>
      <w:marTop w:val="0"/>
      <w:marBottom w:val="0"/>
      <w:divBdr>
        <w:top w:val="none" w:sz="0" w:space="0" w:color="auto"/>
        <w:left w:val="none" w:sz="0" w:space="0" w:color="auto"/>
        <w:bottom w:val="none" w:sz="0" w:space="0" w:color="auto"/>
        <w:right w:val="none" w:sz="0" w:space="0" w:color="auto"/>
      </w:divBdr>
    </w:div>
    <w:div w:id="1167016250">
      <w:bodyDiv w:val="1"/>
      <w:marLeft w:val="0"/>
      <w:marRight w:val="0"/>
      <w:marTop w:val="0"/>
      <w:marBottom w:val="0"/>
      <w:divBdr>
        <w:top w:val="none" w:sz="0" w:space="0" w:color="auto"/>
        <w:left w:val="none" w:sz="0" w:space="0" w:color="auto"/>
        <w:bottom w:val="none" w:sz="0" w:space="0" w:color="auto"/>
        <w:right w:val="none" w:sz="0" w:space="0" w:color="auto"/>
      </w:divBdr>
    </w:div>
    <w:div w:id="1623657425">
      <w:bodyDiv w:val="1"/>
      <w:marLeft w:val="0"/>
      <w:marRight w:val="0"/>
      <w:marTop w:val="0"/>
      <w:marBottom w:val="0"/>
      <w:divBdr>
        <w:top w:val="none" w:sz="0" w:space="0" w:color="auto"/>
        <w:left w:val="none" w:sz="0" w:space="0" w:color="auto"/>
        <w:bottom w:val="none" w:sz="0" w:space="0" w:color="auto"/>
        <w:right w:val="none" w:sz="0" w:space="0" w:color="auto"/>
      </w:divBdr>
    </w:div>
    <w:div w:id="1730961947">
      <w:bodyDiv w:val="1"/>
      <w:marLeft w:val="0"/>
      <w:marRight w:val="0"/>
      <w:marTop w:val="0"/>
      <w:marBottom w:val="0"/>
      <w:divBdr>
        <w:top w:val="none" w:sz="0" w:space="0" w:color="auto"/>
        <w:left w:val="none" w:sz="0" w:space="0" w:color="auto"/>
        <w:bottom w:val="none" w:sz="0" w:space="0" w:color="auto"/>
        <w:right w:val="none" w:sz="0" w:space="0" w:color="auto"/>
      </w:divBdr>
    </w:div>
    <w:div w:id="1753576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iankanoon.org/doc/186389/" TargetMode="External"/><Relationship Id="rId13" Type="http://schemas.openxmlformats.org/officeDocument/2006/relationships/hyperlink" Target="https://www.nationalarchives.gov.uk/education/resources/early-modern-witch-trials/#:~:text=Witchcraft%20caused%20great%20fear%20within,a%20way%20of%20making%20money" TargetMode="External"/><Relationship Id="rId18" Type="http://schemas.openxmlformats.org/officeDocument/2006/relationships/hyperlink" Target="https://in.reuters.com/article/india-landrights-women/witches-beaten-buried-burned-for-land-in-princely-indian-state-idINKCN1C90EL" TargetMode="External"/><Relationship Id="rId3" Type="http://schemas.openxmlformats.org/officeDocument/2006/relationships/styles" Target="styles.xml"/><Relationship Id="rId21" Type="http://schemas.openxmlformats.org/officeDocument/2006/relationships/hyperlink" Target="https://blog.ipleaders.in/witch-hunting-india-socio-legal-" TargetMode="External"/><Relationship Id="rId7" Type="http://schemas.openxmlformats.org/officeDocument/2006/relationships/endnotes" Target="endnotes.xml"/><Relationship Id="rId12" Type="http://schemas.openxmlformats.org/officeDocument/2006/relationships/hyperlink" Target="https://www.ohchr.org/en/special-procedures/ie-albinism/witchcraft-and-human-rights#:~:text=In%20numerous%20countries%20around%20the,of%20limbs%2C%20torture%20and%20murder" TargetMode="External"/><Relationship Id="rId17" Type="http://schemas.openxmlformats.org/officeDocument/2006/relationships/hyperlink" Target="https://indiankanoon.org/"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manupatrafast.com/?t=desktop" TargetMode="External"/><Relationship Id="rId20" Type="http://schemas.openxmlformats.org/officeDocument/2006/relationships/hyperlink" Target="https://www.newadvent.org/cathen/1567a.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diankanoon.org/doc/1273154/"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indico.un.org/event/26643/" TargetMode="External"/><Relationship Id="rId23" Type="http://schemas.openxmlformats.org/officeDocument/2006/relationships/footer" Target="footer1.xml"/><Relationship Id="rId10" Type="http://schemas.openxmlformats.org/officeDocument/2006/relationships/hyperlink" Target="https://indiankanoon.org/doc/1569253/" TargetMode="External"/><Relationship Id="rId19" Type="http://schemas.openxmlformats.org/officeDocument/2006/relationships/hyperlink" Target="https://journals.sagepub.com/doi/10.1177/1077801212465155" TargetMode="External"/><Relationship Id="rId4" Type="http://schemas.openxmlformats.org/officeDocument/2006/relationships/settings" Target="settings.xml"/><Relationship Id="rId9" Type="http://schemas.openxmlformats.org/officeDocument/2006/relationships/hyperlink" Target="https://indiankanoon.org/search/?formInput=prevention%20of%20witch(daain)%20practice%20act%2C%201999" TargetMode="External"/><Relationship Id="rId14" Type="http://schemas.openxmlformats.org/officeDocument/2006/relationships/hyperlink" Target="https://www.whrin.org/" TargetMode="External"/><Relationship Id="rId22" Type="http://schemas.openxmlformats.org/officeDocument/2006/relationships/hyperlink" Target="https://www.scconline.com/blog/post/2020/10/01/incessant-witch-hunt-of-human-rights-organizations-by-govt-of-india-over-unfounded-motivated-allegations-amnesty-international-halts-work-in-india/"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indiankanoon.org/" TargetMode="External"/><Relationship Id="rId3" Type="http://schemas.openxmlformats.org/officeDocument/2006/relationships/hyperlink" Target="https://www.scconline.com/blog/post/2020/10/01/incessant-witch-hunt-of-human-rights-organizations-by-govt-of-india-over-unfounded-motivated-allegations-amnesty-international-halts-work-in-india/" TargetMode="External"/><Relationship Id="rId7" Type="http://schemas.openxmlformats.org/officeDocument/2006/relationships/hyperlink" Target="https://in.reuters.com/article/india-landrights-women/witches-beaten-buried-burned-for-land-in-princely-indian-state-idINKCN1C90EL" TargetMode="External"/><Relationship Id="rId2" Type="http://schemas.openxmlformats.org/officeDocument/2006/relationships/hyperlink" Target="https://blog.ipleaders.in/witch-hunting-india-socio-legal-" TargetMode="External"/><Relationship Id="rId1" Type="http://schemas.openxmlformats.org/officeDocument/2006/relationships/hyperlink" Target="https://skepticalinqurirer.org/2014/07/modern-witch-hunting-and-susperstitious-murder-in-india/" TargetMode="External"/><Relationship Id="rId6" Type="http://schemas.openxmlformats.org/officeDocument/2006/relationships/hyperlink" Target="https://journals.sagepub.com/doi/10.1177/1077801212465155" TargetMode="External"/><Relationship Id="rId5" Type="http://schemas.openxmlformats.org/officeDocument/2006/relationships/hyperlink" Target="https://www.newadvent.org/cathen/1567a.htm" TargetMode="External"/><Relationship Id="rId10" Type="http://schemas.openxmlformats.org/officeDocument/2006/relationships/hyperlink" Target="https://www.manupatrafast.com/?t=desktop" TargetMode="External"/><Relationship Id="rId4" Type="http://schemas.openxmlformats.org/officeDocument/2006/relationships/hyperlink" Target="https://blog.ipleaders.in/witch-hunting-india-socio-legal-" TargetMode="External"/><Relationship Id="rId9" Type="http://schemas.openxmlformats.org/officeDocument/2006/relationships/hyperlink" Target="https://indiankano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9CA343-FE3D-43CC-B3EA-42B59522F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2934</Words>
  <Characters>16724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8</cp:revision>
  <dcterms:created xsi:type="dcterms:W3CDTF">2023-04-25T14:00:00Z</dcterms:created>
  <dcterms:modified xsi:type="dcterms:W3CDTF">2023-05-07T12:47:00Z</dcterms:modified>
</cp:coreProperties>
</file>