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line="360" w:lineRule="auto"/>
        <w:rPr>
          <w:rFonts w:ascii="Times New Roman" w:cs="Times New Roman" w:eastAsia="Times New Roman" w:hAnsi="Times New Roman"/>
          <w:sz w:val="24"/>
          <w:szCs w:val="24"/>
        </w:rPr>
      </w:pPr>
      <w:r w:rsidDel="00000000" w:rsidR="00000000" w:rsidRPr="00000000">
        <w:rPr>
          <w:rtl w:val="0"/>
        </w:rPr>
      </w:r>
    </w:p>
    <w:tbl>
      <w:tblPr>
        <w:tblStyle w:val="Table1"/>
        <w:tblW w:w="9375.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75"/>
        <w:tblGridChange w:id="0">
          <w:tblGrid>
            <w:gridCol w:w="9375"/>
          </w:tblGrid>
        </w:tblGridChange>
      </w:tblGrid>
      <w:tr>
        <w:trPr>
          <w:cantSplit w:val="0"/>
          <w:trHeight w:val="634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2">
            <w:pPr>
              <w:pageBreakBefore w:val="0"/>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pageBreakBefore w:val="0"/>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4">
            <w:pPr>
              <w:pageBreakBefore w:val="0"/>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5">
            <w:pPr>
              <w:pageBreakBefore w:val="0"/>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6">
            <w:pPr>
              <w:pageBreakBefore w:val="0"/>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7">
            <w:pPr>
              <w:pageBreakBefore w:val="0"/>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Legal Status of Refugees across International Borders</w:t>
            </w:r>
          </w:p>
          <w:p w:rsidR="00000000" w:rsidDel="00000000" w:rsidP="00000000" w:rsidRDefault="00000000" w:rsidRPr="00000000" w14:paraId="00000008">
            <w:pPr>
              <w:pageBreakBefore w:val="0"/>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9">
            <w:pPr>
              <w:pageBreakBefore w:val="0"/>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Author - Aditi Goel</w:t>
            </w:r>
          </w:p>
          <w:p w:rsidR="00000000" w:rsidDel="00000000" w:rsidP="00000000" w:rsidRDefault="00000000" w:rsidRPr="00000000" w14:paraId="0000000A">
            <w:pPr>
              <w:pageBreakBefore w:val="0"/>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Advocate </w:t>
            </w:r>
          </w:p>
          <w:p w:rsidR="00000000" w:rsidDel="00000000" w:rsidP="00000000" w:rsidRDefault="00000000" w:rsidRPr="00000000" w14:paraId="0000000B">
            <w:pPr>
              <w:pageBreakBefore w:val="0"/>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pageBreakBefore w:val="0"/>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pageBreakBefore w:val="0"/>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pageBreakBefore w:val="0"/>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pageBreakBefore w:val="0"/>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pageBreakBefore w:val="0"/>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pageBreakBefore w:val="0"/>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pageBreakBefore w:val="0"/>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pageBreakBefore w:val="0"/>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pageBreakBefore w:val="0"/>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pageBreakBefore w:val="0"/>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pageBreakBefore w:val="0"/>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pageBreakBefore w:val="0"/>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pageBreakBefore w:val="0"/>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pageBreakBefore w:val="0"/>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pageBreakBefore w:val="0"/>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pageBreakBefore w:val="0"/>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pageBreakBefore w:val="0"/>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pageBreakBefore w:val="0"/>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pageBreakBefore w:val="0"/>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Who is a refugee?</w:t>
            </w:r>
          </w:p>
          <w:p w:rsidR="00000000" w:rsidDel="00000000" w:rsidP="00000000" w:rsidRDefault="00000000" w:rsidRPr="00000000" w14:paraId="0000001F">
            <w:pPr>
              <w:pageBreakBefore w:val="0"/>
              <w:spacing w:line="360" w:lineRule="auto"/>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Article 1(A)(2) of the 1951 Convention relating to the Status of Refugees (1951 Convention)  defines a refugee as ‘</w:t>
            </w:r>
            <w:r w:rsidDel="00000000" w:rsidR="00000000" w:rsidRPr="00000000">
              <w:rPr>
                <w:rFonts w:ascii="Times New Roman" w:cs="Times New Roman" w:eastAsia="Times New Roman" w:hAnsi="Times New Roman"/>
                <w:i w:val="1"/>
                <w:sz w:val="24"/>
                <w:szCs w:val="24"/>
                <w:highlight w:val="white"/>
                <w:rtl w:val="0"/>
              </w:rPr>
              <w:t xml:space="preserve">an individual who is outside his or her country of nationality or habitual residence who is unable or unwilling to return due to a well-founded fear of persecution based on his or her race, religion, nationality, political opinion, or membership in a particular social group.’</w:t>
            </w:r>
          </w:p>
          <w:p w:rsidR="00000000" w:rsidDel="00000000" w:rsidP="00000000" w:rsidRDefault="00000000" w:rsidRPr="00000000" w14:paraId="00000020">
            <w:pPr>
              <w:pageBreakBefore w:val="0"/>
              <w:spacing w:line="36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Refugees are people who have reason to believe that while they continue to fear or suffer persecution, their  own government cannot or will not protect them. </w:t>
            </w:r>
          </w:p>
          <w:p w:rsidR="00000000" w:rsidDel="00000000" w:rsidP="00000000" w:rsidRDefault="00000000" w:rsidRPr="00000000" w14:paraId="00000021">
            <w:pPr>
              <w:pageBreakBefore w:val="0"/>
              <w:spacing w:line="36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 criterion to determine the refugee status of a person is based on the person’s state of mind which is supported by objective elements. There are chasms in this definition because it does not include the contemporary problems related to refugee protection. The definition fails to include people seeking refuge due to environmental disasters, people ousted internally due to hostility, internal disturbances and civil wars or people having different sexual orientations.</w:t>
            </w:r>
          </w:p>
          <w:p w:rsidR="00000000" w:rsidDel="00000000" w:rsidP="00000000" w:rsidRDefault="00000000" w:rsidRPr="00000000" w14:paraId="00000022">
            <w:pPr>
              <w:pageBreakBefore w:val="0"/>
              <w:widowControl w:val="0"/>
              <w:spacing w:line="36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This does not define how States are to determine whether an individual meets the definition of a refugee. Instead, the establishment of asylum proceedings and refugee status determinations are left to each State to develop. This has resulted in discrepancies among different States, as governments make asylum laws based on their various resources, national security concerns, and histories with forced resettling movements. The overall goal of the modern refugee administration, despite differences at the national and regional levels, is to provide protection to individuals forced to flee their homes because their countries are not willing or not able to protect them.</w:t>
            </w:r>
          </w:p>
          <w:p w:rsidR="00000000" w:rsidDel="00000000" w:rsidP="00000000" w:rsidRDefault="00000000" w:rsidRPr="00000000" w14:paraId="00000023">
            <w:pPr>
              <w:pageBreakBefore w:val="0"/>
              <w:widowControl w:val="0"/>
              <w:spacing w:line="36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What compels the refugees to cross international borders and seek protection abroad, is the risk of human rights violations in their home country. Consequently, defending human rights in the countries of origin is not only of critical importance  to the prevention of refugee problems but also for their solutions.</w:t>
            </w:r>
          </w:p>
          <w:p w:rsidR="00000000" w:rsidDel="00000000" w:rsidP="00000000" w:rsidRDefault="00000000" w:rsidRPr="00000000" w14:paraId="00000024">
            <w:pPr>
              <w:pageBreakBefore w:val="0"/>
              <w:widowControl w:val="0"/>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Various international instruments defining refugees were drafted under the aegis of the League of Nations, but these definitions were limited to the nationality of the displaced population and did not take into account other factors which find a place in the Refugee Convention.</w:t>
            </w:r>
          </w:p>
          <w:p w:rsidR="00000000" w:rsidDel="00000000" w:rsidP="00000000" w:rsidRDefault="00000000" w:rsidRPr="00000000" w14:paraId="00000025">
            <w:pPr>
              <w:pageBreakBefore w:val="0"/>
              <w:widowControl w:val="0"/>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Interplay of International Humanitarian Law, Refugee Law and Human Rights Law:</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Refugee law and Human Rights law are complimentary, co-existing and intersecting with each other as their main aim is to protect the life, dignity and liberty of each individual and there is no exception to this fundamental principle.</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Refugee law deals with people fleeing from conflicts and Humanitarian Law deals with conflicts. In other words, refugee law comes into picture to protect the distressed during armed conflicts because of the massacres and destruction of property of civilians.</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Principle of Non-Refoulement which disallows forceful repatriation is described under both human rights and refugee law. This now, is a rule of customary international law.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are various International and regional instruments protecting the rights of refugees.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rtl w:val="0"/>
              </w:rPr>
              <w:t xml:space="preserve">Some of them include, The United Nations High Commissioner for Refugees, th</w:t>
            </w:r>
            <w:r w:rsidDel="00000000" w:rsidR="00000000" w:rsidRPr="00000000">
              <w:rPr>
                <w:rFonts w:ascii="Times New Roman" w:cs="Times New Roman" w:eastAsia="Times New Roman" w:hAnsi="Times New Roman"/>
                <w:sz w:val="24"/>
                <w:szCs w:val="24"/>
                <w:rtl w:val="0"/>
              </w:rPr>
              <w:t xml:space="preserve">e UN Declaration on Territorial Asylum 1967, </w:t>
            </w:r>
            <w:r w:rsidDel="00000000" w:rsidR="00000000" w:rsidRPr="00000000">
              <w:rPr>
                <w:rFonts w:ascii="Times New Roman" w:cs="Times New Roman" w:eastAsia="Times New Roman" w:hAnsi="Times New Roman"/>
                <w:sz w:val="24"/>
                <w:szCs w:val="24"/>
                <w:highlight w:val="white"/>
                <w:rtl w:val="0"/>
              </w:rPr>
              <w:t xml:space="preserve">1951 United Nations Convention Relating to the Status of Refugees and the 1967 Protocol Relating to the Status of Refugees among others. </w:t>
            </w:r>
          </w:p>
          <w:p w:rsidR="00000000" w:rsidDel="00000000" w:rsidP="00000000" w:rsidRDefault="00000000" w:rsidRPr="00000000" w14:paraId="0000002C">
            <w:pPr>
              <w:pageBreakBefore w:val="0"/>
              <w:widowControl w:val="0"/>
              <w:spacing w:line="36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 United Nations Human Rights Council (UNHRC) too plays an important role in the security of refugees. </w:t>
            </w:r>
          </w:p>
          <w:p w:rsidR="00000000" w:rsidDel="00000000" w:rsidP="00000000" w:rsidRDefault="00000000" w:rsidRPr="00000000" w14:paraId="0000002D">
            <w:pPr>
              <w:pageBreakBefore w:val="0"/>
              <w:widowControl w:val="0"/>
              <w:spacing w:line="36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2E">
            <w:pPr>
              <w:pageBreakBefore w:val="0"/>
              <w:widowControl w:val="0"/>
              <w:spacing w:line="36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As per Chapter II of the 1951 Geneva Convention, i.e. Juridical Status, Article 12 (Personal Status) says that the </w:t>
            </w:r>
            <w:r w:rsidDel="00000000" w:rsidR="00000000" w:rsidRPr="00000000">
              <w:rPr>
                <w:rFonts w:ascii="Times New Roman" w:cs="Times New Roman" w:eastAsia="Times New Roman" w:hAnsi="Times New Roman"/>
                <w:i w:val="1"/>
                <w:sz w:val="24"/>
                <w:szCs w:val="24"/>
                <w:highlight w:val="white"/>
                <w:rtl w:val="0"/>
              </w:rPr>
              <w:t xml:space="preserve">personal status of a refugee will be governed by the law of the country of his domicile, or if he does not have domicile, by the law of the country of his residence.</w:t>
            </w:r>
            <w:r w:rsidDel="00000000" w:rsidR="00000000" w:rsidRPr="00000000">
              <w:rPr>
                <w:rFonts w:ascii="Times New Roman" w:cs="Times New Roman" w:eastAsia="Times New Roman" w:hAnsi="Times New Roman"/>
                <w:sz w:val="24"/>
                <w:szCs w:val="24"/>
                <w:highlight w:val="white"/>
                <w:rtl w:val="0"/>
              </w:rPr>
              <w:t xml:space="preserve"> The Convention also states the rights which individuals are entitled to once they are recognised as Convention Refugees.</w:t>
            </w:r>
          </w:p>
          <w:p w:rsidR="00000000" w:rsidDel="00000000" w:rsidP="00000000" w:rsidRDefault="00000000" w:rsidRPr="00000000" w14:paraId="0000002F">
            <w:pPr>
              <w:pageBreakBefore w:val="0"/>
              <w:widowControl w:val="0"/>
              <w:spacing w:line="36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Article 14 of the Universal Declaration of Human Rights says that everyone has the right to seek and enjoy asylum from persecution in other countries. This right may not be invoked, in the case of prosecutions that are genuinely arising from crimes that are non-political or from acts that are contrary to the purposes and principles of the United Nations.</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32">
            <w:pPr>
              <w:pageBreakBefore w:val="0"/>
              <w:widowControl w:val="0"/>
              <w:pBdr>
                <w:top w:color="auto" w:space="0" w:sz="0" w:val="none"/>
                <w:left w:color="auto" w:space="0" w:sz="0" w:val="none"/>
                <w:bottom w:color="auto" w:space="0" w:sz="0" w:val="none"/>
                <w:right w:color="auto" w:space="0" w:sz="0" w:val="none"/>
                <w:between w:color="auto" w:space="0" w:sz="0" w:val="none"/>
              </w:pBdr>
              <w:shd w:fill="ffffff" w:val="clear"/>
              <w:spacing w:after="360" w:line="36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Article 7 </w:t>
            </w:r>
            <w:r w:rsidDel="00000000" w:rsidR="00000000" w:rsidRPr="00000000">
              <w:rPr>
                <w:rFonts w:ascii="Times New Roman" w:cs="Times New Roman" w:eastAsia="Times New Roman" w:hAnsi="Times New Roman"/>
                <w:sz w:val="24"/>
                <w:szCs w:val="24"/>
                <w:highlight w:val="white"/>
                <w:rtl w:val="0"/>
              </w:rPr>
              <w:t xml:space="preserve">International Covenant On Civil And Political Rights (ICCPR)</w:t>
            </w:r>
            <w:r w:rsidDel="00000000" w:rsidR="00000000" w:rsidRPr="00000000">
              <w:rPr>
                <w:rFonts w:ascii="Times New Roman" w:cs="Times New Roman" w:eastAsia="Times New Roman" w:hAnsi="Times New Roman"/>
                <w:sz w:val="24"/>
                <w:szCs w:val="24"/>
                <w:highlight w:val="white"/>
                <w:rtl w:val="0"/>
              </w:rPr>
              <w:t xml:space="preserve"> has been interpreted to prohibit return to situations where the person might suffer torture or other cruel, inhumane and degrading treatment or punishment. Moreover, almost all of ICCPR’s provisions apply to both citizens and non-citizens.</w:t>
            </w:r>
          </w:p>
          <w:p w:rsidR="00000000" w:rsidDel="00000000" w:rsidP="00000000" w:rsidRDefault="00000000" w:rsidRPr="00000000" w14:paraId="00000033">
            <w:pPr>
              <w:pageBreakBefore w:val="0"/>
              <w:widowControl w:val="0"/>
              <w:pBdr>
                <w:top w:color="auto" w:space="0" w:sz="0" w:val="none"/>
                <w:left w:color="auto" w:space="0" w:sz="0" w:val="none"/>
                <w:bottom w:color="auto" w:space="0" w:sz="0" w:val="none"/>
                <w:right w:color="auto" w:space="0" w:sz="0" w:val="none"/>
                <w:between w:color="auto" w:space="0" w:sz="0" w:val="none"/>
              </w:pBdr>
              <w:shd w:fill="ffffff" w:val="clear"/>
              <w:spacing w:after="360" w:line="36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Article 3 of Convention against Torture (CAT) provides for protection from refoulement in situations where there is a considerable risk of torture. The non-refoulement provision under CAT is absolute. Unlike the non-refoulement provision of the 1951 Convention it does not provide for exceptions based on national security and is not linked to cases where a person fears harm on account of race, religion, nationality, membership of a particular social group, or political opinion. This means that the prohibition of return applies to all persons notwithstanding their past criminal conduct.</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Undoubtedly</w:t>
            </w:r>
            <w:r w:rsidDel="00000000" w:rsidR="00000000" w:rsidRPr="00000000">
              <w:rPr>
                <w:rFonts w:ascii="Times New Roman" w:cs="Times New Roman" w:eastAsia="Times New Roman" w:hAnsi="Times New Roman"/>
                <w:sz w:val="24"/>
                <w:szCs w:val="24"/>
                <w:highlight w:val="white"/>
                <w:rtl w:val="0"/>
              </w:rPr>
              <w:t xml:space="preserve">, the principal legal instrument concerning refugees is the Convention Relating to the Status of Refugees of 1951 (Geneva Convention) which has been described as the Magna Carta ot the Great Charter of refugees. It is an inclusive charter of the rights which signatory countries agree to confer upon refugees. It is provided that there shall be no discrimination for reasons of race, nationality or religion and these rights range from the simplest to the most elaborate. They include the right to practice a religion, to have access to wage-earning or self-employment and to the liberal professions, to housing and public education, and to hold movable and immovable property. The refugee shall also have access to public relief, courts of law and to social security. He shall be entitled to identity papers and a travel document and shall be granted freedom of movement. He shall also have the right to cease to be a refugee, that means he would have the right to seek and acquire the citizenship of the adopted country. Regarding the application of these rights, the Convention often refers to treatment at least as favourable as that accorded to other aliens in the same circumstances, and recommends that refugees shall benefit from the most favourable treatment possible.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Refugees who are formally recognised (based on individual or group recognition as prima facie refugees) and whose status in the country has been regularized and allowed by the granting State and who reside (i.e. have temporary or permanent residence) in the country of asylum, would therefore be considered to have the right to the maximum and full range of rights and benefits accorded by the 1951 Convention as they would have “lawful stay” in their host country.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Principle of Non-Refoulement:</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According to this principle, no country shall expel, deport or forcefully return the refugee back to his original territory against his will or if there is a reasonable threat to his life, liberty and freedom. This definition is subjected to the scrutiny of “national security” and “public order” and is not absolute. There is enough evidence and State practice to deduce that the principle of non-refoulement binds all states as it is a part of customary international law and no resistance to the same has been found. India abides by this rule expressly through various case laws. In the landmark case of Ktaer Abbas Habib Al Qutaifi v Union of India, the Gujarat High Court upheld the principle of non- refoulement under the wide umbrella of Article 21 of the Indian Constitution and decided not to deport the two Iraqi nationals to their original country as long as they had a fear for their life and liberty. They were instead handed over to UNHCR in India.</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One of the censures is that despite being a customary international law and crucial, the non-refoulement principle is frequently violated by the western countries and they still manage to escape with clean hands. When a refugee is forcefully sent back, elements like the diplomatic relations between the host country and the original country, the economic dependency and international pressure are behind it. Lastly, this principle has lesser legal innuendos and is more moral in nature. The need of the hour is proper “enforcement” and “implementation”.</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Repatriation has to qualify the test of “voluntary nature of the act” whenever it is undertaken. The state of mind of the person willing to be repatriated should be looked into. T</w:t>
            </w:r>
            <w:r w:rsidDel="00000000" w:rsidR="00000000" w:rsidRPr="00000000">
              <w:rPr>
                <w:rFonts w:ascii="Times New Roman" w:cs="Times New Roman" w:eastAsia="Times New Roman" w:hAnsi="Times New Roman"/>
                <w:sz w:val="24"/>
                <w:szCs w:val="24"/>
                <w:rtl w:val="0"/>
              </w:rPr>
              <w:t xml:space="preserve">wo</w:t>
            </w:r>
            <w:r w:rsidDel="00000000" w:rsidR="00000000" w:rsidRPr="00000000">
              <w:rPr>
                <w:rFonts w:ascii="Times New Roman" w:cs="Times New Roman" w:eastAsia="Times New Roman" w:hAnsi="Times New Roman"/>
                <w:sz w:val="24"/>
                <w:szCs w:val="24"/>
                <w:rtl w:val="0"/>
              </w:rPr>
              <w:t xml:space="preserve"> recent cases of the refugee crisis that surfaced are that of the Rohingya refugees and Syrian refugees. Until August 2017, more than 723,000 Rohingya have been forced to flee into Bangladesh from Myanmar. As of 4 October 2017, Bangladesh hosts more than 860,000 Rohingya refugees, and this number continues to increase daily. Similarly, around 500,000 Syrian Refugees have made their way into Europe since 2015, of which only 80% refugees have arrived via the sea, the other by other routes and a few being considered dead or missing.</w:t>
            </w: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Refugees and India:</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India has been the host country since times immemorial for a large number of refugees, not only from neighbouring countries but from other parts as well, due to its tiberic democratic government, geographic location, religious tolerant society and goodwill. India has ratified a number of other human rights treaties which imposes obligations to provide protection to refugees, even though it is not a signatory of the 1951 Refugee Convention. Some of the conventions enlisted are, International Convention on Civil and Political Rights (ICCPR Art.13), UN Declaration on Territorial Asylum 1967, Universal Declaration of Human Right 1948(Art.14), Convention on the Elimination of Discrimination against Women (CEDAW), International Convention on Economic Social and Cultural Rights (ICESCR) and Convention against Torture and Cruel Inhuman or degrading Treatment or Punishment (CAT). These treaties foist a positive duty on India to provide protection to refugees as long as they fear persecution at the hands of their government. The respect of the human rights of refugees cannot be excluded and compartmentalized by any treaty, law or convention.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India does not have a specific legislation that is applicable to all the refugees in the country. Due to the lack of such a statute, the judicial system is constrained when dealing with refugees to supplicate laws that are applicable to foreigners in general, such as the Foreigners Act, 1946. The legislation that has been passed regarding specific groups of refugees, like the Tibetans is an exception to this rule. Laws have also been enacted relating to extensive refugee movements during the partition of India in 1947 and the partition of Pakistan in 1971. These acts regulate the movement of refugees and address issues relating to their re establishment and the award of compensation. The Indian judicial system has evolved the concept of “refugee law” over a period of time.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Numerous legislative measures dealing with refugees were passed and issued under the Seventh Schedule of the Constitution of India. Although many of them have lost their significance in the current context, they provide useful legislative precedents.</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 accepted principle of the rule of law in India as set under Article 21 of the Constitution is that no person, whether a citizen or an alien, shall be deprived of his/her life or personal liberty except in accordance with a procedure established by law that must be fair. The Constitution of India expressly includes the common law precept. The courts have further elevated it to the status of one of the basic structures of the Constitution, thus making this precept unamendable.</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Article 51 states that the state shall endeavour to foster respect for international law and treaty obligations in the dealings of organised people with one another. It is a directive principle of state policy, suggesting the spirit in which India approaches her international relations and obligations.</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There is a lot of pressure on India to ratify the Geneva Convention, 1951 or the 1967 Protocol, yet India continues to be a non-signatory. India’s hesitancy to sign the convention stems from the reasoning that it is eurocentric and addresses only the refugee issues that existed post Second World War. Since then there has been no amendment to that effect. Ratification will mean greater responsibility for more rights and privileges for refugees, which would be difficult for a poor and developing country like India which struggles to provide basic amenities to its own people. The policy and decision makers believe that, the problem will increase manifold and there will be no legal mechanism to distinguish between an infiltrator and a genuine refugee if India ratifies the convention. Also, the convention was drafted way back in 1951 and the protocol in 1967, most of the provisions are outdated as they fail to include the contemporary challenges. A large number of people migrate to India in search of opportunities which increase the burden on the economy. Thus, the policy reviewers and framers believe that by ratifying the convention, the problem of migrant workers will increase as they will try to exploit the convention and try to avail the status of refugees unlawfully for better opportunities. India is unaware of the consequences that will follow post ratification, which is explained as “fear of the unknown”. As also, i</w:t>
            </w:r>
            <w:r w:rsidDel="00000000" w:rsidR="00000000" w:rsidRPr="00000000">
              <w:rPr>
                <w:rFonts w:ascii="Times New Roman" w:cs="Times New Roman" w:eastAsia="Times New Roman" w:hAnsi="Times New Roman"/>
                <w:sz w:val="24"/>
                <w:szCs w:val="24"/>
                <w:highlight w:val="white"/>
                <w:rtl w:val="0"/>
              </w:rPr>
              <w:t xml:space="preserve">ncase</w:t>
            </w:r>
            <w:r w:rsidDel="00000000" w:rsidR="00000000" w:rsidRPr="00000000">
              <w:rPr>
                <w:rFonts w:ascii="Times New Roman" w:cs="Times New Roman" w:eastAsia="Times New Roman" w:hAnsi="Times New Roman"/>
                <w:sz w:val="24"/>
                <w:szCs w:val="24"/>
                <w:highlight w:val="white"/>
                <w:rtl w:val="0"/>
              </w:rPr>
              <w:t xml:space="preserve"> of non compliance, it may lose its respect in the International community because everything will then be subjected to international acclaim or criticism. Whether India should ratify the Convention or not is still a debatable issue.</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There are a number of International treaties in India that oblige it to provide protection to refugees on humanitarian grounds. The “right to seek asylum from persecution” is one of the principles that is a part of Customary International Law which is binding on all states including India and can enforce specific laws ensuring the same. In Vishaka v. State of Rajasthan, the court upheld harmonious construction of international law and domestic law when it is consistent with fundamental rights. The Government gives temporary protection to refugees. The Constitution guarantees some fundamental rights to non-citizens. The most significant of them all is the equality of law and equal protection under law which guarantees fair and just treatment for all refugees. This is however subject to intelligible differentia and reasonable classification which differentiates between refugees and citizens. This does not connote drudgery or mere animal existence as refugees also have the right to life and dignity. Their cases are to be dealt in accordance with the due process of law.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 number of safeguards are available to refugees under the Constitution but they are barely in practice. There are a lot of  reasons to believe that the contrary happens because in a lot of cases these refugees are arrested and detained without any legal representation for long periods of time thus violating their basic rights. The Constitution provides for equal protection of laws yet there is bias between refugees of different nationalities. Refugees have no right to self employment or access to work permits and thus, rights guaranteed under the Constitution cannot be made a reality. At the most, they can be employed in the informal sector or as casual labour.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India has a number of domestic legislations in force to deal with refugees. We draw no distinction between a “foreigner” and a “refugee” and this gives rise to a plethora of problems.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There is an urgent need for a specific law which only deals with refugees and their problems in India. A clear distinction between a “foreigner” and refugee has to be made. Evidently the present laws are not sufficient to deal with refugees because they need far greater protection than foreigners till the disruption persists in their own country.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UNHCR plays an important role for protection of uprooted and displaced people. India has been a member of the UNHCR since 1995 and has been availing the benefits since then. The moment a refugee enters India, the work of the UNHCR begins. Such a person may apply for refugee status and registration at the UNHCR office, where a legal officer is appointed to interview them and procure all the relevant information. If there are inconsistencies in the interview, they should be handled with care and caution as the background and the mental state of the refugee should be considered. A lot of times, there are language barriers and all the information cannot be collected and this should not be a reason for declining the refugee status by the UNHCR. The main basis for deciding the status is the fear of persecution or threat to life. The UNHCR mandate helps in safeguarding refugees against illegal arrest and detention and also rescues the person if they are already under arrest. But a mandate is issued only to refugees from outside the South Asian region. This leaves ample room for discrimination and exploitation of “other” refugees. A number of amenities are provided by the UNHCR, which the Indian government fails to do in most cases. As their status and identity is well established by the UNHCR office, the refugees can procure a valid passport, travel documents authorizing them to travel abroad, ration cards or open a bank account. Recognized refugees are provided free legal aid by the legal officers of the UNHCR which also has formal agreements with other NGOs to provide financial assistance to the poor and needy across the globe including India. Furthermore sick refugees are provided free medical treatment in government hospitals with special emphasis on women and child health care. The UNHCR has a host of volunteers and interns who assist in providing vocational training and primary education which makes them self-reliant, and counselling to the distressed refugees with the help of other NGOs who are experts in these fields. Most of the work revolves around finding durable solutions for mitigating the suffering of refugees at the hands of the host nation. UNHCR works hand in hand with the Central government, thus a refugee having the UNHCR certificate is better protected and has more safeguard than a normal refugee. However, anything that is done is not sufficient because the mandate of UNHCR is limited and it cannot work without the support and participation of the country. When there is a mass influx of refugees, UNHCR depends on its NGOs to provide information about the crises and this causes problems because most of the NGOs in India are not up to date with the exact number of refugees and they have limited man power, finances and know-how of technology. Being the largest receiver of refugees in Asia, it is next to impossible for India to regulate movement and update information of every refugee going in and out of the country. Moreover, the State policies which are administrative in nature determine the safeguard of refugees which leaves very little ground for UNHCR to provide protection. Thus, only some refugees who are not from South Asia get UNHCR recognition and protection and not all refugees are treated in the same way. This process of deciding the status claim is arbitrary and is criticized because there is no higher official to regulate this practice. As India has not ratified the refugee convention, the very existence of UNHCR depends on the whim of the Central Government as also its fate and scope of work is solely determined by the Indian government. In most cases, the members are not allowed access to refugee camps which makes it impossible to grant them refugee status. As the office of UNHCR gets most of its funds through donations by international organizations and NGOs, they may face a financial crunch and may not be able to give protection to the refugees. The UNHCR in 1992 denied subsistence allowance to Afghan refugees in an arbitrary manner which proved burdensome for a number of families. Hence, more powers should be given to UNHCR by the Government so that the identities of all refugees coming to India can be recorded. This will decrease cases of false documents and ultimately minimize refugee arrests.</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 The National Human Rights Commission, State Human Rights Commissions and Human Rights Courts have been established in India under the Protection of Human rights Act, 1993. Under  this act, they have the powers of a civil court and can suo moto investigate into any petition; interfere in the judicial proceedings protecting the party from human right abuse, study treaties and prepare reports. The protection of refugees has involved them actively since inception. India has been a witness to countless clashes between the refugees and the locals. The main disputation of the local population is that refugees have more amenities despite being outsiders. They have better access to things like medical facilities, water, food, education, financial assistance and protection than the local population of that particular State. Under the guidance of Justice PN Bhagwati, NHRC proposed a model law for refugees in 2000 but unfortunately that has not seen light till this date. It recommended changes in the outdated Foreigners Act, 1946 which denies refugees rights as guaranteed under the Geneva Convention, Refugee Convention and Additional Protocol of 1967. As of right now we only have the Refugee and Asylum (Protection) Bill, 2009. The model law clearly outlines the protection to be given to the refugees by the State and their rights and duties. On one hand India refuses to ratify the already existing Refugee Convention and on the other hand, it does not pass its own independent legislation, thus being in a paradoxical state. On top of it all, it continues to allow a large influx of refugees from all across the globe to enter India.</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There have been endless arguments and discussions about whether passing a domestic legislation or framing a refugee convention specifically for South-East Asia would be more effective. They both should peacefully coexist so that in case there is a shortcoming in domestic law, it is covered in the Asian Convention and vice versa.</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When both the municipal law and the Convention are in order, there is no scope for deviation. All the problems and issues associated with refugees will be dealt with in the most efficient manner. There will be lesser arbitrariness in procedures and yet if some official tries to deviate from his duty to give protection to the refugees, he will be held liable.</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Conclusion:</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It is essential that the definition of a refugee under the 1951 convention is revisited because of the problem it poses in respect of interpretation. The asylum seeker satisfying the definition of a refugee is what a successful plea of non refoulement is largely dependent upon. The exceptions to the principle of non-refoulement should be clearly spelt out and interpreted in order for countries to understand to what degree they can utilise the exception. There should be a  limit to be set on which the refugee population is acceptable per country to be based on factors like land mass, economic strength, population size, inter alia. It is shocking to note that more than 80 percent of today’s refugees are hosted by developing countries. World leaders should commit to share responsibilities equitably and increase support for states dealing with deep conflict issues and respectfully, the rights of refugees. Despite the right to non refoulement for the refugees, there have been countless violations of this right. The international community must understand that the ultimate solution to resolving the refugee crisis is by ensuring quick response in countries faced with war.</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narrowing of the definition of refugees by states and the drastic rise in the number of refugees in recent times is the precursor to a greater human rights crisis. It is necessary that the states find consensus and implement a uniform refugee policy in order to avoid this. There is a need to provide a comprehensive definition of the term 'Refugee' and for the refugee convention to mature to the current times. It is mandatory upon the states to protect the Rights of the refugees as part of the global community. The issue of the ineffective implementation of the convention is intrinsic to the tensions between the two principles.</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Since the end of the second world war, a considerable body of refugee law has developed much of it based on the 1951 Refugee Convention (Geneva Convention). Some states have chosen to expand the definition of “refugees’ so as to embrace persons fleeing a wider variety of unfortunate circumstances in their countries of origin; some have augmented the status and accompanying rights accorded refugees under the Convention. Although no such responsibility is imposed by international law, development and expansion has taken place in another dimension of refugee law as national law systems recognize with increasing frequency a duty to grant asylum to refugees. There is now a need for a progressive development of a global approach to the refugee problem, an approach which takes due cognizance of the interests of the asylum countries and the basic human rights of refugees and the international community, and secures the cooperation of all parties in seeking a solution to the problem. Given the close link between refugees and human rights, international human rights standards are a powerful ammunition for enhancing and complementing the existing refugee protection regime and giving it proper orientation and direction. The refugee problem, </w:t>
            </w:r>
            <w:r w:rsidDel="00000000" w:rsidR="00000000" w:rsidRPr="00000000">
              <w:rPr>
                <w:rFonts w:ascii="Times New Roman" w:cs="Times New Roman" w:eastAsia="Times New Roman" w:hAnsi="Times New Roman"/>
                <w:sz w:val="24"/>
                <w:szCs w:val="24"/>
                <w:rtl w:val="0"/>
              </w:rPr>
              <w:t xml:space="preserve">bein</w:t>
            </w:r>
            <w:r w:rsidDel="00000000" w:rsidR="00000000" w:rsidRPr="00000000">
              <w:rPr>
                <w:rFonts w:ascii="Times New Roman" w:cs="Times New Roman" w:eastAsia="Times New Roman" w:hAnsi="Times New Roman"/>
                <w:sz w:val="24"/>
                <w:szCs w:val="24"/>
                <w:rtl w:val="0"/>
              </w:rPr>
              <w:t xml:space="preserve">g an important aspect of human rights protection, human rights groups, humanitarian organisations, the UNHCR, Governments and U.N. human rights agencies should take a hard look at their respective roles and make coordinated efforts for elimination of human rights abuses and protection of the rights of refugees.</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pageBreakBefore w:val="0"/>
              <w:spacing w:line="360" w:lineRule="auto"/>
              <w:jc w:val="center"/>
              <w:rPr>
                <w:rFonts w:ascii="Times New Roman" w:cs="Times New Roman" w:eastAsia="Times New Roman" w:hAnsi="Times New Roman"/>
                <w:b w:val="1"/>
                <w:i w:val="1"/>
                <w:sz w:val="24"/>
                <w:szCs w:val="24"/>
                <w:u w:val="single"/>
              </w:rPr>
            </w:pPr>
            <w:r w:rsidDel="00000000" w:rsidR="00000000" w:rsidRPr="00000000">
              <w:rPr>
                <w:rtl w:val="0"/>
              </w:rPr>
            </w:r>
          </w:p>
          <w:p w:rsidR="00000000" w:rsidDel="00000000" w:rsidP="00000000" w:rsidRDefault="00000000" w:rsidRPr="00000000" w14:paraId="00000052">
            <w:pPr>
              <w:pageBreakBefore w:val="0"/>
              <w:spacing w:line="360" w:lineRule="auto"/>
              <w:jc w:val="center"/>
              <w:rPr>
                <w:rFonts w:ascii="Times New Roman" w:cs="Times New Roman" w:eastAsia="Times New Roman" w:hAnsi="Times New Roman"/>
                <w:b w:val="1"/>
                <w:i w:val="1"/>
                <w:sz w:val="24"/>
                <w:szCs w:val="24"/>
                <w:u w:val="single"/>
              </w:rPr>
            </w:pPr>
            <w:r w:rsidDel="00000000" w:rsidR="00000000" w:rsidRPr="00000000">
              <w:rPr>
                <w:rtl w:val="0"/>
              </w:rPr>
            </w:r>
          </w:p>
          <w:p w:rsidR="00000000" w:rsidDel="00000000" w:rsidP="00000000" w:rsidRDefault="00000000" w:rsidRPr="00000000" w14:paraId="00000053">
            <w:pPr>
              <w:pageBreakBefore w:val="0"/>
              <w:spacing w:line="360" w:lineRule="auto"/>
              <w:jc w:val="center"/>
              <w:rPr>
                <w:rFonts w:ascii="Times New Roman" w:cs="Times New Roman" w:eastAsia="Times New Roman" w:hAnsi="Times New Roman"/>
                <w:b w:val="1"/>
                <w:i w:val="1"/>
                <w:sz w:val="24"/>
                <w:szCs w:val="24"/>
                <w:u w:val="single"/>
              </w:rPr>
            </w:pPr>
            <w:r w:rsidDel="00000000" w:rsidR="00000000" w:rsidRPr="00000000">
              <w:rPr>
                <w:rtl w:val="0"/>
              </w:rPr>
            </w:r>
          </w:p>
          <w:p w:rsidR="00000000" w:rsidDel="00000000" w:rsidP="00000000" w:rsidRDefault="00000000" w:rsidRPr="00000000" w14:paraId="00000054">
            <w:pPr>
              <w:pageBreakBefore w:val="0"/>
              <w:spacing w:line="360" w:lineRule="auto"/>
              <w:jc w:val="center"/>
              <w:rPr>
                <w:rFonts w:ascii="Times New Roman" w:cs="Times New Roman" w:eastAsia="Times New Roman" w:hAnsi="Times New Roman"/>
                <w:b w:val="1"/>
                <w:i w:val="1"/>
                <w:sz w:val="24"/>
                <w:szCs w:val="24"/>
                <w:u w:val="single"/>
              </w:rPr>
            </w:pPr>
            <w:r w:rsidDel="00000000" w:rsidR="00000000" w:rsidRPr="00000000">
              <w:rPr>
                <w:rtl w:val="0"/>
              </w:rPr>
            </w:r>
          </w:p>
          <w:p w:rsidR="00000000" w:rsidDel="00000000" w:rsidP="00000000" w:rsidRDefault="00000000" w:rsidRPr="00000000" w14:paraId="00000055">
            <w:pPr>
              <w:pageBreakBefore w:val="0"/>
              <w:spacing w:line="360" w:lineRule="auto"/>
              <w:jc w:val="center"/>
              <w:rPr>
                <w:rFonts w:ascii="Times New Roman" w:cs="Times New Roman" w:eastAsia="Times New Roman" w:hAnsi="Times New Roman"/>
                <w:b w:val="1"/>
                <w:i w:val="1"/>
                <w:sz w:val="24"/>
                <w:szCs w:val="24"/>
                <w:u w:val="single"/>
              </w:rPr>
            </w:pPr>
            <w:r w:rsidDel="00000000" w:rsidR="00000000" w:rsidRPr="00000000">
              <w:rPr>
                <w:rtl w:val="0"/>
              </w:rPr>
            </w:r>
          </w:p>
          <w:p w:rsidR="00000000" w:rsidDel="00000000" w:rsidP="00000000" w:rsidRDefault="00000000" w:rsidRPr="00000000" w14:paraId="00000056">
            <w:pPr>
              <w:pageBreakBefore w:val="0"/>
              <w:spacing w:line="360" w:lineRule="auto"/>
              <w:jc w:val="center"/>
              <w:rPr>
                <w:rFonts w:ascii="Times New Roman" w:cs="Times New Roman" w:eastAsia="Times New Roman" w:hAnsi="Times New Roman"/>
                <w:b w:val="1"/>
                <w:i w:val="1"/>
                <w:sz w:val="24"/>
                <w:szCs w:val="24"/>
                <w:u w:val="single"/>
              </w:rPr>
            </w:pPr>
            <w:r w:rsidDel="00000000" w:rsidR="00000000" w:rsidRPr="00000000">
              <w:rPr>
                <w:rtl w:val="0"/>
              </w:rPr>
            </w:r>
          </w:p>
          <w:p w:rsidR="00000000" w:rsidDel="00000000" w:rsidP="00000000" w:rsidRDefault="00000000" w:rsidRPr="00000000" w14:paraId="00000057">
            <w:pPr>
              <w:pageBreakBefore w:val="0"/>
              <w:spacing w:line="360" w:lineRule="auto"/>
              <w:jc w:val="center"/>
              <w:rPr>
                <w:rFonts w:ascii="Times New Roman" w:cs="Times New Roman" w:eastAsia="Times New Roman" w:hAnsi="Times New Roman"/>
                <w:b w:val="1"/>
                <w:i w:val="1"/>
                <w:sz w:val="24"/>
                <w:szCs w:val="24"/>
                <w:u w:val="single"/>
              </w:rPr>
            </w:pPr>
            <w:r w:rsidDel="00000000" w:rsidR="00000000" w:rsidRPr="00000000">
              <w:rPr>
                <w:rtl w:val="0"/>
              </w:rPr>
            </w:r>
          </w:p>
          <w:p w:rsidR="00000000" w:rsidDel="00000000" w:rsidP="00000000" w:rsidRDefault="00000000" w:rsidRPr="00000000" w14:paraId="00000058">
            <w:pPr>
              <w:pageBreakBefore w:val="0"/>
              <w:spacing w:line="360" w:lineRule="auto"/>
              <w:jc w:val="center"/>
              <w:rPr>
                <w:rFonts w:ascii="Times New Roman" w:cs="Times New Roman" w:eastAsia="Times New Roman" w:hAnsi="Times New Roman"/>
                <w:b w:val="1"/>
                <w:i w:val="1"/>
                <w:sz w:val="24"/>
                <w:szCs w:val="24"/>
                <w:u w:val="single"/>
              </w:rPr>
            </w:pPr>
            <w:r w:rsidDel="00000000" w:rsidR="00000000" w:rsidRPr="00000000">
              <w:rPr>
                <w:rtl w:val="0"/>
              </w:rPr>
            </w:r>
          </w:p>
          <w:p w:rsidR="00000000" w:rsidDel="00000000" w:rsidP="00000000" w:rsidRDefault="00000000" w:rsidRPr="00000000" w14:paraId="00000059">
            <w:pPr>
              <w:pageBreakBefore w:val="0"/>
              <w:spacing w:before="0" w:line="360" w:lineRule="auto"/>
              <w:jc w:val="center"/>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REFERENCES-</w:t>
            </w:r>
          </w:p>
          <w:p w:rsidR="00000000" w:rsidDel="00000000" w:rsidP="00000000" w:rsidRDefault="00000000" w:rsidRPr="00000000" w14:paraId="0000005A">
            <w:pPr>
              <w:pageBreakBefore w:val="0"/>
              <w:spacing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B">
            <w:pPr>
              <w:pageBreakBefore w:val="0"/>
              <w:spacing w:before="0" w:line="360" w:lineRule="auto"/>
              <w:rPr>
                <w:rFonts w:ascii="Times New Roman" w:cs="Times New Roman" w:eastAsia="Times New Roman" w:hAnsi="Times New Roman"/>
                <w:b w:val="1"/>
                <w:i w:val="1"/>
                <w:sz w:val="24"/>
                <w:szCs w:val="24"/>
                <w:u w:val="single"/>
              </w:rPr>
            </w:pPr>
            <w:r w:rsidDel="00000000" w:rsidR="00000000" w:rsidRPr="00000000">
              <w:rPr>
                <w:rtl w:val="0"/>
              </w:rPr>
            </w:r>
          </w:p>
          <w:p w:rsidR="00000000" w:rsidDel="00000000" w:rsidP="00000000" w:rsidRDefault="00000000" w:rsidRPr="00000000" w14:paraId="0000005C">
            <w:pPr>
              <w:pageBreakBefore w:val="0"/>
              <w:spacing w:before="0" w:line="360" w:lineRule="auto"/>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ARTICLES REFERRED-</w:t>
            </w:r>
          </w:p>
          <w:p w:rsidR="00000000" w:rsidDel="00000000" w:rsidP="00000000" w:rsidRDefault="00000000" w:rsidRPr="00000000" w14:paraId="0000005D">
            <w:pPr>
              <w:pageBreakBefore w:val="0"/>
              <w:spacing w:before="0" w:line="360" w:lineRule="auto"/>
              <w:rPr>
                <w:rFonts w:ascii="Times New Roman" w:cs="Times New Roman" w:eastAsia="Times New Roman" w:hAnsi="Times New Roman"/>
                <w:b w:val="1"/>
                <w:i w:val="1"/>
                <w:sz w:val="24"/>
                <w:szCs w:val="24"/>
                <w:u w:val="single"/>
              </w:rPr>
            </w:pPr>
            <w:r w:rsidDel="00000000" w:rsidR="00000000" w:rsidRPr="00000000">
              <w:rPr>
                <w:rtl w:val="0"/>
              </w:rPr>
            </w:r>
          </w:p>
          <w:p w:rsidR="00000000" w:rsidDel="00000000" w:rsidP="00000000" w:rsidRDefault="00000000" w:rsidRPr="00000000" w14:paraId="0000005E">
            <w:pPr>
              <w:pageBreakBefore w:val="0"/>
              <w:widowControl w:val="0"/>
              <w:numPr>
                <w:ilvl w:val="0"/>
                <w:numId w:val="1"/>
              </w:numPr>
              <w:shd w:fill="ffffff" w:val="clear"/>
              <w:spacing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Bhairav Acharya, “The law, policy and practice of refugee protection in India”</w:t>
            </w:r>
          </w:p>
          <w:p w:rsidR="00000000" w:rsidDel="00000000" w:rsidP="00000000" w:rsidRDefault="00000000" w:rsidRPr="00000000" w14:paraId="0000005F">
            <w:pPr>
              <w:pageBreakBefore w:val="0"/>
              <w:widowControl w:val="0"/>
              <w:numPr>
                <w:ilvl w:val="0"/>
                <w:numId w:val="1"/>
              </w:numPr>
              <w:shd w:fill="ffffff" w:val="clear"/>
              <w:spacing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Helene Lambert, “International refugee law: dominant and emerging approaches”. </w:t>
            </w:r>
          </w:p>
          <w:p w:rsidR="00000000" w:rsidDel="00000000" w:rsidP="00000000" w:rsidRDefault="00000000" w:rsidRPr="00000000" w14:paraId="00000060">
            <w:pPr>
              <w:pageBreakBefore w:val="0"/>
              <w:widowControl w:val="0"/>
              <w:numPr>
                <w:ilvl w:val="0"/>
                <w:numId w:val="1"/>
              </w:numPr>
              <w:shd w:fill="ffffff" w:val="clear"/>
              <w:spacing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Stephane Jaquemet, “The cross-fertilization of International Humanitarian law and International Refugee law”. </w:t>
            </w:r>
          </w:p>
          <w:p w:rsidR="00000000" w:rsidDel="00000000" w:rsidP="00000000" w:rsidRDefault="00000000" w:rsidRPr="00000000" w14:paraId="00000061">
            <w:pPr>
              <w:pageBreakBefore w:val="0"/>
              <w:widowControl w:val="0"/>
              <w:numPr>
                <w:ilvl w:val="0"/>
                <w:numId w:val="1"/>
              </w:numPr>
              <w:shd w:fill="ffffff" w:val="clear"/>
              <w:spacing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Rajeev Dhawan, “On model law for refugees: A response to the National Human Rights Commission”</w:t>
            </w:r>
          </w:p>
          <w:p w:rsidR="00000000" w:rsidDel="00000000" w:rsidP="00000000" w:rsidRDefault="00000000" w:rsidRPr="00000000" w14:paraId="00000062">
            <w:pPr>
              <w:pageBreakBefore w:val="0"/>
              <w:widowControl w:val="0"/>
              <w:numPr>
                <w:ilvl w:val="0"/>
                <w:numId w:val="1"/>
              </w:numPr>
              <w:shd w:fill="ffffff" w:val="clear"/>
              <w:spacing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Mrinal Sharma, “World Refugee Day: What you must know about refugees in India” (Amnesty International India)</w:t>
            </w:r>
          </w:p>
          <w:p w:rsidR="00000000" w:rsidDel="00000000" w:rsidP="00000000" w:rsidRDefault="00000000" w:rsidRPr="00000000" w14:paraId="00000063">
            <w:pPr>
              <w:pageBreakBefore w:val="0"/>
              <w:widowControl w:val="0"/>
              <w:numPr>
                <w:ilvl w:val="0"/>
                <w:numId w:val="1"/>
              </w:numPr>
              <w:shd w:fill="ffffff" w:val="clear"/>
              <w:spacing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Arjun Nair, “National Refugee Law for India: Benefits and Roadblocks”</w:t>
            </w:r>
          </w:p>
          <w:p w:rsidR="00000000" w:rsidDel="00000000" w:rsidP="00000000" w:rsidRDefault="00000000" w:rsidRPr="00000000" w14:paraId="00000064">
            <w:pPr>
              <w:pageBreakBefore w:val="0"/>
              <w:widowControl w:val="0"/>
              <w:numPr>
                <w:ilvl w:val="0"/>
                <w:numId w:val="1"/>
              </w:numPr>
              <w:shd w:fill="ffffff" w:val="clear"/>
              <w:spacing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“Asylum and the rights of Refugees” (International Justice Resource Centre)</w:t>
            </w:r>
          </w:p>
          <w:p w:rsidR="00000000" w:rsidDel="00000000" w:rsidP="00000000" w:rsidRDefault="00000000" w:rsidRPr="00000000" w14:paraId="00000065">
            <w:pPr>
              <w:pageBreakBefore w:val="0"/>
              <w:widowControl w:val="0"/>
              <w:numPr>
                <w:ilvl w:val="0"/>
                <w:numId w:val="1"/>
              </w:numPr>
              <w:shd w:fill="ffffff" w:val="clear"/>
              <w:spacing w:before="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“Refugees” (Icelandic Human Rights Centre)</w:t>
            </w:r>
          </w:p>
          <w:p w:rsidR="00000000" w:rsidDel="00000000" w:rsidP="00000000" w:rsidRDefault="00000000" w:rsidRPr="00000000" w14:paraId="00000066">
            <w:pPr>
              <w:pageBreakBefore w:val="0"/>
              <w:widowControl w:val="0"/>
              <w:shd w:fill="ffffff" w:val="clear"/>
              <w:spacing w:before="0" w:line="36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7">
            <w:pPr>
              <w:pageBreakBefore w:val="0"/>
              <w:spacing w:before="0" w:line="360" w:lineRule="auto"/>
              <w:rPr>
                <w:rFonts w:ascii="Times New Roman" w:cs="Times New Roman" w:eastAsia="Times New Roman" w:hAnsi="Times New Roman"/>
                <w:b w:val="1"/>
                <w:i w:val="1"/>
                <w:sz w:val="24"/>
                <w:szCs w:val="24"/>
                <w:highlight w:val="white"/>
                <w:u w:val="single"/>
              </w:rPr>
            </w:pPr>
            <w:r w:rsidDel="00000000" w:rsidR="00000000" w:rsidRPr="00000000">
              <w:rPr>
                <w:rFonts w:ascii="Times New Roman" w:cs="Times New Roman" w:eastAsia="Times New Roman" w:hAnsi="Times New Roman"/>
                <w:b w:val="1"/>
                <w:i w:val="1"/>
                <w:sz w:val="24"/>
                <w:szCs w:val="24"/>
                <w:highlight w:val="white"/>
                <w:u w:val="single"/>
                <w:rtl w:val="0"/>
              </w:rPr>
              <w:t xml:space="preserve">STATUTES AND STATUTORY INSTRUMENTS-</w:t>
            </w:r>
          </w:p>
          <w:p w:rsidR="00000000" w:rsidDel="00000000" w:rsidP="00000000" w:rsidRDefault="00000000" w:rsidRPr="00000000" w14:paraId="00000068">
            <w:pPr>
              <w:pageBreakBefore w:val="0"/>
              <w:spacing w:before="0" w:line="360" w:lineRule="auto"/>
              <w:ind w:left="72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69">
            <w:pPr>
              <w:pageBreakBefore w:val="0"/>
              <w:numPr>
                <w:ilvl w:val="0"/>
                <w:numId w:val="1"/>
              </w:numPr>
              <w:spacing w:before="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1951 Convention relating to the Status of Refugees </w:t>
            </w:r>
            <w:r w:rsidDel="00000000" w:rsidR="00000000" w:rsidRPr="00000000">
              <w:rPr>
                <w:rFonts w:ascii="Times New Roman" w:cs="Times New Roman" w:eastAsia="Times New Roman" w:hAnsi="Times New Roman"/>
                <w:sz w:val="24"/>
                <w:szCs w:val="24"/>
                <w:rtl w:val="0"/>
              </w:rPr>
              <w:t xml:space="preserve">(accessed on 11th September 2020)</w:t>
            </w:r>
            <w:r w:rsidDel="00000000" w:rsidR="00000000" w:rsidRPr="00000000">
              <w:rPr>
                <w:rtl w:val="0"/>
              </w:rPr>
            </w:r>
          </w:p>
          <w:p w:rsidR="00000000" w:rsidDel="00000000" w:rsidP="00000000" w:rsidRDefault="00000000" w:rsidRPr="00000000" w14:paraId="0000006A">
            <w:pPr>
              <w:pageBreakBefore w:val="0"/>
              <w:widowControl w:val="0"/>
              <w:numPr>
                <w:ilvl w:val="0"/>
                <w:numId w:val="1"/>
              </w:numPr>
              <w:spacing w:before="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UN Declaration on Territorial Asylum 1967 (accessed on 11th September 2020)</w:t>
            </w:r>
          </w:p>
          <w:p w:rsidR="00000000" w:rsidDel="00000000" w:rsidP="00000000" w:rsidRDefault="00000000" w:rsidRPr="00000000" w14:paraId="0000006B">
            <w:pPr>
              <w:pageBreakBefore w:val="0"/>
              <w:widowControl w:val="0"/>
              <w:numPr>
                <w:ilvl w:val="0"/>
                <w:numId w:val="1"/>
              </w:numPr>
              <w:spacing w:before="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1951 United Nations Convention Relating to the Status of Refugees </w:t>
            </w:r>
            <w:r w:rsidDel="00000000" w:rsidR="00000000" w:rsidRPr="00000000">
              <w:rPr>
                <w:rFonts w:ascii="Times New Roman" w:cs="Times New Roman" w:eastAsia="Times New Roman" w:hAnsi="Times New Roman"/>
                <w:sz w:val="24"/>
                <w:szCs w:val="24"/>
                <w:rtl w:val="0"/>
              </w:rPr>
              <w:t xml:space="preserve">(accessed on 11th September 2020)</w:t>
            </w:r>
            <w:r w:rsidDel="00000000" w:rsidR="00000000" w:rsidRPr="00000000">
              <w:rPr>
                <w:rtl w:val="0"/>
              </w:rPr>
            </w:r>
          </w:p>
          <w:p w:rsidR="00000000" w:rsidDel="00000000" w:rsidP="00000000" w:rsidRDefault="00000000" w:rsidRPr="00000000" w14:paraId="0000006C">
            <w:pPr>
              <w:pageBreakBefore w:val="0"/>
              <w:widowControl w:val="0"/>
              <w:numPr>
                <w:ilvl w:val="0"/>
                <w:numId w:val="1"/>
              </w:numPr>
              <w:spacing w:before="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1967 Protocol Relating to the Status of Refugees </w:t>
            </w:r>
            <w:r w:rsidDel="00000000" w:rsidR="00000000" w:rsidRPr="00000000">
              <w:rPr>
                <w:rFonts w:ascii="Times New Roman" w:cs="Times New Roman" w:eastAsia="Times New Roman" w:hAnsi="Times New Roman"/>
                <w:sz w:val="24"/>
                <w:szCs w:val="24"/>
                <w:rtl w:val="0"/>
              </w:rPr>
              <w:t xml:space="preserve">(accessed on 11th September 2020) </w:t>
            </w:r>
            <w:r w:rsidDel="00000000" w:rsidR="00000000" w:rsidRPr="00000000">
              <w:rPr>
                <w:rtl w:val="0"/>
              </w:rPr>
            </w:r>
          </w:p>
          <w:p w:rsidR="00000000" w:rsidDel="00000000" w:rsidP="00000000" w:rsidRDefault="00000000" w:rsidRPr="00000000" w14:paraId="0000006D">
            <w:pPr>
              <w:pageBreakBefore w:val="0"/>
              <w:widowControl w:val="0"/>
              <w:numPr>
                <w:ilvl w:val="0"/>
                <w:numId w:val="1"/>
              </w:numPr>
              <w:spacing w:before="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 Article 21 of the Indian Constitution </w:t>
            </w:r>
            <w:r w:rsidDel="00000000" w:rsidR="00000000" w:rsidRPr="00000000">
              <w:rPr>
                <w:rFonts w:ascii="Times New Roman" w:cs="Times New Roman" w:eastAsia="Times New Roman" w:hAnsi="Times New Roman"/>
                <w:sz w:val="24"/>
                <w:szCs w:val="24"/>
                <w:rtl w:val="0"/>
              </w:rPr>
              <w:t xml:space="preserve">(accessed on 11th September 2020)</w:t>
            </w:r>
            <w:r w:rsidDel="00000000" w:rsidR="00000000" w:rsidRPr="00000000">
              <w:rPr>
                <w:rtl w:val="0"/>
              </w:rPr>
            </w:r>
          </w:p>
          <w:p w:rsidR="00000000" w:rsidDel="00000000" w:rsidP="00000000" w:rsidRDefault="00000000" w:rsidRPr="00000000" w14:paraId="0000006E">
            <w:pPr>
              <w:pageBreakBefore w:val="0"/>
              <w:numPr>
                <w:ilvl w:val="0"/>
                <w:numId w:val="1"/>
              </w:numPr>
              <w:spacing w:before="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 Universal Declaration of Human Right 1948(Art.14) </w:t>
            </w:r>
            <w:r w:rsidDel="00000000" w:rsidR="00000000" w:rsidRPr="00000000">
              <w:rPr>
                <w:rFonts w:ascii="Times New Roman" w:cs="Times New Roman" w:eastAsia="Times New Roman" w:hAnsi="Times New Roman"/>
                <w:sz w:val="24"/>
                <w:szCs w:val="24"/>
                <w:rtl w:val="0"/>
              </w:rPr>
              <w:t xml:space="preserve">(accessed on 11th September 2020)</w:t>
            </w:r>
            <w:r w:rsidDel="00000000" w:rsidR="00000000" w:rsidRPr="00000000">
              <w:rPr>
                <w:rtl w:val="0"/>
              </w:rPr>
            </w:r>
          </w:p>
          <w:p w:rsidR="00000000" w:rsidDel="00000000" w:rsidP="00000000" w:rsidRDefault="00000000" w:rsidRPr="00000000" w14:paraId="0000006F">
            <w:pPr>
              <w:pageBreakBefore w:val="0"/>
              <w:numPr>
                <w:ilvl w:val="0"/>
                <w:numId w:val="1"/>
              </w:numPr>
              <w:spacing w:before="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International Convention on Civil and Political Rights (ICCPR Art.13 and Art.7), 1966 </w:t>
            </w:r>
            <w:r w:rsidDel="00000000" w:rsidR="00000000" w:rsidRPr="00000000">
              <w:rPr>
                <w:rFonts w:ascii="Times New Roman" w:cs="Times New Roman" w:eastAsia="Times New Roman" w:hAnsi="Times New Roman"/>
                <w:sz w:val="24"/>
                <w:szCs w:val="24"/>
                <w:rtl w:val="0"/>
              </w:rPr>
              <w:t xml:space="preserve">(accessed on 11th September 2020)</w:t>
            </w:r>
            <w:r w:rsidDel="00000000" w:rsidR="00000000" w:rsidRPr="00000000">
              <w:rPr>
                <w:rtl w:val="0"/>
              </w:rPr>
            </w:r>
          </w:p>
          <w:p w:rsidR="00000000" w:rsidDel="00000000" w:rsidP="00000000" w:rsidRDefault="00000000" w:rsidRPr="00000000" w14:paraId="00000070">
            <w:pPr>
              <w:pageBreakBefore w:val="0"/>
              <w:numPr>
                <w:ilvl w:val="0"/>
                <w:numId w:val="1"/>
              </w:numPr>
              <w:spacing w:before="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Convention on the Elimination of Discrimination against Women (CEDAW), 1979 </w:t>
            </w:r>
            <w:r w:rsidDel="00000000" w:rsidR="00000000" w:rsidRPr="00000000">
              <w:rPr>
                <w:rFonts w:ascii="Times New Roman" w:cs="Times New Roman" w:eastAsia="Times New Roman" w:hAnsi="Times New Roman"/>
                <w:sz w:val="24"/>
                <w:szCs w:val="24"/>
                <w:rtl w:val="0"/>
              </w:rPr>
              <w:t xml:space="preserve">(accessed on 11th September 2020)</w:t>
            </w:r>
            <w:r w:rsidDel="00000000" w:rsidR="00000000" w:rsidRPr="00000000">
              <w:rPr>
                <w:rtl w:val="0"/>
              </w:rPr>
            </w:r>
          </w:p>
          <w:p w:rsidR="00000000" w:rsidDel="00000000" w:rsidP="00000000" w:rsidRDefault="00000000" w:rsidRPr="00000000" w14:paraId="00000071">
            <w:pPr>
              <w:pageBreakBefore w:val="0"/>
              <w:numPr>
                <w:ilvl w:val="0"/>
                <w:numId w:val="1"/>
              </w:numPr>
              <w:spacing w:before="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International Convention on Economic Social and Cultural Rights (ICESCR), 1966 </w:t>
            </w:r>
            <w:r w:rsidDel="00000000" w:rsidR="00000000" w:rsidRPr="00000000">
              <w:rPr>
                <w:rFonts w:ascii="Times New Roman" w:cs="Times New Roman" w:eastAsia="Times New Roman" w:hAnsi="Times New Roman"/>
                <w:sz w:val="24"/>
                <w:szCs w:val="24"/>
                <w:rtl w:val="0"/>
              </w:rPr>
              <w:t xml:space="preserve">(accessed on 11th September 2020)</w:t>
            </w:r>
            <w:r w:rsidDel="00000000" w:rsidR="00000000" w:rsidRPr="00000000">
              <w:rPr>
                <w:rtl w:val="0"/>
              </w:rPr>
            </w:r>
          </w:p>
          <w:p w:rsidR="00000000" w:rsidDel="00000000" w:rsidP="00000000" w:rsidRDefault="00000000" w:rsidRPr="00000000" w14:paraId="00000072">
            <w:pPr>
              <w:pageBreakBefore w:val="0"/>
              <w:numPr>
                <w:ilvl w:val="0"/>
                <w:numId w:val="1"/>
              </w:numPr>
              <w:spacing w:before="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Convention against Torture and Cruel Inhuman or degrading Treatment or Punishment (CAT)</w:t>
            </w:r>
            <w:r w:rsidDel="00000000" w:rsidR="00000000" w:rsidRPr="00000000">
              <w:rPr>
                <w:rFonts w:ascii="Times New Roman" w:cs="Times New Roman" w:eastAsia="Times New Roman" w:hAnsi="Times New Roman"/>
                <w:sz w:val="24"/>
                <w:szCs w:val="24"/>
                <w:rtl w:val="0"/>
              </w:rPr>
              <w:t xml:space="preserve">, 1984 (Art. 3) (accessed on 11th September 2020)</w:t>
            </w:r>
          </w:p>
          <w:p w:rsidR="00000000" w:rsidDel="00000000" w:rsidP="00000000" w:rsidRDefault="00000000" w:rsidRPr="00000000" w14:paraId="00000073">
            <w:pPr>
              <w:pageBreakBefore w:val="0"/>
              <w:numPr>
                <w:ilvl w:val="0"/>
                <w:numId w:val="1"/>
              </w:numPr>
              <w:spacing w:before="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Article 51 of the Constitution of India (accessed on 11th September 2020)</w:t>
            </w:r>
          </w:p>
          <w:p w:rsidR="00000000" w:rsidDel="00000000" w:rsidP="00000000" w:rsidRDefault="00000000" w:rsidRPr="00000000" w14:paraId="00000074">
            <w:pPr>
              <w:pageBreakBefore w:val="0"/>
              <w:numPr>
                <w:ilvl w:val="0"/>
                <w:numId w:val="1"/>
              </w:numPr>
              <w:spacing w:before="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Foreigners Act, 1946 (accessed on 11th September 2020)</w:t>
            </w:r>
          </w:p>
          <w:p w:rsidR="00000000" w:rsidDel="00000000" w:rsidP="00000000" w:rsidRDefault="00000000" w:rsidRPr="00000000" w14:paraId="00000075">
            <w:pPr>
              <w:pageBreakBefore w:val="0"/>
              <w:numPr>
                <w:ilvl w:val="0"/>
                <w:numId w:val="1"/>
              </w:numPr>
              <w:spacing w:before="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Schedule VII of the Constitution of India (accessed on 11th September 2020)</w:t>
            </w:r>
          </w:p>
          <w:p w:rsidR="00000000" w:rsidDel="00000000" w:rsidP="00000000" w:rsidRDefault="00000000" w:rsidRPr="00000000" w14:paraId="00000076">
            <w:pPr>
              <w:pageBreakBefore w:val="0"/>
              <w:spacing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pageBreakBefore w:val="0"/>
              <w:spacing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8">
            <w:pPr>
              <w:pageBreakBefore w:val="0"/>
              <w:spacing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pageBreakBefore w:val="0"/>
              <w:spacing w:before="0" w:line="360" w:lineRule="auto"/>
              <w:rPr>
                <w:rFonts w:ascii="Times New Roman" w:cs="Times New Roman" w:eastAsia="Times New Roman" w:hAnsi="Times New Roman"/>
                <w:b w:val="1"/>
                <w:i w:val="1"/>
                <w:sz w:val="24"/>
                <w:szCs w:val="24"/>
                <w:highlight w:val="white"/>
                <w:u w:val="single"/>
              </w:rPr>
            </w:pPr>
            <w:r w:rsidDel="00000000" w:rsidR="00000000" w:rsidRPr="00000000">
              <w:rPr>
                <w:rFonts w:ascii="Times New Roman" w:cs="Times New Roman" w:eastAsia="Times New Roman" w:hAnsi="Times New Roman"/>
                <w:b w:val="1"/>
                <w:i w:val="1"/>
                <w:sz w:val="24"/>
                <w:szCs w:val="24"/>
                <w:highlight w:val="white"/>
                <w:u w:val="single"/>
                <w:rtl w:val="0"/>
              </w:rPr>
              <w:t xml:space="preserve">BOOKS-</w:t>
            </w:r>
          </w:p>
          <w:p w:rsidR="00000000" w:rsidDel="00000000" w:rsidP="00000000" w:rsidRDefault="00000000" w:rsidRPr="00000000" w14:paraId="0000007A">
            <w:pPr>
              <w:pageBreakBefore w:val="0"/>
              <w:spacing w:before="0" w:line="360" w:lineRule="auto"/>
              <w:rPr>
                <w:rFonts w:ascii="Times New Roman" w:cs="Times New Roman" w:eastAsia="Times New Roman" w:hAnsi="Times New Roman"/>
                <w:b w:val="1"/>
                <w:i w:val="1"/>
                <w:sz w:val="24"/>
                <w:szCs w:val="24"/>
                <w:highlight w:val="white"/>
                <w:u w:val="single"/>
              </w:rPr>
            </w:pPr>
            <w:r w:rsidDel="00000000" w:rsidR="00000000" w:rsidRPr="00000000">
              <w:rPr>
                <w:rtl w:val="0"/>
              </w:rPr>
            </w:r>
          </w:p>
          <w:p w:rsidR="00000000" w:rsidDel="00000000" w:rsidP="00000000" w:rsidRDefault="00000000" w:rsidRPr="00000000" w14:paraId="0000007B">
            <w:pPr>
              <w:pageBreakBefore w:val="0"/>
              <w:numPr>
                <w:ilvl w:val="0"/>
                <w:numId w:val="1"/>
              </w:numPr>
              <w:spacing w:before="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Guy S Goodwin Gill, The Refugee in International Law, Clarendon Press, Oxford, 1996</w:t>
            </w:r>
          </w:p>
          <w:p w:rsidR="00000000" w:rsidDel="00000000" w:rsidP="00000000" w:rsidRDefault="00000000" w:rsidRPr="00000000" w14:paraId="0000007C">
            <w:pPr>
              <w:pageBreakBefore w:val="0"/>
              <w:spacing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D">
            <w:pPr>
              <w:pageBreakBefore w:val="0"/>
              <w:spacing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E">
            <w:pPr>
              <w:pageBreakBefore w:val="0"/>
              <w:spacing w:before="0" w:line="360" w:lineRule="auto"/>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CASES-</w:t>
            </w:r>
          </w:p>
          <w:p w:rsidR="00000000" w:rsidDel="00000000" w:rsidP="00000000" w:rsidRDefault="00000000" w:rsidRPr="00000000" w14:paraId="0000007F">
            <w:pPr>
              <w:pageBreakBefore w:val="0"/>
              <w:spacing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0">
            <w:pPr>
              <w:pageBreakBefore w:val="0"/>
              <w:widowControl w:val="0"/>
              <w:numPr>
                <w:ilvl w:val="0"/>
                <w:numId w:val="1"/>
              </w:numPr>
              <w:spacing w:before="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Ktaer Abbas Habib Al Qutaifi v Union of India (1999 Cri LJ 919)</w:t>
            </w:r>
          </w:p>
          <w:p w:rsidR="00000000" w:rsidDel="00000000" w:rsidP="00000000" w:rsidRDefault="00000000" w:rsidRPr="00000000" w14:paraId="00000081">
            <w:pPr>
              <w:pageBreakBefore w:val="0"/>
              <w:widowControl w:val="0"/>
              <w:numPr>
                <w:ilvl w:val="0"/>
                <w:numId w:val="1"/>
              </w:numPr>
              <w:spacing w:before="0" w:line="360" w:lineRule="auto"/>
              <w:ind w:left="720" w:hanging="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Vishaka v. State of Rajasthan 7 1997(6) SCC 241</w:t>
            </w:r>
          </w:p>
          <w:p w:rsidR="00000000" w:rsidDel="00000000" w:rsidP="00000000" w:rsidRDefault="00000000" w:rsidRPr="00000000" w14:paraId="00000082">
            <w:pPr>
              <w:pageBreakBefore w:val="0"/>
              <w:widowControl w:val="0"/>
              <w:spacing w:before="0" w:line="36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83">
            <w:pPr>
              <w:pageBreakBefore w:val="0"/>
              <w:spacing w:before="0" w:line="360" w:lineRule="auto"/>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WEBSITES-</w:t>
            </w:r>
          </w:p>
          <w:p w:rsidR="00000000" w:rsidDel="00000000" w:rsidP="00000000" w:rsidRDefault="00000000" w:rsidRPr="00000000" w14:paraId="00000084">
            <w:pPr>
              <w:pageBreakBefore w:val="0"/>
              <w:spacing w:before="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5">
            <w:pPr>
              <w:pageBreakBefore w:val="0"/>
              <w:numPr>
                <w:ilvl w:val="0"/>
                <w:numId w:val="1"/>
              </w:numPr>
              <w:spacing w:before="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www.icrc.org</w:t>
            </w:r>
            <w:r w:rsidDel="00000000" w:rsidR="00000000" w:rsidRPr="00000000">
              <w:rPr>
                <w:rFonts w:ascii="Times New Roman" w:cs="Times New Roman" w:eastAsia="Times New Roman" w:hAnsi="Times New Roman"/>
                <w:sz w:val="24"/>
                <w:szCs w:val="24"/>
                <w:rtl w:val="0"/>
              </w:rPr>
              <w:t xml:space="preserve"> (accessed on 11th September 2020)</w:t>
            </w:r>
          </w:p>
          <w:p w:rsidR="00000000" w:rsidDel="00000000" w:rsidP="00000000" w:rsidRDefault="00000000" w:rsidRPr="00000000" w14:paraId="00000086">
            <w:pPr>
              <w:pageBreakBefore w:val="0"/>
              <w:numPr>
                <w:ilvl w:val="0"/>
                <w:numId w:val="1"/>
              </w:numPr>
              <w:spacing w:before="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www.unhcr.org</w:t>
            </w:r>
            <w:r w:rsidDel="00000000" w:rsidR="00000000" w:rsidRPr="00000000">
              <w:rPr>
                <w:rFonts w:ascii="Times New Roman" w:cs="Times New Roman" w:eastAsia="Times New Roman" w:hAnsi="Times New Roman"/>
                <w:sz w:val="24"/>
                <w:szCs w:val="24"/>
                <w:rtl w:val="0"/>
              </w:rPr>
              <w:t xml:space="preserve"> (accessed on 11th September 2020)</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088">
      <w:pPr>
        <w:pageBreakBefore w:val="0"/>
        <w:spacing w:line="360" w:lineRule="auto"/>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