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9E14CC" w14:textId="7E16E08B" w:rsidR="00311260" w:rsidRDefault="00B82867" w:rsidP="00C87EC4">
      <w:pPr>
        <w:pStyle w:val="Heading1"/>
      </w:pPr>
      <w:r>
        <w:t>L</w:t>
      </w:r>
      <w:r w:rsidRPr="00B82867">
        <w:t xml:space="preserve">aws related to Data Privacy and </w:t>
      </w:r>
      <w:bookmarkStart w:id="0" w:name="_GoBack"/>
      <w:bookmarkEnd w:id="0"/>
      <w:r w:rsidRPr="00B82867">
        <w:t>Locali</w:t>
      </w:r>
      <w:r w:rsidR="000D7817">
        <w:t>z</w:t>
      </w:r>
      <w:r w:rsidRPr="00B82867">
        <w:t xml:space="preserve">ation </w:t>
      </w:r>
      <w:r>
        <w:t>in</w:t>
      </w:r>
      <w:r w:rsidRPr="00B82867">
        <w:t xml:space="preserve"> I</w:t>
      </w:r>
      <w:r>
        <w:t>ndia</w:t>
      </w:r>
    </w:p>
    <w:p w14:paraId="7475909E" w14:textId="72A1B30A" w:rsidR="00B82867" w:rsidRDefault="00C87EC4" w:rsidP="00C87EC4">
      <w:pPr>
        <w:pStyle w:val="Heading2"/>
        <w:rPr>
          <w:lang w:val="en-US"/>
        </w:rPr>
      </w:pPr>
      <w:r>
        <w:rPr>
          <w:lang w:val="en-US"/>
        </w:rPr>
        <w:t>Abstract</w:t>
      </w:r>
    </w:p>
    <w:p w14:paraId="405E72C1" w14:textId="15AD9DE3" w:rsidR="00C87EC4" w:rsidRPr="00C87EC4" w:rsidRDefault="00F42B02" w:rsidP="00F42B02">
      <w:pPr>
        <w:spacing w:line="360" w:lineRule="auto"/>
        <w:jc w:val="both"/>
        <w:rPr>
          <w:lang w:val="en-US"/>
        </w:rPr>
      </w:pPr>
      <w:r w:rsidRPr="00F42B02">
        <w:rPr>
          <w:lang w:val="en-US"/>
        </w:rPr>
        <w:t xml:space="preserve">Data sharing has been a </w:t>
      </w:r>
      <w:r>
        <w:rPr>
          <w:lang w:val="en-US"/>
        </w:rPr>
        <w:t>vital</w:t>
      </w:r>
      <w:r w:rsidRPr="00F42B02">
        <w:rPr>
          <w:lang w:val="en-US"/>
        </w:rPr>
        <w:t xml:space="preserve"> component of the digital revolution over the previous two decades. People </w:t>
      </w:r>
      <w:r w:rsidR="00FD136A">
        <w:rPr>
          <w:lang w:val="en-US"/>
        </w:rPr>
        <w:t>worldwide</w:t>
      </w:r>
      <w:r w:rsidRPr="00F42B02">
        <w:rPr>
          <w:lang w:val="en-US"/>
        </w:rPr>
        <w:t xml:space="preserve"> can now enjoy the same Internet experience thanks to the globali</w:t>
      </w:r>
      <w:r w:rsidR="000D7817">
        <w:rPr>
          <w:lang w:val="en-US"/>
        </w:rPr>
        <w:t>z</w:t>
      </w:r>
      <w:r w:rsidRPr="00F42B02">
        <w:rPr>
          <w:lang w:val="en-US"/>
        </w:rPr>
        <w:t>ation of cross-border data flows.</w:t>
      </w:r>
    </w:p>
    <w:p w14:paraId="6074391B" w14:textId="25320C9C" w:rsidR="00B82867" w:rsidRDefault="00F42B02" w:rsidP="00F42B02">
      <w:pPr>
        <w:spacing w:line="360" w:lineRule="auto"/>
        <w:jc w:val="both"/>
      </w:pPr>
      <w:r>
        <w:t>This paper talks about the right to privacy of an individual and the new laws required to protect data privacy in our country.</w:t>
      </w:r>
      <w:r w:rsidRPr="00F42B02">
        <w:t xml:space="preserve"> A person</w:t>
      </w:r>
      <w:r>
        <w:t>’</w:t>
      </w:r>
      <w:r w:rsidRPr="00F42B02">
        <w:t>s right to privacy and autonomy ha</w:t>
      </w:r>
      <w:r>
        <w:t>s</w:t>
      </w:r>
      <w:r w:rsidRPr="00F42B02">
        <w:t xml:space="preserve"> been jeopardi</w:t>
      </w:r>
      <w:r w:rsidR="000D7817">
        <w:t>z</w:t>
      </w:r>
      <w:r w:rsidRPr="00F42B02">
        <w:t>ed by the uncontrolled and arbitrary use of data, especially personal data. That the right to privacy was recogni</w:t>
      </w:r>
      <w:r w:rsidR="000D7817">
        <w:t>z</w:t>
      </w:r>
      <w:r w:rsidRPr="00F42B02">
        <w:t xml:space="preserve">ed as a </w:t>
      </w:r>
      <w:r>
        <w:t>fundamental</w:t>
      </w:r>
      <w:r w:rsidRPr="00F42B02">
        <w:t xml:space="preserve"> human right by the Supreme Court was also important. India is well on its way to becoming a digital economy, with about 450 million Internet users and </w:t>
      </w:r>
      <w:r>
        <w:t>a 7-8 per</w:t>
      </w:r>
      <w:r w:rsidR="000D7817">
        <w:t xml:space="preserve"> </w:t>
      </w:r>
      <w:r>
        <w:t>cent growth rate</w:t>
      </w:r>
      <w:r w:rsidRPr="00F42B02">
        <w:t>.</w:t>
      </w:r>
    </w:p>
    <w:p w14:paraId="5475FEEC" w14:textId="7213DC51" w:rsidR="00F42B02" w:rsidRDefault="00F42B02" w:rsidP="00F42B02">
      <w:pPr>
        <w:pStyle w:val="Heading2"/>
      </w:pPr>
      <w:r>
        <w:t>What is Data Protection?</w:t>
      </w:r>
    </w:p>
    <w:p w14:paraId="7EF7F58D" w14:textId="125754F8" w:rsidR="00F42B02" w:rsidRDefault="00F42B02" w:rsidP="00F42B02">
      <w:pPr>
        <w:spacing w:line="360" w:lineRule="auto"/>
        <w:jc w:val="both"/>
      </w:pPr>
      <w:r w:rsidRPr="00F42B02">
        <w:t>Privacy laws, rules, and processes aimed at minimi</w:t>
      </w:r>
      <w:r w:rsidR="000D7817">
        <w:t>z</w:t>
      </w:r>
      <w:r w:rsidRPr="00F42B02">
        <w:t>ing the intrusion into one</w:t>
      </w:r>
      <w:r>
        <w:t>’</w:t>
      </w:r>
      <w:r w:rsidRPr="00F42B02">
        <w:t>s privacy caused by the collecting, stor</w:t>
      </w:r>
      <w:r w:rsidR="000D7817">
        <w:t>ing, and transmitting</w:t>
      </w:r>
      <w:r w:rsidRPr="00F42B02">
        <w:t xml:space="preserve"> </w:t>
      </w:r>
      <w:r w:rsidR="000D7817">
        <w:t xml:space="preserve">of </w:t>
      </w:r>
      <w:r w:rsidRPr="00F42B02">
        <w:t>personal data are referred to as data protection measures</w:t>
      </w:r>
      <w:r>
        <w:t>.</w:t>
      </w:r>
      <w:r w:rsidRPr="00F42B02">
        <w:t xml:space="preserve"> Individually identifiable information (or </w:t>
      </w:r>
      <w:r>
        <w:t>“</w:t>
      </w:r>
      <w:r w:rsidRPr="00F42B02">
        <w:t>personal data</w:t>
      </w:r>
      <w:r>
        <w:t>”</w:t>
      </w:r>
      <w:r w:rsidRPr="00F42B02">
        <w:t xml:space="preserve">) is any information or set of data that may be used to </w:t>
      </w:r>
      <w:r>
        <w:t>identify a specific individual uniquely</w:t>
      </w:r>
      <w:r w:rsidRPr="00F42B02">
        <w:t>.</w:t>
      </w:r>
    </w:p>
    <w:p w14:paraId="5522D023" w14:textId="702CBDFE" w:rsidR="00F42B02" w:rsidRDefault="00F42B02" w:rsidP="00F42B02">
      <w:pPr>
        <w:spacing w:line="360" w:lineRule="auto"/>
        <w:jc w:val="both"/>
      </w:pPr>
      <w:r w:rsidRPr="00F42B02">
        <w:t>The fundamental right to privacy is not expressly granted in the Indian Constitution. However, courts have incorporated the right to privacy into other fundamental rights, such as freedom of speech and expression under Article 19(1)(a) and the right to life and personal liberty under Article 21 of the Indian Constitution. However, these Fundamental Rights under the Indian Constitution are subject to reasonable restrictions imposed by the State under Article 19(2) of the Constitution. The constitution bench of the Hon</w:t>
      </w:r>
      <w:r>
        <w:t>’</w:t>
      </w:r>
      <w:r w:rsidRPr="00F42B02">
        <w:t xml:space="preserve">ble Supreme Court recently affirmed </w:t>
      </w:r>
      <w:r>
        <w:t xml:space="preserve">the </w:t>
      </w:r>
      <w:r w:rsidRPr="00F42B02">
        <w:t xml:space="preserve">Right to Privacy as a fundamental right, subject to certain reasonable restrictions, in the landmark case of </w:t>
      </w:r>
      <w:r w:rsidRPr="00F42B02">
        <w:rPr>
          <w:b/>
          <w:bCs/>
          <w:i/>
          <w:iCs/>
        </w:rPr>
        <w:t xml:space="preserve">Justice K S Puttaswamy (Retd.) &amp; Anr. </w:t>
      </w:r>
      <w:r w:rsidR="000D7817">
        <w:rPr>
          <w:b/>
          <w:bCs/>
          <w:i/>
          <w:iCs/>
        </w:rPr>
        <w:t>V</w:t>
      </w:r>
      <w:r w:rsidRPr="00F42B02">
        <w:rPr>
          <w:b/>
          <w:bCs/>
          <w:i/>
          <w:iCs/>
        </w:rPr>
        <w:t>s Union of India and Ors</w:t>
      </w:r>
      <w:r w:rsidRPr="00F42B02">
        <w:t>.</w:t>
      </w:r>
      <w:r>
        <w:rPr>
          <w:rStyle w:val="FootnoteReference"/>
        </w:rPr>
        <w:footnoteReference w:id="1"/>
      </w:r>
    </w:p>
    <w:p w14:paraId="1A7253A6" w14:textId="6F953C1A" w:rsidR="00F42B02" w:rsidRDefault="00F42B02" w:rsidP="00F42B02">
      <w:pPr>
        <w:pStyle w:val="Heading2"/>
      </w:pPr>
      <w:r>
        <w:lastRenderedPageBreak/>
        <w:t>What is data locali</w:t>
      </w:r>
      <w:r w:rsidR="000D7817">
        <w:t>z</w:t>
      </w:r>
      <w:r>
        <w:t>ation?</w:t>
      </w:r>
    </w:p>
    <w:p w14:paraId="351CFA2D" w14:textId="18999635" w:rsidR="00F42B02" w:rsidRDefault="00F42B02" w:rsidP="00F42B02">
      <w:pPr>
        <w:spacing w:line="360" w:lineRule="auto"/>
        <w:jc w:val="both"/>
      </w:pPr>
      <w:r>
        <w:t>Locali</w:t>
      </w:r>
      <w:r w:rsidR="000D7817">
        <w:t>z</w:t>
      </w:r>
      <w:r>
        <w:t>ation usually refers to the requirements for data storage within a country’s territorial borders. Locali</w:t>
      </w:r>
      <w:r w:rsidR="000D7817">
        <w:t>z</w:t>
      </w:r>
      <w:r>
        <w:t>ation is sometimes used in a broader sense to refer to restrictions on cross-border data flows. Data locali</w:t>
      </w:r>
      <w:r w:rsidR="000D7817">
        <w:t>z</w:t>
      </w:r>
      <w:r>
        <w:t>ation, in this broad sense, can refer to any measure that “encumbers the transfer of data” across national borders, such as prohibiting information from being sent outside the country, requiring individual consent before transferring data, storing a local copy of the data, and levying data export taxes.</w:t>
      </w:r>
    </w:p>
    <w:p w14:paraId="4AC2A56B" w14:textId="1FCE17B0" w:rsidR="00F42B02" w:rsidRDefault="00F42B02" w:rsidP="00F42B02">
      <w:pPr>
        <w:spacing w:line="360" w:lineRule="auto"/>
        <w:jc w:val="both"/>
      </w:pPr>
      <w:r>
        <w:t>The effect of data locali</w:t>
      </w:r>
      <w:r w:rsidR="000D7817">
        <w:t>z</w:t>
      </w:r>
      <w:r>
        <w:t>ation can also be distinguished – strict or conditional. The former includes requirements for local data storage or processing, as well as a complete prohibition on data transfer to other countries in severe instances. The transfer of data is made conditional on fulfilling specific requirements in the case of conditional restrictions. These conditions may apply to the people making the transfer or the country where the data is being sent.</w:t>
      </w:r>
    </w:p>
    <w:p w14:paraId="713A2C33" w14:textId="0E2247BA" w:rsidR="00F42B02" w:rsidRPr="00F42B02" w:rsidRDefault="00F42B02" w:rsidP="00F42B02">
      <w:pPr>
        <w:spacing w:line="360" w:lineRule="auto"/>
        <w:jc w:val="both"/>
      </w:pPr>
      <w:r w:rsidRPr="00F42B02">
        <w:t>We</w:t>
      </w:r>
      <w:r>
        <w:t>’</w:t>
      </w:r>
      <w:r w:rsidRPr="00F42B02">
        <w:t xml:space="preserve">ve adapted the term </w:t>
      </w:r>
      <w:r>
        <w:t>“</w:t>
      </w:r>
      <w:r w:rsidRPr="00F42B02">
        <w:t>data locali</w:t>
      </w:r>
      <w:r w:rsidR="000D7817">
        <w:t>z</w:t>
      </w:r>
      <w:r w:rsidRPr="00F42B02">
        <w:t>ation</w:t>
      </w:r>
      <w:r>
        <w:t>”</w:t>
      </w:r>
      <w:r w:rsidRPr="00F42B02">
        <w:t xml:space="preserve"> to refer to the mandatory requirements for in-country storage. In other words, the data must be stored only on domestic servers or, in a somewhat less </w:t>
      </w:r>
      <w:r>
        <w:t>extrem</w:t>
      </w:r>
      <w:r w:rsidRPr="00F42B02">
        <w:t>e version, through data mirroring, which mandates that at least one copy of the data be stored locally.</w:t>
      </w:r>
      <w:r>
        <w:rPr>
          <w:rStyle w:val="FootnoteReference"/>
        </w:rPr>
        <w:footnoteReference w:id="2"/>
      </w:r>
    </w:p>
    <w:p w14:paraId="7FA10576" w14:textId="016E3C7C" w:rsidR="00F42B02" w:rsidRDefault="00F42B02" w:rsidP="00F42B02">
      <w:pPr>
        <w:pStyle w:val="Heading2"/>
      </w:pPr>
      <w:r w:rsidRPr="00F42B02">
        <w:t xml:space="preserve">Current laws prevalent in </w:t>
      </w:r>
      <w:r>
        <w:t>India</w:t>
      </w:r>
    </w:p>
    <w:p w14:paraId="07001564" w14:textId="751FCC24" w:rsidR="00F42B02" w:rsidRDefault="00F42B02" w:rsidP="00F42B02">
      <w:pPr>
        <w:spacing w:line="360" w:lineRule="auto"/>
        <w:jc w:val="both"/>
      </w:pPr>
      <w:r>
        <w:t>Information Technology Act, 2000 (as amended by the Information Technology Amendment Act, 2008) and Information Technology [Reasonable Security Practices and Procedures and Sensitive Personal Data or Information] Rules, 2011 comprise the most important provisions (SPDI Rules). It is India’s primary cybercrime and electronic commerce statute. SPDI Rules, as their name implies, only apply to data and information that is shared electronically and not to data and information that is received through non-electronic communication channels.</w:t>
      </w:r>
    </w:p>
    <w:p w14:paraId="6BFED9C0" w14:textId="77337395" w:rsidR="00F42B02" w:rsidRPr="00F42B02" w:rsidRDefault="00F42B02" w:rsidP="00F42B02">
      <w:pPr>
        <w:spacing w:line="360" w:lineRule="auto"/>
        <w:jc w:val="both"/>
      </w:pPr>
      <w:r>
        <w:t xml:space="preserve">When this IT Act 2000 went into effect on October 17, 2000, none of the laws or procedures pertaining to the Act had the protections and provisions necessary to safeguard an individual’s electronically transmitted sensitive personal information. This ultimately led to </w:t>
      </w:r>
      <w:r>
        <w:lastRenderedPageBreak/>
        <w:t>the Information Technology (Amendment) Act of 2008. It added Section 43A to the Information Technology Act, which states:</w:t>
      </w:r>
      <w:r w:rsidRPr="00F42B02">
        <w:t xml:space="preserve"> If a body corporate possesses or handles sensitive personal data or information and is negligent in maintaining reasonable security to protect such data or information, thereby causing loss of or damage or wrongful gain to any person, then such body is liable to pay damages to the person(s) so damaged. In addition, Section 72A provides penalties for the disclosure of information.</w:t>
      </w:r>
    </w:p>
    <w:p w14:paraId="71C956B3" w14:textId="5915B6A7" w:rsidR="00F42B02" w:rsidRDefault="00F42B02" w:rsidP="00F42B02">
      <w:pPr>
        <w:spacing w:line="360" w:lineRule="auto"/>
        <w:jc w:val="both"/>
      </w:pPr>
      <w:r w:rsidRPr="00F42B02">
        <w:t>Any person authori</w:t>
      </w:r>
      <w:r w:rsidR="000D7817">
        <w:t>z</w:t>
      </w:r>
      <w:r w:rsidRPr="00F42B02">
        <w:t xml:space="preserve">ed by the </w:t>
      </w:r>
      <w:r w:rsidR="000D7817">
        <w:t>g</w:t>
      </w:r>
      <w:r w:rsidRPr="00F42B02">
        <w:t>overnment or any of its officers specially authori</w:t>
      </w:r>
      <w:r w:rsidR="000D7817">
        <w:t>z</w:t>
      </w:r>
      <w:r w:rsidRPr="00F42B02">
        <w:t xml:space="preserve">ed by the </w:t>
      </w:r>
      <w:r w:rsidR="000D7817">
        <w:t>g</w:t>
      </w:r>
      <w:r w:rsidRPr="00F42B02">
        <w:t>overnment, if satisfied that it is necessary or expedient to do so in the interest of India</w:t>
      </w:r>
      <w:r>
        <w:t>’</w:t>
      </w:r>
      <w:r w:rsidRPr="00F42B02">
        <w:t xml:space="preserve">s sovereignty or integrity, defence, security, friendly relations with foreign </w:t>
      </w:r>
      <w:r>
        <w:t>s</w:t>
      </w:r>
      <w:r w:rsidRPr="00F42B02">
        <w:t>tates, or public order, or to prevent incitement to commit any cogni</w:t>
      </w:r>
      <w:r w:rsidR="000D7817">
        <w:t>z</w:t>
      </w:r>
      <w:r w:rsidRPr="00F42B02">
        <w:t>able offence relating to the above, or for investigation of any offence, may restrain  For cybercrime investigations, Section 69 of the IT Act covers interception, monitoring, and decryption.</w:t>
      </w:r>
    </w:p>
    <w:p w14:paraId="1D201D70" w14:textId="75D98F83" w:rsidR="00F42B02" w:rsidRDefault="00F42B02" w:rsidP="00F42B02">
      <w:pPr>
        <w:pStyle w:val="Heading2"/>
        <w:rPr>
          <w:shd w:val="clear" w:color="auto" w:fill="FFFFFF"/>
        </w:rPr>
      </w:pPr>
      <w:r w:rsidRPr="00F42B02">
        <w:rPr>
          <w:shd w:val="clear" w:color="auto" w:fill="FFFFFF"/>
        </w:rPr>
        <w:t>After the Supreme Court’s landmark judgment in the Justice KS Puttaswamy case</w:t>
      </w:r>
    </w:p>
    <w:p w14:paraId="366381E9" w14:textId="7F819D86" w:rsidR="00F42B02" w:rsidRDefault="00F42B02" w:rsidP="00F42B02">
      <w:pPr>
        <w:spacing w:line="360" w:lineRule="auto"/>
        <w:jc w:val="both"/>
        <w:rPr>
          <w:b/>
          <w:bCs/>
          <w:i/>
          <w:iCs/>
        </w:rPr>
      </w:pPr>
      <w:r w:rsidRPr="00F42B02">
        <w:t>The MEITY appointed a 10-member committee under the guidance of former Supreme Court judge BN. Srikrishna to give ideas for a drafted bill on the protection of personal</w:t>
      </w:r>
      <w:r>
        <w:t xml:space="preserve"> </w:t>
      </w:r>
      <w:r w:rsidRPr="00F42B02">
        <w:t xml:space="preserve">information. It took the committee a year to complete its report and draught bill on personal data protection, titled </w:t>
      </w:r>
      <w:r>
        <w:rPr>
          <w:b/>
          <w:bCs/>
          <w:i/>
          <w:iCs/>
        </w:rPr>
        <w:t>“</w:t>
      </w:r>
      <w:r w:rsidRPr="00F42B02">
        <w:rPr>
          <w:b/>
          <w:bCs/>
          <w:i/>
          <w:iCs/>
        </w:rPr>
        <w:t>A Free and Fair Digital Economy: Protecting Privacy, Empowering Indians.</w:t>
      </w:r>
      <w:r>
        <w:rPr>
          <w:b/>
          <w:bCs/>
          <w:i/>
          <w:iCs/>
        </w:rPr>
        <w:t>”</w:t>
      </w:r>
      <w:r>
        <w:rPr>
          <w:rStyle w:val="FootnoteReference"/>
          <w:b/>
          <w:bCs/>
          <w:i/>
          <w:iCs/>
        </w:rPr>
        <w:footnoteReference w:id="3"/>
      </w:r>
    </w:p>
    <w:p w14:paraId="5FFE7B5E" w14:textId="4411BAAE" w:rsidR="00F42B02" w:rsidRDefault="00F42B02" w:rsidP="00F42B02">
      <w:pPr>
        <w:spacing w:line="360" w:lineRule="auto"/>
        <w:jc w:val="both"/>
      </w:pPr>
      <w:r>
        <w:t>Following that, the Draft Personal Data Protection Bill, 2018</w:t>
      </w:r>
      <w:r w:rsidR="000D7817">
        <w:t>,</w:t>
      </w:r>
      <w:r>
        <w:t xml:space="preserve"> proposed mandating the storage of “one serving copy” of all personal data within India. The central </w:t>
      </w:r>
      <w:r w:rsidR="000D7817">
        <w:t>g</w:t>
      </w:r>
      <w:r>
        <w:t>overnment would be given the right under this legislation to classify personal data as “essential personal data,” which would only be processed in India.</w:t>
      </w:r>
      <w:r>
        <w:rPr>
          <w:rStyle w:val="FootnoteReference"/>
        </w:rPr>
        <w:footnoteReference w:id="4"/>
      </w:r>
    </w:p>
    <w:p w14:paraId="421DAB97" w14:textId="3EB1297D" w:rsidR="00F42B02" w:rsidRDefault="00F42B02" w:rsidP="00F42B02">
      <w:pPr>
        <w:spacing w:line="360" w:lineRule="auto"/>
        <w:jc w:val="both"/>
      </w:pPr>
      <w:r>
        <w:t>Payment data has also been restricted in restrictions of locali</w:t>
      </w:r>
      <w:r w:rsidR="000D7817">
        <w:t>z</w:t>
      </w:r>
      <w:r>
        <w:t>ation. The Reserve Bank of India (“RBI”) issued a circular on April 6, 2018</w:t>
      </w:r>
      <w:r>
        <w:rPr>
          <w:rStyle w:val="FootnoteReference"/>
        </w:rPr>
        <w:footnoteReference w:id="5"/>
      </w:r>
      <w:r>
        <w:t xml:space="preserve">, mandating all payment system providers to preserve payment data locally and solely in India. </w:t>
      </w:r>
    </w:p>
    <w:p w14:paraId="02B14616" w14:textId="3E865FB0" w:rsidR="00F42B02" w:rsidRPr="00F42B02" w:rsidRDefault="00F42B02" w:rsidP="00F42B02">
      <w:pPr>
        <w:spacing w:line="360" w:lineRule="auto"/>
        <w:jc w:val="both"/>
      </w:pPr>
      <w:r w:rsidRPr="00F42B02">
        <w:lastRenderedPageBreak/>
        <w:t>The law would encompass collection and processing activities involving personal and non-personal data of Indian residents, but with varying levels of protection. In addition to firms established in India, the regulation would apply to data fiduciaries and processors based outside India. Notice of use, prior consent, and limits exist to help balance the interests of data subjects and fiduciaries.</w:t>
      </w:r>
    </w:p>
    <w:p w14:paraId="6846C34A" w14:textId="7AD7A949" w:rsidR="00F42B02" w:rsidRDefault="00F42B02" w:rsidP="00F42B02">
      <w:pPr>
        <w:spacing w:line="360" w:lineRule="auto"/>
        <w:jc w:val="both"/>
      </w:pPr>
      <w:r w:rsidRPr="00F42B02">
        <w:t xml:space="preserve">A six-person data protection authority (DPA) would monitor and enforce compliance. The DPA must include the attorney general and an IIM and IIT director. </w:t>
      </w:r>
      <w:r w:rsidR="00FD136A">
        <w:t>Critical duties include regulating and controlling personal data usage, developing accountability norms for corporations, fostering trust, and implementing sanctions for noncompliance</w:t>
      </w:r>
      <w:r w:rsidRPr="00F42B02">
        <w:t>. Each organi</w:t>
      </w:r>
      <w:r w:rsidR="000D7817">
        <w:t>z</w:t>
      </w:r>
      <w:r w:rsidRPr="00F42B02">
        <w:t>ation subject to the law in India must designate data protection officers to comply.</w:t>
      </w:r>
    </w:p>
    <w:p w14:paraId="05D2F04B" w14:textId="5A72B410" w:rsidR="00F42B02" w:rsidRDefault="00F42B02" w:rsidP="00F42B02">
      <w:pPr>
        <w:spacing w:line="360" w:lineRule="auto"/>
        <w:jc w:val="both"/>
      </w:pPr>
      <w:r>
        <w:t xml:space="preserve">The regulation will impose data localization requirements, mandating crucial data to be processed in India. While sensitive personal data can be moved to another country, a copy must be preserved in the country. The Act also requires the </w:t>
      </w:r>
      <w:r w:rsidR="000D7817">
        <w:t>g</w:t>
      </w:r>
      <w:r>
        <w:t>overnment to develop a comprehensive data locali</w:t>
      </w:r>
      <w:r w:rsidR="000D7817">
        <w:t>z</w:t>
      </w:r>
      <w:r>
        <w:t>ation policy.</w:t>
      </w:r>
    </w:p>
    <w:p w14:paraId="30FF6E66" w14:textId="0075F52A" w:rsidR="00F42B02" w:rsidRDefault="00F42B02" w:rsidP="00F42B02">
      <w:pPr>
        <w:spacing w:line="360" w:lineRule="auto"/>
        <w:jc w:val="both"/>
      </w:pPr>
      <w:r>
        <w:t>Social media platforms would be viewed as publishers and</w:t>
      </w:r>
      <w:r w:rsidR="000D7817">
        <w:t>,</w:t>
      </w:r>
      <w:r>
        <w:t xml:space="preserve"> as such, would be held liable for hosted content contributed by third parties. Designating a media regulating authority could result in assistance with this task.</w:t>
      </w:r>
    </w:p>
    <w:p w14:paraId="4FF6A5C0" w14:textId="484AF71E" w:rsidR="00F42B02" w:rsidRDefault="00F42B02" w:rsidP="00F42B02">
      <w:pPr>
        <w:pStyle w:val="Heading2"/>
      </w:pPr>
      <w:r>
        <w:t xml:space="preserve">Why </w:t>
      </w:r>
      <w:r w:rsidR="000D7817">
        <w:t xml:space="preserve">the </w:t>
      </w:r>
      <w:r>
        <w:t xml:space="preserve">need </w:t>
      </w:r>
      <w:r w:rsidR="000D7817">
        <w:t>for</w:t>
      </w:r>
      <w:r>
        <w:t xml:space="preserve"> data privacy and locali</w:t>
      </w:r>
      <w:r w:rsidR="000D7817">
        <w:t>z</w:t>
      </w:r>
      <w:r>
        <w:t>ation?</w:t>
      </w:r>
    </w:p>
    <w:p w14:paraId="08742679" w14:textId="72435A2E" w:rsidR="00F42B02" w:rsidRDefault="00F42B02" w:rsidP="00F42B02">
      <w:pPr>
        <w:spacing w:line="360" w:lineRule="auto"/>
        <w:jc w:val="both"/>
      </w:pPr>
      <w:r w:rsidRPr="00F42B02">
        <w:t>The Reserve Bank of India required payment data to be locali</w:t>
      </w:r>
      <w:r w:rsidR="000D7817">
        <w:t>z</w:t>
      </w:r>
      <w:r w:rsidRPr="00F42B02">
        <w:t xml:space="preserve">ed and payment intermediaries to be regulated </w:t>
      </w:r>
      <w:r w:rsidR="00FD136A">
        <w:t>to</w:t>
      </w:r>
      <w:r w:rsidRPr="00F42B02">
        <w:t xml:space="preserve"> have </w:t>
      </w:r>
      <w:r w:rsidR="000D7817">
        <w:t>“</w:t>
      </w:r>
      <w:r w:rsidRPr="00F42B02">
        <w:t>unrestricted supervisory access</w:t>
      </w:r>
      <w:r w:rsidR="000D7817">
        <w:t>”</w:t>
      </w:r>
      <w:r w:rsidRPr="00F42B02">
        <w:t xml:space="preserve"> to </w:t>
      </w:r>
      <w:r w:rsidR="000D7817">
        <w:t>“</w:t>
      </w:r>
      <w:r w:rsidRPr="00F42B02">
        <w:t>promote efficient monitoring</w:t>
      </w:r>
      <w:r w:rsidR="000D7817">
        <w:t>”</w:t>
      </w:r>
      <w:r w:rsidRPr="00F42B02">
        <w:t xml:space="preserve"> and protect consumer interests. The e-Commerce Policy, on the other hand, strives to promote indigenous innovation and aid Indian enterprises through locali</w:t>
      </w:r>
      <w:r w:rsidR="000D7817">
        <w:t>z</w:t>
      </w:r>
      <w:r w:rsidRPr="00F42B02">
        <w:t>ation.</w:t>
      </w:r>
    </w:p>
    <w:p w14:paraId="02791FCA" w14:textId="53460C72" w:rsidR="00F42B02" w:rsidRDefault="00F42B02" w:rsidP="00F42B02">
      <w:pPr>
        <w:pStyle w:val="ListParagraph"/>
        <w:numPr>
          <w:ilvl w:val="0"/>
          <w:numId w:val="4"/>
        </w:numPr>
        <w:spacing w:line="360" w:lineRule="auto"/>
        <w:jc w:val="both"/>
      </w:pPr>
      <w:r w:rsidRPr="00F42B02">
        <w:t>Its declared objective is to develop a robust data protection policy that strikes a balance between private interests and legitimate state aims. Among the justifications for data locali</w:t>
      </w:r>
      <w:r w:rsidR="000D7817">
        <w:t>z</w:t>
      </w:r>
      <w:r w:rsidRPr="00F42B02">
        <w:t>ation emphasi</w:t>
      </w:r>
      <w:r w:rsidR="000D7817">
        <w:t>z</w:t>
      </w:r>
      <w:r w:rsidRPr="00F42B02">
        <w:t xml:space="preserve">ed in the expert committee report issued accompanying the Draft Bill is the vulnerability of Indian data to foreign surveillance and attack. </w:t>
      </w:r>
      <w:r w:rsidR="00FD136A">
        <w:t>An Indian citizen may have no legal recourse against foreign-based service providers if data is housed in a foreign country</w:t>
      </w:r>
      <w:r w:rsidRPr="00F42B02">
        <w:t>.</w:t>
      </w:r>
    </w:p>
    <w:p w14:paraId="5C88907F" w14:textId="34C19073" w:rsidR="00F42B02" w:rsidRDefault="00F42B02" w:rsidP="00F42B02">
      <w:pPr>
        <w:pStyle w:val="ListParagraph"/>
        <w:numPr>
          <w:ilvl w:val="0"/>
          <w:numId w:val="4"/>
        </w:numPr>
        <w:spacing w:line="360" w:lineRule="auto"/>
        <w:jc w:val="both"/>
      </w:pPr>
      <w:r w:rsidRPr="00F42B02">
        <w:t>Locali</w:t>
      </w:r>
      <w:r w:rsidR="000D7817">
        <w:t>z</w:t>
      </w:r>
      <w:r w:rsidRPr="00F42B02">
        <w:t>ation also improves enforcement. Access to sensitive information (such as phone numbers) might jeopardi</w:t>
      </w:r>
      <w:r w:rsidR="000D7817">
        <w:t>z</w:t>
      </w:r>
      <w:r w:rsidRPr="00F42B02">
        <w:t>e national security, and certain data can be crucial to a country</w:t>
      </w:r>
      <w:r w:rsidR="000D7817">
        <w:t>’</w:t>
      </w:r>
      <w:r w:rsidRPr="00F42B02">
        <w:t xml:space="preserve">s </w:t>
      </w:r>
      <w:r w:rsidRPr="00F42B02">
        <w:lastRenderedPageBreak/>
        <w:t>economic well-being (like payment data). National police need data for investigations and enforcement. This criterion demands local storage of such data since</w:t>
      </w:r>
      <w:r w:rsidR="000D7817">
        <w:t>,</w:t>
      </w:r>
      <w:r w:rsidRPr="00F42B02">
        <w:t xml:space="preserve"> without localization</w:t>
      </w:r>
      <w:r w:rsidR="00FD136A">
        <w:t>,</w:t>
      </w:r>
      <w:r w:rsidRPr="00F42B02">
        <w:t> it would be difficult to get without other countries</w:t>
      </w:r>
      <w:r w:rsidR="000D7817">
        <w:t>’</w:t>
      </w:r>
      <w:r w:rsidRPr="00F42B02">
        <w:t xml:space="preserve"> and regulators</w:t>
      </w:r>
      <w:r w:rsidR="000D7817">
        <w:t>’</w:t>
      </w:r>
      <w:r w:rsidRPr="00F42B02">
        <w:t xml:space="preserve"> participation.</w:t>
      </w:r>
    </w:p>
    <w:p w14:paraId="5A264332" w14:textId="6AFE3198" w:rsidR="00F42B02" w:rsidRDefault="00F42B02" w:rsidP="00F42B02">
      <w:pPr>
        <w:pStyle w:val="ListParagraph"/>
        <w:numPr>
          <w:ilvl w:val="0"/>
          <w:numId w:val="4"/>
        </w:numPr>
        <w:spacing w:line="360" w:lineRule="auto"/>
        <w:jc w:val="both"/>
      </w:pPr>
      <w:r>
        <w:t xml:space="preserve">India has previously enacted legislation to tax digital transactions. In 2016, </w:t>
      </w:r>
      <w:r w:rsidR="00FD136A">
        <w:t xml:space="preserve">an </w:t>
      </w:r>
      <w:r>
        <w:t xml:space="preserve">Indian tax law was changed to allow the imposition of an </w:t>
      </w:r>
      <w:r w:rsidR="000D7817">
        <w:t>“</w:t>
      </w:r>
      <w:r>
        <w:t>equali</w:t>
      </w:r>
      <w:r w:rsidR="000D7817">
        <w:t>z</w:t>
      </w:r>
      <w:r>
        <w:t>ation charge</w:t>
      </w:r>
      <w:r w:rsidR="000D7817">
        <w:t>”</w:t>
      </w:r>
      <w:r>
        <w:t xml:space="preserve"> on money paid to foreign entities24 that provide particular services25 to Indian residents or non-residents with a permanent establishment in India. Hosting local servers in a country enables the construction of a </w:t>
      </w:r>
      <w:r w:rsidR="000D7817">
        <w:t>“</w:t>
      </w:r>
      <w:r>
        <w:t>fixed place of business,</w:t>
      </w:r>
      <w:r w:rsidR="000D7817">
        <w:t>”</w:t>
      </w:r>
      <w:r>
        <w:t xml:space="preserve"> which attracts taxation provisions applicable to permanent establishments. With this in mind, the </w:t>
      </w:r>
      <w:r w:rsidR="000D7817">
        <w:t>g</w:t>
      </w:r>
      <w:r>
        <w:t>overnment</w:t>
      </w:r>
      <w:r w:rsidR="000D7817">
        <w:t>’</w:t>
      </w:r>
      <w:r>
        <w:t>s advice for local incorporation becomes more understandable. If a foreign digital business wants to serve Indian customers, it must do so through an Indian corporation. Their earnings will be subject to Indian taxes in the first instance, among other things.</w:t>
      </w:r>
    </w:p>
    <w:p w14:paraId="7A2A9FDB" w14:textId="20539469" w:rsidR="00F42B02" w:rsidRDefault="00F42B02" w:rsidP="00F42B02">
      <w:pPr>
        <w:pStyle w:val="ListParagraph"/>
        <w:numPr>
          <w:ilvl w:val="0"/>
          <w:numId w:val="4"/>
        </w:numPr>
        <w:spacing w:line="360" w:lineRule="auto"/>
        <w:jc w:val="both"/>
      </w:pPr>
      <w:r>
        <w:t>Data locali</w:t>
      </w:r>
      <w:r w:rsidR="000D7817">
        <w:t>z</w:t>
      </w:r>
      <w:r>
        <w:t>ation and on-site presence boost local firms. This may be an unintended consequence, but local businesses are frequently far better at meeting local needs. This is not an unusual regulatory stance for India. Foreign investment and currency exchange regulations in India continue to restrict the use of foreign money in specified industries and restrictions. Sectors such as multi-brand retail are still not completely open to foreign investment. Over the last two decades, India has become increasingly open to more international investment and participation.</w:t>
      </w:r>
    </w:p>
    <w:p w14:paraId="11CCCFF9" w14:textId="0EB79E87" w:rsidR="00F42B02" w:rsidRDefault="00F42B02" w:rsidP="00F42B02">
      <w:pPr>
        <w:pStyle w:val="Heading2"/>
      </w:pPr>
      <w:r>
        <w:t>Critical Analysis</w:t>
      </w:r>
    </w:p>
    <w:p w14:paraId="74D8D2CF" w14:textId="5F93B41A" w:rsidR="00F42B02" w:rsidRDefault="00F42B02" w:rsidP="00F42B02">
      <w:pPr>
        <w:spacing w:line="360" w:lineRule="auto"/>
        <w:jc w:val="both"/>
      </w:pPr>
      <w:r>
        <w:t>Locali</w:t>
      </w:r>
      <w:r w:rsidR="000D7817">
        <w:t>z</w:t>
      </w:r>
      <w:r>
        <w:t xml:space="preserve">ation may have </w:t>
      </w:r>
      <w:r w:rsidR="00FD136A">
        <w:t>several</w:t>
      </w:r>
      <w:r>
        <w:t xml:space="preserve"> effects on expression rights, given that the Internet is predicated on borderless information transfer. Access to cross-border media and applications may be affected, particularly for smaller content providers. Smaller multinational platforms for </w:t>
      </w:r>
      <w:r w:rsidR="00FD136A">
        <w:t xml:space="preserve">the </w:t>
      </w:r>
      <w:r>
        <w:t>country may not view India as their primary market in order to justify the cost of complying with onerous or overly extensive locali</w:t>
      </w:r>
      <w:r w:rsidR="000D7817">
        <w:t>z</w:t>
      </w:r>
      <w:r>
        <w:t>ation laws. Locali</w:t>
      </w:r>
      <w:r w:rsidR="000D7817">
        <w:t>z</w:t>
      </w:r>
      <w:r>
        <w:t>ation may also permit greater restrictions on dissident or political voices within India, as well as modify the amount to which Indian information is accessible beyond India. In addition to limiting the general creativity of the Internet, locali</w:t>
      </w:r>
      <w:r w:rsidR="000D7817">
        <w:t>z</w:t>
      </w:r>
      <w:r>
        <w:t xml:space="preserve">ation can hinder the ability of the scientific and corporate communities to create globally with big data solutions, as well as innovation based on the Internet of Things and the sharing economy. </w:t>
      </w:r>
    </w:p>
    <w:p w14:paraId="3D1C54B9" w14:textId="77777777" w:rsidR="00F42B02" w:rsidRDefault="00F42B02" w:rsidP="00F42B02"/>
    <w:p w14:paraId="3549598A" w14:textId="14CE4D01" w:rsidR="00F42B02" w:rsidRDefault="00F42B02" w:rsidP="00F42B02">
      <w:pPr>
        <w:spacing w:line="360" w:lineRule="auto"/>
        <w:jc w:val="both"/>
      </w:pPr>
      <w:r>
        <w:t>While merely locating data in a country does not make it susceptible to censorship</w:t>
      </w:r>
      <w:r w:rsidR="00FD136A">
        <w:t>,</w:t>
      </w:r>
      <w:r>
        <w:t xml:space="preserve"> data would be more vulnerable if the country had laws that gave the state greater powers </w:t>
      </w:r>
      <w:r w:rsidR="00FD136A">
        <w:t>to restrict</w:t>
      </w:r>
      <w:r>
        <w:t xml:space="preserve"> access to content or if the country lacked the capacity or will to ensure proper oversight and accountability of its executive agencies. The use of extra-legal techniques becomes more attractive when data is locali</w:t>
      </w:r>
      <w:r w:rsidR="000D7817">
        <w:t>z</w:t>
      </w:r>
      <w:r>
        <w:t>ed.</w:t>
      </w:r>
    </w:p>
    <w:p w14:paraId="2CDFAC99" w14:textId="1B354FF2" w:rsidR="00F42B02" w:rsidRDefault="00F42B02" w:rsidP="00F42B02">
      <w:pPr>
        <w:spacing w:line="360" w:lineRule="auto"/>
        <w:jc w:val="both"/>
      </w:pPr>
      <w:r w:rsidRPr="00F42B02">
        <w:t>Locali</w:t>
      </w:r>
      <w:r w:rsidR="000D7817">
        <w:t>z</w:t>
      </w:r>
      <w:r w:rsidRPr="00F42B02">
        <w:t xml:space="preserve">ation does not inherently suppress information. Censorship is a function of the domestic legal system, which provides government agencies with legal freedom while discouraging extra-legal tactics. The increasing number of shutdowns in India indicates that the </w:t>
      </w:r>
      <w:r w:rsidR="000D7817">
        <w:t>g</w:t>
      </w:r>
      <w:r w:rsidRPr="00F42B02">
        <w:t xml:space="preserve">overnment is tightening its grip on the </w:t>
      </w:r>
      <w:r w:rsidR="00FD136A">
        <w:t>I</w:t>
      </w:r>
      <w:r w:rsidRPr="00F42B02">
        <w:t xml:space="preserve">nternet. Given the </w:t>
      </w:r>
      <w:r w:rsidR="00FD136A">
        <w:t>country's internet censorship surge</w:t>
      </w:r>
      <w:r w:rsidRPr="00F42B02">
        <w:t>, locali</w:t>
      </w:r>
      <w:r w:rsidR="000D7817">
        <w:t>z</w:t>
      </w:r>
      <w:r w:rsidRPr="00F42B02">
        <w:t xml:space="preserve">ation may allow authorities to filter online content more easily and efficiently. Aside from the ease of applying Indian laws to domestic establishments, one would wonder if the </w:t>
      </w:r>
      <w:r w:rsidR="000D7817">
        <w:t>g</w:t>
      </w:r>
      <w:r w:rsidRPr="00F42B02">
        <w:t>overnment can utili</w:t>
      </w:r>
      <w:r w:rsidR="000D7817">
        <w:t>z</w:t>
      </w:r>
      <w:r w:rsidRPr="00F42B02">
        <w:t>e Section 144, CrPC</w:t>
      </w:r>
      <w:r w:rsidR="00FD136A">
        <w:t>,</w:t>
      </w:r>
      <w:r w:rsidRPr="00F42B02">
        <w:t xml:space="preserve"> to prohibit access to domestically housed content on server farms. A restriction of this nature may render the content unavailable anywhere in the world, not only where disruption is detected.</w:t>
      </w:r>
    </w:p>
    <w:p w14:paraId="56B8369F" w14:textId="6AABFAF5" w:rsidR="00F42B02" w:rsidRDefault="00F42B02" w:rsidP="00F42B02">
      <w:pPr>
        <w:pStyle w:val="Heading2"/>
      </w:pPr>
      <w:r>
        <w:t xml:space="preserve">Approaches </w:t>
      </w:r>
      <w:r w:rsidR="00FD136A">
        <w:t>To</w:t>
      </w:r>
      <w:r>
        <w:t xml:space="preserve"> Foreign Countries</w:t>
      </w:r>
    </w:p>
    <w:p w14:paraId="67B41A84" w14:textId="071AB2F3" w:rsidR="00F42B02" w:rsidRDefault="00F42B02" w:rsidP="00F42B02">
      <w:pPr>
        <w:spacing w:line="360" w:lineRule="auto"/>
        <w:jc w:val="both"/>
      </w:pPr>
      <w:r>
        <w:t xml:space="preserve">The right to privacy is a fundamental right in the European Union that seeks to protect the </w:t>
      </w:r>
      <w:r w:rsidR="00FD136A">
        <w:t>individual's dignity</w:t>
      </w:r>
      <w:r>
        <w:t xml:space="preserve">. Both the right to privacy and the right to personal data protection are protected by the European Charter of Fundamental Rights (EU Charter). The EU has a comprehensive data protection framework that applies to </w:t>
      </w:r>
      <w:r w:rsidR="00FD136A">
        <w:t>processing personal data by any means and to processing activities conducted by both government and private organizations, with</w:t>
      </w:r>
      <w:r>
        <w:t xml:space="preserve"> exceptions for national security, defence, and so on. The EU model contains a robust data protection statute for the handling of personal data.</w:t>
      </w:r>
    </w:p>
    <w:p w14:paraId="0F09D9C5" w14:textId="5FA05269" w:rsidR="00F42B02" w:rsidRPr="00F42B02" w:rsidRDefault="00F42B02" w:rsidP="00F42B02">
      <w:pPr>
        <w:spacing w:line="360" w:lineRule="auto"/>
        <w:jc w:val="both"/>
      </w:pPr>
      <w:r>
        <w:t xml:space="preserve">In the United States, privacy protection is synonymous with </w:t>
      </w:r>
      <w:r w:rsidR="000D7817">
        <w:t>“</w:t>
      </w:r>
      <w:r>
        <w:t>liberty protection,</w:t>
      </w:r>
      <w:r w:rsidR="000D7817">
        <w:t>”</w:t>
      </w:r>
      <w:r>
        <w:t xml:space="preserve"> or the protection of an individual</w:t>
      </w:r>
      <w:r w:rsidR="000D7817">
        <w:t>’</w:t>
      </w:r>
      <w:r>
        <w:t xml:space="preserve">s personal space from the </w:t>
      </w:r>
      <w:r w:rsidR="000D7817">
        <w:t>g</w:t>
      </w:r>
      <w:r>
        <w:t xml:space="preserve">overnment. In contrast to the European Union, the United States lacks a comprehensive set of privacy rights and principles governing </w:t>
      </w:r>
      <w:r w:rsidR="00FD136A">
        <w:t>data use, collection, and disclosure</w:t>
      </w:r>
      <w:r>
        <w:t xml:space="preserve">. Instead, few industry-specific regulations exist. Second, the public sector and the private sector handle data protection differently. The Privacy Act, the Electronic Communications Privacy Act, and other expansive pieces of legislation describe and address the </w:t>
      </w:r>
      <w:r w:rsidR="000D7817">
        <w:t>g</w:t>
      </w:r>
      <w:r>
        <w:t>overnment</w:t>
      </w:r>
      <w:r w:rsidR="000D7817">
        <w:t>’</w:t>
      </w:r>
      <w:r>
        <w:t xml:space="preserve">s activities and powers in connection to personal </w:t>
      </w:r>
      <w:r>
        <w:lastRenderedPageBreak/>
        <w:t>information. The private sector is subject to sector-specific laws, such as the Federal Trade Commission Act.</w:t>
      </w:r>
    </w:p>
    <w:p w14:paraId="4418B958" w14:textId="7C3534E3" w:rsidR="00F42B02" w:rsidRDefault="00F42B02" w:rsidP="00F42B02">
      <w:pPr>
        <w:spacing w:line="360" w:lineRule="auto"/>
        <w:jc w:val="both"/>
      </w:pPr>
      <w:r w:rsidRPr="00F42B02">
        <w:t>India must strike the right balance to benefit from a data-driven environment while adhering to reasonable restrictions.</w:t>
      </w:r>
    </w:p>
    <w:p w14:paraId="0EB80C20" w14:textId="72641963" w:rsidR="00F42B02" w:rsidRDefault="00F42B02" w:rsidP="00F42B02">
      <w:pPr>
        <w:pStyle w:val="Heading2"/>
      </w:pPr>
      <w:r>
        <w:t>Conclusion</w:t>
      </w:r>
    </w:p>
    <w:p w14:paraId="1ABC3FF1" w14:textId="6C269519" w:rsidR="00F42B02" w:rsidRDefault="00F42B02" w:rsidP="00F42B02">
      <w:pPr>
        <w:spacing w:line="360" w:lineRule="auto"/>
        <w:jc w:val="both"/>
      </w:pPr>
      <w:r>
        <w:t xml:space="preserve">The Indian </w:t>
      </w:r>
      <w:r w:rsidR="000D7817">
        <w:t>g</w:t>
      </w:r>
      <w:r>
        <w:t>overnment prefers on-site requirements and data locali</w:t>
      </w:r>
      <w:r w:rsidR="000D7817">
        <w:t>z</w:t>
      </w:r>
      <w:r>
        <w:t xml:space="preserve">ation. Economic imperatives are as vital as law enforcement and data protection. Data mirroring, adequacy measures for offshore data storage, encryption techniques, and limiting critical data flow are concerns for data privacy and law enforcement. Measures such as on-soil inclusion regulations and data storage only in India may indicate that the </w:t>
      </w:r>
      <w:r w:rsidR="000D7817">
        <w:t>g</w:t>
      </w:r>
      <w:r>
        <w:t xml:space="preserve">overnment is also interested in </w:t>
      </w:r>
      <w:r w:rsidR="00FD136A">
        <w:t>data localisation's (so-called) economic benefits</w:t>
      </w:r>
      <w:r>
        <w:t>.</w:t>
      </w:r>
    </w:p>
    <w:p w14:paraId="052ED7D8" w14:textId="22B385CE" w:rsidR="00F42B02" w:rsidRPr="00F42B02" w:rsidRDefault="00F42B02" w:rsidP="00F42B02">
      <w:pPr>
        <w:spacing w:line="360" w:lineRule="auto"/>
        <w:jc w:val="both"/>
      </w:pPr>
      <w:r>
        <w:t>Any general policy directions on locali</w:t>
      </w:r>
      <w:r w:rsidR="000D7817">
        <w:t>z</w:t>
      </w:r>
      <w:r>
        <w:t>ation, whether for personal data or otherwise, should be postponed until more extensive research is completed. India must also resist pressure to enter into bilateral or multilateral trade agreements that limit its ability to make future actions on data locali</w:t>
      </w:r>
      <w:r w:rsidR="000D7817">
        <w:t>z</w:t>
      </w:r>
      <w:r>
        <w:t xml:space="preserve">ation and e-commerce. The Indian </w:t>
      </w:r>
      <w:r w:rsidR="000D7817">
        <w:t>g</w:t>
      </w:r>
      <w:r>
        <w:t>overnment</w:t>
      </w:r>
      <w:r w:rsidR="000D7817">
        <w:t>’</w:t>
      </w:r>
      <w:r>
        <w:t>s stance on data locali</w:t>
      </w:r>
      <w:r w:rsidR="000D7817">
        <w:t>z</w:t>
      </w:r>
      <w:r>
        <w:t xml:space="preserve">ation must be weighed against the </w:t>
      </w:r>
      <w:r w:rsidR="000D7817">
        <w:t>g</w:t>
      </w:r>
      <w:r>
        <w:t>overnment</w:t>
      </w:r>
      <w:r w:rsidR="000D7817">
        <w:t>’</w:t>
      </w:r>
      <w:r>
        <w:t xml:space="preserve">s aspirations of establishing a </w:t>
      </w:r>
      <w:r w:rsidR="000D7817">
        <w:t>“</w:t>
      </w:r>
      <w:r>
        <w:t>Digital India,</w:t>
      </w:r>
      <w:r w:rsidR="000D7817">
        <w:t>”</w:t>
      </w:r>
      <w:r>
        <w:t xml:space="preserve"> as well as the necessity for strategic planning on whether a closed or open data economy is more conducive to achieving those goals.</w:t>
      </w:r>
    </w:p>
    <w:p w14:paraId="1EF79B7C" w14:textId="1C149906" w:rsidR="00F42B02" w:rsidRDefault="00F42B02" w:rsidP="00F42B02">
      <w:pPr>
        <w:spacing w:line="360" w:lineRule="auto"/>
        <w:jc w:val="both"/>
      </w:pPr>
    </w:p>
    <w:p w14:paraId="5D3F3EC3" w14:textId="5E57B8E6" w:rsidR="00F42B02" w:rsidRDefault="00F42B02" w:rsidP="00F42B02">
      <w:pPr>
        <w:spacing w:line="360" w:lineRule="auto"/>
        <w:jc w:val="both"/>
      </w:pPr>
    </w:p>
    <w:p w14:paraId="665D2545" w14:textId="1E6BC07B" w:rsidR="00F42B02" w:rsidRDefault="00F42B02" w:rsidP="00F42B02">
      <w:pPr>
        <w:spacing w:line="360" w:lineRule="auto"/>
        <w:jc w:val="both"/>
      </w:pPr>
    </w:p>
    <w:p w14:paraId="26C3DE31" w14:textId="77777777" w:rsidR="00F42B02" w:rsidRPr="00F42B02" w:rsidRDefault="00F42B02" w:rsidP="00F42B02">
      <w:pPr>
        <w:spacing w:line="360" w:lineRule="auto"/>
        <w:jc w:val="both"/>
      </w:pPr>
    </w:p>
    <w:sectPr w:rsidR="00F42B02" w:rsidRPr="00F42B02" w:rsidSect="009E785D">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4774B3" w14:textId="77777777" w:rsidR="00AD2E5D" w:rsidRDefault="00AD2E5D" w:rsidP="00F465E5">
      <w:pPr>
        <w:spacing w:after="0" w:line="240" w:lineRule="auto"/>
      </w:pPr>
      <w:r>
        <w:separator/>
      </w:r>
    </w:p>
  </w:endnote>
  <w:endnote w:type="continuationSeparator" w:id="0">
    <w:p w14:paraId="1F96A31B" w14:textId="77777777" w:rsidR="00AD2E5D" w:rsidRDefault="00AD2E5D" w:rsidP="00F465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3225288"/>
      <w:docPartObj>
        <w:docPartGallery w:val="Page Numbers (Bottom of Page)"/>
        <w:docPartUnique/>
      </w:docPartObj>
    </w:sdtPr>
    <w:sdtEndPr>
      <w:rPr>
        <w:b/>
        <w:spacing w:val="60"/>
        <w:sz w:val="28"/>
      </w:rPr>
    </w:sdtEndPr>
    <w:sdtContent>
      <w:p w14:paraId="485BDACD" w14:textId="391BD20D" w:rsidR="00EB6127" w:rsidRPr="00EB6127" w:rsidRDefault="00EB6127">
        <w:pPr>
          <w:pStyle w:val="Footer"/>
          <w:pBdr>
            <w:top w:val="single" w:sz="4" w:space="1" w:color="D9D9D9" w:themeColor="background1" w:themeShade="D9"/>
          </w:pBdr>
          <w:jc w:val="right"/>
          <w:rPr>
            <w:b/>
            <w:sz w:val="28"/>
          </w:rPr>
        </w:pPr>
        <w:r w:rsidRPr="00EB6127">
          <w:rPr>
            <w:b/>
            <w:sz w:val="28"/>
          </w:rPr>
          <w:fldChar w:fldCharType="begin"/>
        </w:r>
        <w:r w:rsidRPr="00EB6127">
          <w:rPr>
            <w:b/>
            <w:sz w:val="28"/>
          </w:rPr>
          <w:instrText xml:space="preserve"> PAGE   \* MERGEFORMAT </w:instrText>
        </w:r>
        <w:r w:rsidRPr="00EB6127">
          <w:rPr>
            <w:b/>
            <w:sz w:val="28"/>
          </w:rPr>
          <w:fldChar w:fldCharType="separate"/>
        </w:r>
        <w:r w:rsidR="009E785D">
          <w:rPr>
            <w:b/>
            <w:noProof/>
            <w:sz w:val="28"/>
          </w:rPr>
          <w:t>3</w:t>
        </w:r>
        <w:r w:rsidRPr="00EB6127">
          <w:rPr>
            <w:b/>
            <w:noProof/>
            <w:sz w:val="28"/>
          </w:rPr>
          <w:fldChar w:fldCharType="end"/>
        </w:r>
        <w:r w:rsidRPr="00EB6127">
          <w:rPr>
            <w:b/>
            <w:sz w:val="28"/>
          </w:rPr>
          <w:t xml:space="preserve"> | </w:t>
        </w:r>
        <w:r w:rsidRPr="00EB6127">
          <w:rPr>
            <w:b/>
            <w:spacing w:val="60"/>
            <w:sz w:val="28"/>
          </w:rPr>
          <w:t>Page</w:t>
        </w:r>
      </w:p>
    </w:sdtContent>
  </w:sdt>
  <w:p w14:paraId="7E91C981" w14:textId="627AA30D" w:rsidR="00F465E5" w:rsidRPr="00C87EC4" w:rsidRDefault="00F465E5">
    <w:pPr>
      <w:pStyle w:val="Footer"/>
      <w:rPr>
        <w:b/>
        <w:bCs/>
        <w:smallCaps/>
        <w:sz w:val="28"/>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7FED4E" w14:textId="77777777" w:rsidR="00AD2E5D" w:rsidRDefault="00AD2E5D" w:rsidP="00F465E5">
      <w:pPr>
        <w:spacing w:after="0" w:line="240" w:lineRule="auto"/>
      </w:pPr>
      <w:r>
        <w:separator/>
      </w:r>
    </w:p>
  </w:footnote>
  <w:footnote w:type="continuationSeparator" w:id="0">
    <w:p w14:paraId="0FF5063F" w14:textId="77777777" w:rsidR="00AD2E5D" w:rsidRDefault="00AD2E5D" w:rsidP="00F465E5">
      <w:pPr>
        <w:spacing w:after="0" w:line="240" w:lineRule="auto"/>
      </w:pPr>
      <w:r>
        <w:continuationSeparator/>
      </w:r>
    </w:p>
  </w:footnote>
  <w:footnote w:id="1">
    <w:p w14:paraId="56F8A3F8" w14:textId="08C6FB09" w:rsidR="00F42B02" w:rsidRDefault="00F42B02">
      <w:pPr>
        <w:pStyle w:val="FootnoteText"/>
      </w:pPr>
      <w:r>
        <w:rPr>
          <w:rStyle w:val="FootnoteReference"/>
        </w:rPr>
        <w:footnoteRef/>
      </w:r>
      <w:r>
        <w:t xml:space="preserve"> </w:t>
      </w:r>
      <w:r w:rsidRPr="00F42B02">
        <w:t>Justice K S Puttaswamy (Retd.) &amp; Anr. vs. Union of India and Ors</w:t>
      </w:r>
      <w:r>
        <w:t>,</w:t>
      </w:r>
      <w:r w:rsidRPr="00F42B02">
        <w:t xml:space="preserve"> (2017) 10 SCC 1</w:t>
      </w:r>
    </w:p>
  </w:footnote>
  <w:footnote w:id="2">
    <w:p w14:paraId="44F05588" w14:textId="60D5B0D5" w:rsidR="00F42B02" w:rsidRDefault="00F42B02">
      <w:pPr>
        <w:pStyle w:val="FootnoteText"/>
      </w:pPr>
      <w:r>
        <w:rPr>
          <w:rStyle w:val="FootnoteReference"/>
        </w:rPr>
        <w:footnoteRef/>
      </w:r>
      <w:r>
        <w:t xml:space="preserve"> </w:t>
      </w:r>
      <w:r w:rsidRPr="00F42B02">
        <w:t xml:space="preserve">Data localisation in India: Questioning the means and ends, published by Rishab Bailey and Smriti Parsheera on October 31, 2018. See: </w:t>
      </w:r>
      <w:hyperlink r:id="rId1" w:history="1">
        <w:r w:rsidRPr="00A271DF">
          <w:rPr>
            <w:rStyle w:val="Hyperlink"/>
          </w:rPr>
          <w:t>https://www.nipfp.org.in/media/medialibrary/2018/10/WP_2018_242.pdf</w:t>
        </w:r>
      </w:hyperlink>
      <w:r w:rsidRPr="00F42B02">
        <w:t>.</w:t>
      </w:r>
      <w:r>
        <w:t xml:space="preserve"> </w:t>
      </w:r>
    </w:p>
  </w:footnote>
  <w:footnote w:id="3">
    <w:p w14:paraId="748C50BD" w14:textId="48BD3B02" w:rsidR="00F42B02" w:rsidRDefault="00F42B02" w:rsidP="00F42B02">
      <w:pPr>
        <w:pStyle w:val="FootnoteText"/>
      </w:pPr>
      <w:r>
        <w:rPr>
          <w:rStyle w:val="FootnoteReference"/>
        </w:rPr>
        <w:footnoteRef/>
      </w:r>
      <w:r>
        <w:t xml:space="preserve"> </w:t>
      </w:r>
      <w:r w:rsidRPr="00F42B02">
        <w:t>A Free and Fair Digital Economy Protecting Privacy, Empowering Indians</w:t>
      </w:r>
      <w:r>
        <w:t xml:space="preserve">, </w:t>
      </w:r>
      <w:r w:rsidRPr="00F42B02">
        <w:rPr>
          <w:i/>
          <w:iCs/>
        </w:rPr>
        <w:t>Committee of Experts under the Chairmanship of Justice B.N. Srikrishna</w:t>
      </w:r>
      <w:r>
        <w:rPr>
          <w:i/>
          <w:iCs/>
        </w:rPr>
        <w:t xml:space="preserve">, </w:t>
      </w:r>
      <w:r>
        <w:t xml:space="preserve">Jul 27, 2018, </w:t>
      </w:r>
      <w:hyperlink r:id="rId2" w:history="1">
        <w:r w:rsidRPr="00A271DF">
          <w:rPr>
            <w:rStyle w:val="Hyperlink"/>
          </w:rPr>
          <w:t>https://www.meity.gov.in/writereaddata/files/Data_Protection_Committee_Report.pdf</w:t>
        </w:r>
      </w:hyperlink>
      <w:r>
        <w:t xml:space="preserve"> </w:t>
      </w:r>
    </w:p>
  </w:footnote>
  <w:footnote w:id="4">
    <w:p w14:paraId="1113BD8C" w14:textId="70AE9827" w:rsidR="00F42B02" w:rsidRDefault="00F42B02">
      <w:pPr>
        <w:pStyle w:val="FootnoteText"/>
      </w:pPr>
      <w:r>
        <w:rPr>
          <w:rStyle w:val="FootnoteReference"/>
        </w:rPr>
        <w:footnoteRef/>
      </w:r>
      <w:r>
        <w:t xml:space="preserve"> </w:t>
      </w:r>
      <w:r w:rsidRPr="00F42B02">
        <w:t>Section 40 of the Draft Bill.</w:t>
      </w:r>
    </w:p>
  </w:footnote>
  <w:footnote w:id="5">
    <w:p w14:paraId="2EA1C9F6" w14:textId="33E1656C" w:rsidR="00F42B02" w:rsidRDefault="00F42B02">
      <w:pPr>
        <w:pStyle w:val="FootnoteText"/>
      </w:pPr>
      <w:r>
        <w:rPr>
          <w:rStyle w:val="FootnoteReference"/>
        </w:rPr>
        <w:footnoteRef/>
      </w:r>
      <w:r>
        <w:t xml:space="preserve"> </w:t>
      </w:r>
      <w:r w:rsidRPr="00F42B02">
        <w:t xml:space="preserve">See: </w:t>
      </w:r>
      <w:hyperlink r:id="rId3" w:history="1">
        <w:r w:rsidRPr="00A271DF">
          <w:rPr>
            <w:rStyle w:val="Hyperlink"/>
          </w:rPr>
          <w:t>https://www.rbi.org.in/scripts/NotificationUser.aspx?Id=11244</w:t>
        </w:r>
      </w:hyperlink>
      <w:r w:rsidRPr="00F42B02">
        <w:t>.</w:t>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4FE21F" w14:textId="2A242E0A" w:rsidR="00C87EC4" w:rsidRPr="00C87EC4" w:rsidRDefault="00C87EC4" w:rsidP="00C87EC4">
    <w:pPr>
      <w:pStyle w:val="Header"/>
      <w:jc w:val="center"/>
      <w:rPr>
        <w:b/>
        <w:smallCaps/>
        <w:sz w:val="28"/>
        <w:szCs w:val="24"/>
        <w:lang w:val="en-US"/>
      </w:rPr>
    </w:pPr>
    <w:r w:rsidRPr="00C87EC4">
      <w:rPr>
        <w:b/>
        <w:smallCaps/>
        <w:sz w:val="28"/>
        <w:szCs w:val="24"/>
        <w:lang w:val="en-US"/>
      </w:rPr>
      <w:t>Laws related to Data Privacy and Localisation in India</w:t>
    </w:r>
  </w:p>
  <w:p w14:paraId="4E2FDC63" w14:textId="3E1E4404" w:rsidR="00C87EC4" w:rsidRDefault="00C87EC4">
    <w:pPr>
      <w:pStyle w:val="Header"/>
    </w:pPr>
  </w:p>
  <w:p w14:paraId="6A02EF31" w14:textId="77777777" w:rsidR="00C87EC4" w:rsidRDefault="00C87EC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478EE"/>
    <w:multiLevelType w:val="hybridMultilevel"/>
    <w:tmpl w:val="89305B5C"/>
    <w:lvl w:ilvl="0" w:tplc="48A2CE6E">
      <w:start w:val="1"/>
      <w:numFmt w:val="upperLetter"/>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nsid w:val="5B440FDD"/>
    <w:multiLevelType w:val="hybridMultilevel"/>
    <w:tmpl w:val="D0D415E6"/>
    <w:lvl w:ilvl="0" w:tplc="F19ED826">
      <w:start w:val="1"/>
      <w:numFmt w:val="upperRoman"/>
      <w:pStyle w:val="Heading3"/>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1"/>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ytDA0MrE0MzYxNDc2MTBQ0lEKTi0uzszPAykwqgUAON9OGSwAAAA="/>
  </w:docVars>
  <w:rsids>
    <w:rsidRoot w:val="00B82867"/>
    <w:rsid w:val="000B45FB"/>
    <w:rsid w:val="000D7817"/>
    <w:rsid w:val="00184940"/>
    <w:rsid w:val="00311260"/>
    <w:rsid w:val="00361406"/>
    <w:rsid w:val="009305EA"/>
    <w:rsid w:val="009E785D"/>
    <w:rsid w:val="00AD2E5D"/>
    <w:rsid w:val="00B82867"/>
    <w:rsid w:val="00C87EC4"/>
    <w:rsid w:val="00EB0EC8"/>
    <w:rsid w:val="00EB6127"/>
    <w:rsid w:val="00F23842"/>
    <w:rsid w:val="00F42B02"/>
    <w:rsid w:val="00F465E5"/>
    <w:rsid w:val="00F50BC5"/>
    <w:rsid w:val="00FD136A"/>
    <w:rsid w:val="00FE55A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AB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E55A8"/>
    <w:pPr>
      <w:keepNext/>
      <w:keepLines/>
      <w:pBdr>
        <w:top w:val="single" w:sz="12" w:space="7" w:color="auto"/>
        <w:left w:val="single" w:sz="12" w:space="5" w:color="auto"/>
        <w:bottom w:val="single" w:sz="12" w:space="7" w:color="auto"/>
        <w:right w:val="single" w:sz="12" w:space="4" w:color="auto"/>
      </w:pBdr>
      <w:spacing w:before="360" w:after="240" w:line="240" w:lineRule="auto"/>
      <w:jc w:val="center"/>
      <w:outlineLvl w:val="0"/>
    </w:pPr>
    <w:rPr>
      <w:rFonts w:eastAsiaTheme="majorEastAsia" w:cstheme="majorBidi"/>
      <w:b/>
      <w:smallCaps/>
      <w:sz w:val="28"/>
      <w:szCs w:val="32"/>
      <w:lang w:val="en-US"/>
    </w:rPr>
  </w:style>
  <w:style w:type="paragraph" w:styleId="Heading2">
    <w:name w:val="heading 2"/>
    <w:basedOn w:val="Normal"/>
    <w:next w:val="Normal"/>
    <w:link w:val="Heading2Char"/>
    <w:uiPriority w:val="9"/>
    <w:unhideWhenUsed/>
    <w:qFormat/>
    <w:rsid w:val="00361406"/>
    <w:pPr>
      <w:keepNext/>
      <w:keepLines/>
      <w:pBdr>
        <w:top w:val="thinThickMediumGap" w:sz="18" w:space="5" w:color="auto"/>
        <w:bottom w:val="thickThinMediumGap" w:sz="18" w:space="3" w:color="auto"/>
      </w:pBdr>
      <w:spacing w:before="280" w:after="240" w:line="240" w:lineRule="auto"/>
      <w:jc w:val="center"/>
      <w:outlineLvl w:val="1"/>
    </w:pPr>
    <w:rPr>
      <w:rFonts w:eastAsiaTheme="majorEastAsia" w:cstheme="majorBidi"/>
      <w:b/>
      <w:smallCaps/>
      <w:sz w:val="28"/>
      <w:szCs w:val="26"/>
    </w:rPr>
  </w:style>
  <w:style w:type="paragraph" w:styleId="Heading3">
    <w:name w:val="heading 3"/>
    <w:basedOn w:val="Normal"/>
    <w:next w:val="Normal"/>
    <w:link w:val="Heading3Char"/>
    <w:uiPriority w:val="9"/>
    <w:unhideWhenUsed/>
    <w:qFormat/>
    <w:rsid w:val="00FE55A8"/>
    <w:pPr>
      <w:keepNext/>
      <w:keepLines/>
      <w:numPr>
        <w:numId w:val="1"/>
      </w:numPr>
      <w:spacing w:before="120" w:after="120" w:line="276" w:lineRule="auto"/>
      <w:jc w:val="both"/>
      <w:outlineLvl w:val="2"/>
    </w:pPr>
    <w:rPr>
      <w:rFonts w:eastAsiaTheme="majorEastAsia" w:cstheme="majorBidi"/>
      <w:b/>
      <w:smallCaps/>
      <w:sz w:val="22"/>
      <w:szCs w:val="24"/>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55A8"/>
    <w:rPr>
      <w:rFonts w:eastAsiaTheme="majorEastAsia" w:cstheme="majorBidi"/>
      <w:b/>
      <w:smallCaps/>
      <w:sz w:val="28"/>
      <w:szCs w:val="32"/>
      <w:lang w:val="en-US"/>
    </w:rPr>
  </w:style>
  <w:style w:type="character" w:customStyle="1" w:styleId="Heading2Char">
    <w:name w:val="Heading 2 Char"/>
    <w:basedOn w:val="DefaultParagraphFont"/>
    <w:link w:val="Heading2"/>
    <w:uiPriority w:val="9"/>
    <w:rsid w:val="00361406"/>
    <w:rPr>
      <w:rFonts w:eastAsiaTheme="majorEastAsia" w:cstheme="majorBidi"/>
      <w:b/>
      <w:smallCaps/>
      <w:sz w:val="28"/>
      <w:szCs w:val="26"/>
    </w:rPr>
  </w:style>
  <w:style w:type="character" w:customStyle="1" w:styleId="Heading3Char">
    <w:name w:val="Heading 3 Char"/>
    <w:basedOn w:val="DefaultParagraphFont"/>
    <w:link w:val="Heading3"/>
    <w:uiPriority w:val="9"/>
    <w:rsid w:val="00FE55A8"/>
    <w:rPr>
      <w:rFonts w:eastAsiaTheme="majorEastAsia" w:cstheme="majorBidi"/>
      <w:b/>
      <w:smallCaps/>
      <w:sz w:val="22"/>
      <w:szCs w:val="24"/>
      <w:u w:val="single"/>
      <w:lang w:val="en-US"/>
    </w:rPr>
  </w:style>
  <w:style w:type="paragraph" w:styleId="Header">
    <w:name w:val="header"/>
    <w:basedOn w:val="Normal"/>
    <w:link w:val="HeaderChar"/>
    <w:uiPriority w:val="99"/>
    <w:unhideWhenUsed/>
    <w:rsid w:val="00F465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65E5"/>
  </w:style>
  <w:style w:type="paragraph" w:styleId="Footer">
    <w:name w:val="footer"/>
    <w:basedOn w:val="Normal"/>
    <w:link w:val="FooterChar"/>
    <w:uiPriority w:val="99"/>
    <w:unhideWhenUsed/>
    <w:rsid w:val="00F465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65E5"/>
  </w:style>
  <w:style w:type="paragraph" w:styleId="FootnoteText">
    <w:name w:val="footnote text"/>
    <w:basedOn w:val="Normal"/>
    <w:link w:val="FootnoteTextChar"/>
    <w:uiPriority w:val="99"/>
    <w:semiHidden/>
    <w:unhideWhenUsed/>
    <w:rsid w:val="00F42B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2B02"/>
    <w:rPr>
      <w:sz w:val="20"/>
      <w:szCs w:val="20"/>
    </w:rPr>
  </w:style>
  <w:style w:type="character" w:styleId="FootnoteReference">
    <w:name w:val="footnote reference"/>
    <w:basedOn w:val="DefaultParagraphFont"/>
    <w:uiPriority w:val="99"/>
    <w:semiHidden/>
    <w:unhideWhenUsed/>
    <w:rsid w:val="00F42B02"/>
    <w:rPr>
      <w:vertAlign w:val="superscript"/>
    </w:rPr>
  </w:style>
  <w:style w:type="character" w:styleId="Hyperlink">
    <w:name w:val="Hyperlink"/>
    <w:basedOn w:val="DefaultParagraphFont"/>
    <w:uiPriority w:val="99"/>
    <w:unhideWhenUsed/>
    <w:rsid w:val="00F42B02"/>
    <w:rPr>
      <w:color w:val="0563C1" w:themeColor="hyperlink"/>
      <w:u w:val="single"/>
    </w:rPr>
  </w:style>
  <w:style w:type="character" w:customStyle="1" w:styleId="UnresolvedMention1">
    <w:name w:val="Unresolved Mention1"/>
    <w:basedOn w:val="DefaultParagraphFont"/>
    <w:uiPriority w:val="99"/>
    <w:semiHidden/>
    <w:unhideWhenUsed/>
    <w:rsid w:val="00F42B02"/>
    <w:rPr>
      <w:color w:val="605E5C"/>
      <w:shd w:val="clear" w:color="auto" w:fill="E1DFDD"/>
    </w:rPr>
  </w:style>
  <w:style w:type="paragraph" w:styleId="ListParagraph">
    <w:name w:val="List Paragraph"/>
    <w:basedOn w:val="Normal"/>
    <w:uiPriority w:val="34"/>
    <w:qFormat/>
    <w:rsid w:val="00F42B0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E55A8"/>
    <w:pPr>
      <w:keepNext/>
      <w:keepLines/>
      <w:pBdr>
        <w:top w:val="single" w:sz="12" w:space="7" w:color="auto"/>
        <w:left w:val="single" w:sz="12" w:space="5" w:color="auto"/>
        <w:bottom w:val="single" w:sz="12" w:space="7" w:color="auto"/>
        <w:right w:val="single" w:sz="12" w:space="4" w:color="auto"/>
      </w:pBdr>
      <w:spacing w:before="360" w:after="240" w:line="240" w:lineRule="auto"/>
      <w:jc w:val="center"/>
      <w:outlineLvl w:val="0"/>
    </w:pPr>
    <w:rPr>
      <w:rFonts w:eastAsiaTheme="majorEastAsia" w:cstheme="majorBidi"/>
      <w:b/>
      <w:smallCaps/>
      <w:sz w:val="28"/>
      <w:szCs w:val="32"/>
      <w:lang w:val="en-US"/>
    </w:rPr>
  </w:style>
  <w:style w:type="paragraph" w:styleId="Heading2">
    <w:name w:val="heading 2"/>
    <w:basedOn w:val="Normal"/>
    <w:next w:val="Normal"/>
    <w:link w:val="Heading2Char"/>
    <w:uiPriority w:val="9"/>
    <w:unhideWhenUsed/>
    <w:qFormat/>
    <w:rsid w:val="00361406"/>
    <w:pPr>
      <w:keepNext/>
      <w:keepLines/>
      <w:pBdr>
        <w:top w:val="thinThickMediumGap" w:sz="18" w:space="5" w:color="auto"/>
        <w:bottom w:val="thickThinMediumGap" w:sz="18" w:space="3" w:color="auto"/>
      </w:pBdr>
      <w:spacing w:before="280" w:after="240" w:line="240" w:lineRule="auto"/>
      <w:jc w:val="center"/>
      <w:outlineLvl w:val="1"/>
    </w:pPr>
    <w:rPr>
      <w:rFonts w:eastAsiaTheme="majorEastAsia" w:cstheme="majorBidi"/>
      <w:b/>
      <w:smallCaps/>
      <w:sz w:val="28"/>
      <w:szCs w:val="26"/>
    </w:rPr>
  </w:style>
  <w:style w:type="paragraph" w:styleId="Heading3">
    <w:name w:val="heading 3"/>
    <w:basedOn w:val="Normal"/>
    <w:next w:val="Normal"/>
    <w:link w:val="Heading3Char"/>
    <w:uiPriority w:val="9"/>
    <w:unhideWhenUsed/>
    <w:qFormat/>
    <w:rsid w:val="00FE55A8"/>
    <w:pPr>
      <w:keepNext/>
      <w:keepLines/>
      <w:numPr>
        <w:numId w:val="1"/>
      </w:numPr>
      <w:spacing w:before="120" w:after="120" w:line="276" w:lineRule="auto"/>
      <w:jc w:val="both"/>
      <w:outlineLvl w:val="2"/>
    </w:pPr>
    <w:rPr>
      <w:rFonts w:eastAsiaTheme="majorEastAsia" w:cstheme="majorBidi"/>
      <w:b/>
      <w:smallCaps/>
      <w:sz w:val="22"/>
      <w:szCs w:val="24"/>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55A8"/>
    <w:rPr>
      <w:rFonts w:eastAsiaTheme="majorEastAsia" w:cstheme="majorBidi"/>
      <w:b/>
      <w:smallCaps/>
      <w:sz w:val="28"/>
      <w:szCs w:val="32"/>
      <w:lang w:val="en-US"/>
    </w:rPr>
  </w:style>
  <w:style w:type="character" w:customStyle="1" w:styleId="Heading2Char">
    <w:name w:val="Heading 2 Char"/>
    <w:basedOn w:val="DefaultParagraphFont"/>
    <w:link w:val="Heading2"/>
    <w:uiPriority w:val="9"/>
    <w:rsid w:val="00361406"/>
    <w:rPr>
      <w:rFonts w:eastAsiaTheme="majorEastAsia" w:cstheme="majorBidi"/>
      <w:b/>
      <w:smallCaps/>
      <w:sz w:val="28"/>
      <w:szCs w:val="26"/>
    </w:rPr>
  </w:style>
  <w:style w:type="character" w:customStyle="1" w:styleId="Heading3Char">
    <w:name w:val="Heading 3 Char"/>
    <w:basedOn w:val="DefaultParagraphFont"/>
    <w:link w:val="Heading3"/>
    <w:uiPriority w:val="9"/>
    <w:rsid w:val="00FE55A8"/>
    <w:rPr>
      <w:rFonts w:eastAsiaTheme="majorEastAsia" w:cstheme="majorBidi"/>
      <w:b/>
      <w:smallCaps/>
      <w:sz w:val="22"/>
      <w:szCs w:val="24"/>
      <w:u w:val="single"/>
      <w:lang w:val="en-US"/>
    </w:rPr>
  </w:style>
  <w:style w:type="paragraph" w:styleId="Header">
    <w:name w:val="header"/>
    <w:basedOn w:val="Normal"/>
    <w:link w:val="HeaderChar"/>
    <w:uiPriority w:val="99"/>
    <w:unhideWhenUsed/>
    <w:rsid w:val="00F465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65E5"/>
  </w:style>
  <w:style w:type="paragraph" w:styleId="Footer">
    <w:name w:val="footer"/>
    <w:basedOn w:val="Normal"/>
    <w:link w:val="FooterChar"/>
    <w:uiPriority w:val="99"/>
    <w:unhideWhenUsed/>
    <w:rsid w:val="00F465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65E5"/>
  </w:style>
  <w:style w:type="paragraph" w:styleId="FootnoteText">
    <w:name w:val="footnote text"/>
    <w:basedOn w:val="Normal"/>
    <w:link w:val="FootnoteTextChar"/>
    <w:uiPriority w:val="99"/>
    <w:semiHidden/>
    <w:unhideWhenUsed/>
    <w:rsid w:val="00F42B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2B02"/>
    <w:rPr>
      <w:sz w:val="20"/>
      <w:szCs w:val="20"/>
    </w:rPr>
  </w:style>
  <w:style w:type="character" w:styleId="FootnoteReference">
    <w:name w:val="footnote reference"/>
    <w:basedOn w:val="DefaultParagraphFont"/>
    <w:uiPriority w:val="99"/>
    <w:semiHidden/>
    <w:unhideWhenUsed/>
    <w:rsid w:val="00F42B02"/>
    <w:rPr>
      <w:vertAlign w:val="superscript"/>
    </w:rPr>
  </w:style>
  <w:style w:type="character" w:styleId="Hyperlink">
    <w:name w:val="Hyperlink"/>
    <w:basedOn w:val="DefaultParagraphFont"/>
    <w:uiPriority w:val="99"/>
    <w:unhideWhenUsed/>
    <w:rsid w:val="00F42B02"/>
    <w:rPr>
      <w:color w:val="0563C1" w:themeColor="hyperlink"/>
      <w:u w:val="single"/>
    </w:rPr>
  </w:style>
  <w:style w:type="character" w:customStyle="1" w:styleId="UnresolvedMention1">
    <w:name w:val="Unresolved Mention1"/>
    <w:basedOn w:val="DefaultParagraphFont"/>
    <w:uiPriority w:val="99"/>
    <w:semiHidden/>
    <w:unhideWhenUsed/>
    <w:rsid w:val="00F42B02"/>
    <w:rPr>
      <w:color w:val="605E5C"/>
      <w:shd w:val="clear" w:color="auto" w:fill="E1DFDD"/>
    </w:rPr>
  </w:style>
  <w:style w:type="paragraph" w:styleId="ListParagraph">
    <w:name w:val="List Paragraph"/>
    <w:basedOn w:val="Normal"/>
    <w:uiPriority w:val="34"/>
    <w:qFormat/>
    <w:rsid w:val="00F42B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rbi.org.in/scripts/NotificationUser.aspx?Id=11244" TargetMode="External"/><Relationship Id="rId2" Type="http://schemas.openxmlformats.org/officeDocument/2006/relationships/hyperlink" Target="https://www.meity.gov.in/writereaddata/files/Data_Protection_Committee_Report.pdf" TargetMode="External"/><Relationship Id="rId1" Type="http://schemas.openxmlformats.org/officeDocument/2006/relationships/hyperlink" Target="https://www.nipfp.org.in/media/medialibrary/2018/10/WP_2018_24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3B5F19-B99B-45A0-84B0-1CD0A535A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7</Pages>
  <Words>2207</Words>
  <Characters>12581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Rhitik Palliwar</dc:creator>
  <cp:keywords/>
  <dc:description/>
  <cp:lastModifiedBy>Rhitik Palliwar</cp:lastModifiedBy>
  <cp:revision>5</cp:revision>
  <dcterms:created xsi:type="dcterms:W3CDTF">2022-05-27T11:36:00Z</dcterms:created>
  <dcterms:modified xsi:type="dcterms:W3CDTF">2022-06-10T08:57:00Z</dcterms:modified>
</cp:coreProperties>
</file>