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CE2828" w14:textId="563279FB" w:rsidR="00A868C4" w:rsidRPr="00A25C49" w:rsidRDefault="00BA002D" w:rsidP="00132F6F">
      <w:pPr>
        <w:spacing w:line="360" w:lineRule="auto"/>
        <w:jc w:val="center"/>
        <w:rPr>
          <w:rFonts w:ascii="Garamond" w:hAnsi="Garamond" w:cs="Times New Roman"/>
          <w:b/>
          <w:caps/>
          <w:color w:val="000000" w:themeColor="text1"/>
          <w:sz w:val="28"/>
          <w:lang w:val="en-US"/>
        </w:rPr>
      </w:pPr>
      <w:bookmarkStart w:id="0" w:name="_GoBack"/>
      <w:bookmarkEnd w:id="0"/>
      <w:r w:rsidRPr="00A25C49">
        <w:rPr>
          <w:rFonts w:ascii="Garamond" w:hAnsi="Garamond" w:cs="Times New Roman"/>
          <w:b/>
          <w:caps/>
          <w:color w:val="000000" w:themeColor="text1"/>
          <w:sz w:val="28"/>
          <w:lang w:val="en-US"/>
        </w:rPr>
        <w:t>CSR</w:t>
      </w:r>
      <w:r w:rsidR="00A868C4" w:rsidRPr="00A25C49">
        <w:rPr>
          <w:rFonts w:ascii="Garamond" w:hAnsi="Garamond" w:cs="Times New Roman"/>
          <w:b/>
          <w:caps/>
          <w:color w:val="000000" w:themeColor="text1"/>
          <w:sz w:val="28"/>
          <w:lang w:val="en-US"/>
        </w:rPr>
        <w:t xml:space="preserve"> and Taxation- A Game of Exemptions and Deceptions</w:t>
      </w:r>
    </w:p>
    <w:p w14:paraId="38EE4455" w14:textId="77777777" w:rsidR="00132F6F" w:rsidRDefault="00132F6F" w:rsidP="00132F6F">
      <w:pPr>
        <w:spacing w:line="360" w:lineRule="auto"/>
        <w:jc w:val="both"/>
        <w:rPr>
          <w:rFonts w:ascii="Garamond" w:hAnsi="Garamond" w:cs="Times New Roman"/>
          <w:color w:val="000000" w:themeColor="text1"/>
          <w:lang w:val="en-US"/>
        </w:rPr>
      </w:pPr>
    </w:p>
    <w:p w14:paraId="344CE5E7" w14:textId="0B8246E8" w:rsidR="00EC50C1" w:rsidRPr="00A25C49" w:rsidRDefault="00EC50C1" w:rsidP="00132F6F">
      <w:pPr>
        <w:spacing w:line="360" w:lineRule="auto"/>
        <w:jc w:val="both"/>
        <w:rPr>
          <w:rFonts w:ascii="Garamond" w:hAnsi="Garamond" w:cs="Times New Roman"/>
          <w:color w:val="000000" w:themeColor="text1"/>
          <w:lang w:val="en-US"/>
        </w:rPr>
      </w:pPr>
      <w:r w:rsidRPr="00A25C49">
        <w:rPr>
          <w:rFonts w:ascii="Garamond" w:hAnsi="Garamond" w:cs="Times New Roman"/>
          <w:color w:val="000000" w:themeColor="text1"/>
          <w:lang w:val="en-US"/>
        </w:rPr>
        <w:t>“The brands that will be big in future will be those that tap into real social changes that are taking place.”</w:t>
      </w:r>
      <w:r w:rsidR="00165887">
        <w:rPr>
          <w:rFonts w:ascii="Garamond" w:hAnsi="Garamond" w:cs="Times New Roman"/>
          <w:color w:val="000000" w:themeColor="text1"/>
          <w:lang w:val="en-US"/>
        </w:rPr>
        <w:t xml:space="preserve"> </w:t>
      </w:r>
    </w:p>
    <w:p w14:paraId="051C9880" w14:textId="77777777" w:rsidR="00EC50C1" w:rsidRPr="00A25C49" w:rsidRDefault="00EC50C1" w:rsidP="00132F6F">
      <w:pPr>
        <w:pStyle w:val="ListParagraph"/>
        <w:numPr>
          <w:ilvl w:val="0"/>
          <w:numId w:val="1"/>
        </w:numPr>
        <w:spacing w:line="360" w:lineRule="auto"/>
        <w:jc w:val="both"/>
        <w:rPr>
          <w:rFonts w:ascii="Garamond" w:hAnsi="Garamond" w:cs="Times New Roman"/>
          <w:color w:val="000000" w:themeColor="text1"/>
          <w:sz w:val="24"/>
          <w:szCs w:val="24"/>
          <w:lang w:val="en-US"/>
        </w:rPr>
      </w:pPr>
      <w:r w:rsidRPr="00A25C49">
        <w:rPr>
          <w:rFonts w:ascii="Garamond" w:hAnsi="Garamond" w:cs="Times New Roman"/>
          <w:color w:val="000000" w:themeColor="text1"/>
          <w:sz w:val="24"/>
          <w:szCs w:val="24"/>
          <w:lang w:val="en-US"/>
        </w:rPr>
        <w:t>Sir Michael Perry (CEO, Centrica PLC)</w:t>
      </w:r>
    </w:p>
    <w:p w14:paraId="492B2E0E" w14:textId="7D9CD72E" w:rsidR="00527A8D" w:rsidRPr="00A25C49" w:rsidRDefault="00EC50C1" w:rsidP="00132F6F">
      <w:pPr>
        <w:spacing w:line="360" w:lineRule="auto"/>
        <w:jc w:val="both"/>
        <w:rPr>
          <w:rFonts w:ascii="Garamond" w:hAnsi="Garamond" w:cs="Times New Roman"/>
          <w:color w:val="000000" w:themeColor="text1"/>
          <w:shd w:val="clear" w:color="auto" w:fill="FFFFFF"/>
        </w:rPr>
      </w:pPr>
      <w:r w:rsidRPr="00A25C49">
        <w:rPr>
          <w:rFonts w:ascii="Garamond" w:hAnsi="Garamond" w:cs="Times New Roman"/>
          <w:color w:val="000000" w:themeColor="text1"/>
          <w:lang w:val="en-US"/>
        </w:rPr>
        <w:t xml:space="preserve">In this ever-evolving world which has made a shift towards the concept of greater good in the past decade, maintaining and developing a socially responsible corporation is the need of the hour. Corporate Social Responsibility, widely termed as CSR is one such concept that helps corporations build brand value and loyalty. At the same </w:t>
      </w:r>
      <w:r w:rsidR="00A868C4" w:rsidRPr="00A25C49">
        <w:rPr>
          <w:rFonts w:ascii="Garamond" w:hAnsi="Garamond" w:cs="Times New Roman"/>
          <w:color w:val="000000" w:themeColor="text1"/>
          <w:lang w:val="en-US"/>
        </w:rPr>
        <w:t>time,</w:t>
      </w:r>
      <w:r w:rsidRPr="00A25C49">
        <w:rPr>
          <w:rFonts w:ascii="Garamond" w:hAnsi="Garamond" w:cs="Times New Roman"/>
          <w:color w:val="000000" w:themeColor="text1"/>
          <w:lang w:val="en-US"/>
        </w:rPr>
        <w:t xml:space="preserve"> it allows them to give back to the society. In most countries this is seen as a rather philanthropic effort but in India CSR is also a legal responsibility for the companies. The </w:t>
      </w:r>
      <w:hyperlink r:id="rId7" w:history="1">
        <w:r w:rsidRPr="00A25C49">
          <w:rPr>
            <w:rStyle w:val="Hyperlink"/>
            <w:rFonts w:ascii="Garamond" w:hAnsi="Garamond" w:cs="Times New Roman"/>
            <w:color w:val="000000" w:themeColor="text1"/>
            <w:lang w:val="en-US"/>
          </w:rPr>
          <w:t>UNIDO defines CSR</w:t>
        </w:r>
      </w:hyperlink>
      <w:r w:rsidRPr="00A25C49">
        <w:rPr>
          <w:rFonts w:ascii="Garamond" w:hAnsi="Garamond" w:cs="Times New Roman"/>
          <w:color w:val="000000" w:themeColor="text1"/>
          <w:lang w:val="en-US"/>
        </w:rPr>
        <w:t xml:space="preserve"> as, “A </w:t>
      </w:r>
      <w:r w:rsidRPr="00A25C49">
        <w:rPr>
          <w:rFonts w:ascii="Garamond" w:hAnsi="Garamond" w:cs="Times New Roman"/>
          <w:color w:val="000000" w:themeColor="text1"/>
          <w:shd w:val="clear" w:color="auto" w:fill="FFFFFF"/>
        </w:rPr>
        <w:t>management concept whereby companies integrate social and environmental concerns in their business operations and interactions with their stakeholders. CSR is generally understood as being the way through which a company achieves a balance of economic, environmental and social imperatives (Triple-Bottom-Line-Approach), while at the same time addressing the expectations of shareholders and stakeholders.”</w:t>
      </w:r>
    </w:p>
    <w:p w14:paraId="04F7F4FA" w14:textId="77777777" w:rsidR="00A25C49" w:rsidRPr="00A25C49" w:rsidRDefault="00A25C49" w:rsidP="00132F6F">
      <w:pPr>
        <w:spacing w:line="360" w:lineRule="auto"/>
        <w:jc w:val="both"/>
        <w:rPr>
          <w:rFonts w:ascii="Garamond" w:hAnsi="Garamond" w:cs="Times New Roman"/>
          <w:color w:val="000000" w:themeColor="text1"/>
          <w:shd w:val="clear" w:color="auto" w:fill="FFFFFF"/>
        </w:rPr>
      </w:pPr>
    </w:p>
    <w:p w14:paraId="3E4E3B34" w14:textId="1C1782B2" w:rsidR="00EC50C1" w:rsidRPr="00A25C49" w:rsidRDefault="00EC50C1" w:rsidP="00132F6F">
      <w:pPr>
        <w:spacing w:line="360" w:lineRule="auto"/>
        <w:jc w:val="both"/>
        <w:rPr>
          <w:rFonts w:ascii="Garamond" w:hAnsi="Garamond" w:cs="Times New Roman"/>
          <w:color w:val="000000" w:themeColor="text1"/>
          <w:lang w:val="en-US"/>
        </w:rPr>
      </w:pPr>
      <w:r w:rsidRPr="00A25C49">
        <w:rPr>
          <w:rFonts w:ascii="Garamond" w:hAnsi="Garamond" w:cs="Times New Roman"/>
          <w:color w:val="000000" w:themeColor="text1"/>
          <w:lang w:val="en-US"/>
        </w:rPr>
        <w:t xml:space="preserve">While private institutions directly contribute towards the welfare of our society through this method, they also indirectly contribute by way of paying taxes. The Government plays its own part by creating welfare policies to empower these people. However, these welfare policies need financial resources for their successful implementation. These resources come from the tax payers of our country. The taxation regime is monitored and collected by the Income Tax Government to the Central Government of India. That in turn is monitored by the </w:t>
      </w:r>
      <w:hyperlink r:id="rId8" w:history="1">
        <w:r w:rsidRPr="00A25C49">
          <w:rPr>
            <w:rStyle w:val="Hyperlink"/>
            <w:rFonts w:ascii="Garamond" w:hAnsi="Garamond" w:cs="Times New Roman"/>
            <w:color w:val="000000" w:themeColor="text1"/>
            <w:lang w:val="en-US"/>
          </w:rPr>
          <w:t>Income</w:t>
        </w:r>
        <w:r w:rsidR="00A25C49" w:rsidRPr="00A25C49">
          <w:rPr>
            <w:rStyle w:val="Hyperlink"/>
            <w:rFonts w:ascii="Garamond" w:hAnsi="Garamond" w:cs="Times New Roman"/>
            <w:color w:val="000000" w:themeColor="text1"/>
            <w:lang w:val="en-US"/>
          </w:rPr>
          <w:t>-t</w:t>
        </w:r>
        <w:r w:rsidRPr="00A25C49">
          <w:rPr>
            <w:rStyle w:val="Hyperlink"/>
            <w:rFonts w:ascii="Garamond" w:hAnsi="Garamond" w:cs="Times New Roman"/>
            <w:color w:val="000000" w:themeColor="text1"/>
            <w:lang w:val="en-US"/>
          </w:rPr>
          <w:t>ax Act, 1961</w:t>
        </w:r>
      </w:hyperlink>
      <w:r w:rsidRPr="00A25C49">
        <w:rPr>
          <w:rFonts w:ascii="Garamond" w:hAnsi="Garamond" w:cs="Times New Roman"/>
          <w:color w:val="000000" w:themeColor="text1"/>
          <w:lang w:val="en-US"/>
        </w:rPr>
        <w:t xml:space="preserve">. It is only legislative document having authority over the levy, administration and collection of taxes in India. </w:t>
      </w:r>
    </w:p>
    <w:p w14:paraId="0ECACCF8" w14:textId="77777777" w:rsidR="00A758CF" w:rsidRPr="00A25C49" w:rsidRDefault="00A758CF" w:rsidP="00132F6F">
      <w:pPr>
        <w:spacing w:line="360" w:lineRule="auto"/>
        <w:jc w:val="both"/>
        <w:rPr>
          <w:rFonts w:ascii="Garamond" w:hAnsi="Garamond" w:cs="Times New Roman"/>
          <w:color w:val="000000" w:themeColor="text1"/>
          <w:lang w:val="en-US"/>
        </w:rPr>
      </w:pPr>
    </w:p>
    <w:p w14:paraId="64CC1835" w14:textId="74443CF1" w:rsidR="00EC50C1" w:rsidRPr="00A25C49" w:rsidRDefault="00EC50C1" w:rsidP="00132F6F">
      <w:pPr>
        <w:spacing w:line="360" w:lineRule="auto"/>
        <w:jc w:val="both"/>
        <w:rPr>
          <w:rFonts w:ascii="Garamond" w:hAnsi="Garamond" w:cs="Times New Roman"/>
          <w:b/>
          <w:color w:val="000000" w:themeColor="text1"/>
          <w:shd w:val="clear" w:color="auto" w:fill="FFFFFF"/>
        </w:rPr>
      </w:pPr>
      <w:r w:rsidRPr="00A25C49">
        <w:rPr>
          <w:rFonts w:ascii="Garamond" w:hAnsi="Garamond" w:cs="Times New Roman"/>
          <w:b/>
          <w:color w:val="000000" w:themeColor="text1"/>
          <w:shd w:val="clear" w:color="auto" w:fill="FFFFFF"/>
        </w:rPr>
        <w:t xml:space="preserve">The Indian </w:t>
      </w:r>
      <w:r w:rsidR="004C434F">
        <w:rPr>
          <w:rFonts w:ascii="Garamond" w:hAnsi="Garamond" w:cs="Times New Roman"/>
          <w:b/>
          <w:color w:val="000000" w:themeColor="text1"/>
          <w:shd w:val="clear" w:color="auto" w:fill="FFFFFF"/>
        </w:rPr>
        <w:t>W</w:t>
      </w:r>
      <w:r w:rsidRPr="00A25C49">
        <w:rPr>
          <w:rFonts w:ascii="Garamond" w:hAnsi="Garamond" w:cs="Times New Roman"/>
          <w:b/>
          <w:color w:val="000000" w:themeColor="text1"/>
          <w:shd w:val="clear" w:color="auto" w:fill="FFFFFF"/>
        </w:rPr>
        <w:t xml:space="preserve">elfare </w:t>
      </w:r>
      <w:r w:rsidR="004C434F">
        <w:rPr>
          <w:rFonts w:ascii="Garamond" w:hAnsi="Garamond" w:cs="Times New Roman"/>
          <w:b/>
          <w:color w:val="000000" w:themeColor="text1"/>
          <w:shd w:val="clear" w:color="auto" w:fill="FFFFFF"/>
        </w:rPr>
        <w:t>D</w:t>
      </w:r>
      <w:r w:rsidRPr="00A25C49">
        <w:rPr>
          <w:rFonts w:ascii="Garamond" w:hAnsi="Garamond" w:cs="Times New Roman"/>
          <w:b/>
          <w:color w:val="000000" w:themeColor="text1"/>
          <w:shd w:val="clear" w:color="auto" w:fill="FFFFFF"/>
        </w:rPr>
        <w:t xml:space="preserve">ecision for </w:t>
      </w:r>
      <w:r w:rsidR="004C434F">
        <w:rPr>
          <w:rFonts w:ascii="Garamond" w:hAnsi="Garamond" w:cs="Times New Roman"/>
          <w:b/>
          <w:color w:val="000000" w:themeColor="text1"/>
          <w:shd w:val="clear" w:color="auto" w:fill="FFFFFF"/>
        </w:rPr>
        <w:t>C</w:t>
      </w:r>
      <w:r w:rsidRPr="00A25C49">
        <w:rPr>
          <w:rFonts w:ascii="Garamond" w:hAnsi="Garamond" w:cs="Times New Roman"/>
          <w:b/>
          <w:color w:val="000000" w:themeColor="text1"/>
          <w:shd w:val="clear" w:color="auto" w:fill="FFFFFF"/>
        </w:rPr>
        <w:t xml:space="preserve">ohesiveness between </w:t>
      </w:r>
      <w:r w:rsidRPr="00A25C49">
        <w:rPr>
          <w:rFonts w:ascii="Garamond" w:hAnsi="Garamond" w:cs="Times New Roman"/>
          <w:b/>
          <w:i/>
          <w:color w:val="000000" w:themeColor="text1"/>
          <w:shd w:val="clear" w:color="auto" w:fill="FFFFFF"/>
        </w:rPr>
        <w:t>Sarkar</w:t>
      </w:r>
      <w:r w:rsidRPr="00A25C49">
        <w:rPr>
          <w:rFonts w:ascii="Garamond" w:hAnsi="Garamond" w:cs="Times New Roman"/>
          <w:b/>
          <w:color w:val="000000" w:themeColor="text1"/>
          <w:shd w:val="clear" w:color="auto" w:fill="FFFFFF"/>
        </w:rPr>
        <w:t xml:space="preserve"> and </w:t>
      </w:r>
      <w:r w:rsidRPr="00A25C49">
        <w:rPr>
          <w:rFonts w:ascii="Garamond" w:hAnsi="Garamond" w:cs="Times New Roman"/>
          <w:b/>
          <w:i/>
          <w:color w:val="000000" w:themeColor="text1"/>
          <w:shd w:val="clear" w:color="auto" w:fill="FFFFFF"/>
        </w:rPr>
        <w:t>Samaj</w:t>
      </w:r>
    </w:p>
    <w:p w14:paraId="04C9966E" w14:textId="77777777" w:rsidR="00EC50C1" w:rsidRPr="00A25C49" w:rsidRDefault="00EC50C1" w:rsidP="00132F6F">
      <w:pPr>
        <w:spacing w:line="360" w:lineRule="auto"/>
        <w:jc w:val="both"/>
        <w:rPr>
          <w:rFonts w:ascii="Garamond" w:hAnsi="Garamond" w:cs="Times New Roman"/>
          <w:color w:val="000000" w:themeColor="text1"/>
          <w:shd w:val="clear" w:color="auto" w:fill="FFFFFF"/>
        </w:rPr>
      </w:pPr>
      <w:r w:rsidRPr="00A25C49">
        <w:rPr>
          <w:rFonts w:ascii="Garamond" w:hAnsi="Garamond" w:cs="Times New Roman"/>
          <w:color w:val="000000" w:themeColor="text1"/>
          <w:shd w:val="clear" w:color="auto" w:fill="FFFFFF"/>
        </w:rPr>
        <w:t xml:space="preserve">Before CSR was given legal recognition in India, it was majorly seen as a voluntary activity that companies undertook at irregular intervals of time and hence no specific department looked after the same. Development programmes in India frequently fail to reach the base population for a myriad of purposes, including corruption, bureaucracy, and population. In such circumstances, corporations cannot simply pay taxes to absolve themselves of their social responsibilities. When money is injected into CSR efforts indirectly and managed by individual enterprises, the impact is going to be considerably greater. </w:t>
      </w:r>
    </w:p>
    <w:p w14:paraId="53EA5FB9" w14:textId="712C92E3" w:rsidR="00A758CF" w:rsidRPr="00132F6F" w:rsidRDefault="00EC50C1" w:rsidP="00132F6F">
      <w:pPr>
        <w:spacing w:line="360" w:lineRule="auto"/>
        <w:jc w:val="both"/>
        <w:rPr>
          <w:rFonts w:ascii="Garamond" w:hAnsi="Garamond" w:cs="Times New Roman"/>
          <w:color w:val="000000" w:themeColor="text1"/>
          <w:lang w:val="en-US"/>
        </w:rPr>
      </w:pPr>
      <w:r w:rsidRPr="00A25C49">
        <w:rPr>
          <w:rFonts w:ascii="Garamond" w:hAnsi="Garamond" w:cs="Times New Roman"/>
          <w:color w:val="000000" w:themeColor="text1"/>
          <w:shd w:val="clear" w:color="auto" w:fill="FFFFFF"/>
        </w:rPr>
        <w:lastRenderedPageBreak/>
        <w:t xml:space="preserve">In the past few years, various rules and regulations have been enacted by the government to regulate CSR activities. With the release of the Voluntary Guidelines on Corporate Social Responsibility in 2009, the Ministry of Corporate Affairs launched its first formal attempt at regulating CSR. </w:t>
      </w:r>
      <w:hyperlink r:id="rId9" w:history="1">
        <w:r w:rsidRPr="00A25C49">
          <w:rPr>
            <w:rStyle w:val="Hyperlink"/>
            <w:rFonts w:ascii="Garamond" w:hAnsi="Garamond" w:cs="Times New Roman"/>
            <w:color w:val="000000" w:themeColor="text1"/>
            <w:shd w:val="clear" w:color="auto" w:fill="FFFFFF"/>
          </w:rPr>
          <w:t>The National Voluntary Guidelines on Social, Environmental, and Economic Responsibilities of Business</w:t>
        </w:r>
      </w:hyperlink>
      <w:r w:rsidRPr="00A25C49">
        <w:rPr>
          <w:rFonts w:ascii="Garamond" w:hAnsi="Garamond" w:cs="Times New Roman"/>
          <w:color w:val="000000" w:themeColor="text1"/>
          <w:shd w:val="clear" w:color="auto" w:fill="FFFFFF"/>
        </w:rPr>
        <w:t xml:space="preserve"> was released by the Ministry of Corporate Affairs in July 2011. Since then, the Indian government has taken a number of additional steps to address CSR concerns, including requiring central public sector enterprises(CPSC) to set up a CSR budget. </w:t>
      </w:r>
      <w:hyperlink r:id="rId10" w:history="1">
        <w:r w:rsidRPr="00A25C49">
          <w:rPr>
            <w:rStyle w:val="Hyperlink"/>
            <w:rFonts w:ascii="Garamond" w:hAnsi="Garamond" w:cs="Times New Roman"/>
            <w:color w:val="000000" w:themeColor="text1"/>
            <w:shd w:val="clear" w:color="auto" w:fill="FFFFFF"/>
          </w:rPr>
          <w:t>The Companies Act of 2013</w:t>
        </w:r>
      </w:hyperlink>
      <w:r w:rsidRPr="00A25C49">
        <w:rPr>
          <w:rFonts w:ascii="Garamond" w:hAnsi="Garamond" w:cs="Times New Roman"/>
          <w:color w:val="000000" w:themeColor="text1"/>
          <w:shd w:val="clear" w:color="auto" w:fill="FFFFFF"/>
        </w:rPr>
        <w:t xml:space="preserve"> was finally passed in 2013, and the CSR Rules came into effect in 2014. </w:t>
      </w:r>
      <w:hyperlink r:id="rId11" w:history="1">
        <w:r w:rsidRPr="00A25C49">
          <w:rPr>
            <w:rStyle w:val="Hyperlink"/>
            <w:rFonts w:ascii="Garamond" w:hAnsi="Garamond" w:cs="Times New Roman"/>
            <w:color w:val="000000" w:themeColor="text1"/>
            <w:lang w:val="en-US"/>
          </w:rPr>
          <w:t>Section 135</w:t>
        </w:r>
      </w:hyperlink>
      <w:r w:rsidRPr="00A25C49">
        <w:rPr>
          <w:rFonts w:ascii="Garamond" w:hAnsi="Garamond" w:cs="Times New Roman"/>
          <w:color w:val="000000" w:themeColor="text1"/>
          <w:lang w:val="en-US"/>
        </w:rPr>
        <w:t xml:space="preserve"> was included in the Companies Act making CSR a mandatory action. The specifications laid down said that, “any company having a net worth of </w:t>
      </w:r>
      <w:r w:rsidR="00132F6F">
        <w:rPr>
          <w:rFonts w:ascii="Cambria Math" w:hAnsi="Cambria Math" w:cs="Times New Roman"/>
          <w:color w:val="000000" w:themeColor="text1"/>
          <w:lang w:val="en-US"/>
        </w:rPr>
        <w:t>₹</w:t>
      </w:r>
      <w:r w:rsidR="00132F6F">
        <w:rPr>
          <w:rFonts w:ascii="Garamond" w:hAnsi="Garamond" w:cs="Times New Roman"/>
          <w:color w:val="000000" w:themeColor="text1"/>
          <w:lang w:val="en-US"/>
        </w:rPr>
        <w:t xml:space="preserve"> </w:t>
      </w:r>
      <w:r w:rsidRPr="00A25C49">
        <w:rPr>
          <w:rFonts w:ascii="Garamond" w:hAnsi="Garamond" w:cs="Times New Roman"/>
          <w:color w:val="000000" w:themeColor="text1"/>
          <w:lang w:val="en-US"/>
        </w:rPr>
        <w:t xml:space="preserve">500 Crores or more, or a turnover of </w:t>
      </w:r>
      <w:r w:rsidR="00132F6F">
        <w:rPr>
          <w:rFonts w:ascii="Cambria Math" w:hAnsi="Cambria Math" w:cs="Times New Roman"/>
          <w:color w:val="000000" w:themeColor="text1"/>
          <w:lang w:val="en-US"/>
        </w:rPr>
        <w:t>₹</w:t>
      </w:r>
      <w:r w:rsidRPr="00A25C49">
        <w:rPr>
          <w:rFonts w:ascii="Garamond" w:hAnsi="Garamond" w:cs="Times New Roman"/>
          <w:color w:val="000000" w:themeColor="text1"/>
          <w:lang w:val="en-US"/>
        </w:rPr>
        <w:t xml:space="preserve"> 1000 Crores or more, or a net profit of </w:t>
      </w:r>
      <w:r w:rsidR="00132F6F">
        <w:rPr>
          <w:rFonts w:ascii="Cambria Math" w:hAnsi="Cambria Math" w:cs="Times New Roman"/>
          <w:color w:val="000000" w:themeColor="text1"/>
          <w:lang w:val="en-US"/>
        </w:rPr>
        <w:t>₹</w:t>
      </w:r>
      <w:r w:rsidRPr="00A25C49">
        <w:rPr>
          <w:rFonts w:ascii="Garamond" w:hAnsi="Garamond" w:cs="Times New Roman"/>
          <w:color w:val="000000" w:themeColor="text1"/>
          <w:lang w:val="en-US"/>
        </w:rPr>
        <w:t xml:space="preserve"> 5 Crores or more in the previous financial year must spend 2 per cent of their average net profits on any type of CSR activity.” The said Section also lays down the activities that can be considered as CSR activities.</w:t>
      </w:r>
      <w:r w:rsidRPr="00A25C49">
        <w:rPr>
          <w:rFonts w:ascii="Garamond" w:hAnsi="Garamond" w:cs="Calibri"/>
          <w:color w:val="000000" w:themeColor="text1"/>
          <w:lang w:val="en-US"/>
        </w:rPr>
        <w:t xml:space="preserve"> </w:t>
      </w:r>
      <w:r w:rsidRPr="00A25C49">
        <w:rPr>
          <w:rFonts w:ascii="Garamond" w:hAnsi="Garamond" w:cs="Times New Roman"/>
          <w:color w:val="000000" w:themeColor="text1"/>
        </w:rPr>
        <w:t xml:space="preserve">The Central Government, invoking their powers conferred upon by Section 135 and sub-sections </w:t>
      </w:r>
      <w:hyperlink r:id="rId12" w:history="1">
        <w:r w:rsidRPr="00A25C49">
          <w:rPr>
            <w:rStyle w:val="Hyperlink"/>
            <w:rFonts w:ascii="Garamond" w:hAnsi="Garamond" w:cs="Times New Roman"/>
            <w:color w:val="000000" w:themeColor="text1"/>
          </w:rPr>
          <w:t>(1) and (2) of Section 469</w:t>
        </w:r>
      </w:hyperlink>
      <w:r w:rsidRPr="00A25C49">
        <w:rPr>
          <w:rFonts w:ascii="Garamond" w:hAnsi="Garamond" w:cs="Times New Roman"/>
          <w:color w:val="000000" w:themeColor="text1"/>
        </w:rPr>
        <w:t xml:space="preserve">, made rules with respect to CSR that is </w:t>
      </w:r>
      <w:hyperlink r:id="rId13" w:history="1">
        <w:r w:rsidRPr="00A25C49">
          <w:rPr>
            <w:rStyle w:val="Hyperlink"/>
            <w:rFonts w:ascii="Garamond" w:hAnsi="Garamond" w:cs="Times New Roman"/>
            <w:color w:val="000000" w:themeColor="text1"/>
          </w:rPr>
          <w:t>Companies (Corporate Social Responsibility Policy) Rules, 2014</w:t>
        </w:r>
      </w:hyperlink>
      <w:r w:rsidR="00A758CF" w:rsidRPr="00A25C49">
        <w:rPr>
          <w:rFonts w:ascii="Garamond" w:hAnsi="Garamond" w:cs="Times New Roman"/>
          <w:color w:val="000000" w:themeColor="text1"/>
        </w:rPr>
        <w:t xml:space="preserve"> </w:t>
      </w:r>
      <w:r w:rsidRPr="00A25C49">
        <w:rPr>
          <w:rFonts w:ascii="Garamond" w:hAnsi="Garamond" w:cs="Times New Roman"/>
          <w:color w:val="000000" w:themeColor="text1"/>
        </w:rPr>
        <w:t xml:space="preserve">that were later amended by the </w:t>
      </w:r>
      <w:hyperlink r:id="rId14" w:history="1">
        <w:r w:rsidRPr="00A25C49">
          <w:rPr>
            <w:rStyle w:val="Hyperlink"/>
            <w:rFonts w:ascii="Garamond" w:hAnsi="Garamond" w:cs="Times New Roman"/>
            <w:color w:val="000000" w:themeColor="text1"/>
          </w:rPr>
          <w:t>Companies (Corporate Social Responsibility Policy) Amendment Rules, 2021</w:t>
        </w:r>
      </w:hyperlink>
      <w:r w:rsidRPr="00A25C49">
        <w:rPr>
          <w:rFonts w:ascii="Garamond" w:hAnsi="Garamond" w:cs="Times New Roman"/>
          <w:color w:val="000000" w:themeColor="text1"/>
        </w:rPr>
        <w:t xml:space="preserve"> which came into force on 22nd January, 2021. This was done to further facilitate the spirit of CSR by increasing transparency, accountability and sustainability. </w:t>
      </w:r>
    </w:p>
    <w:p w14:paraId="53E444F7" w14:textId="77369863" w:rsidR="00A758CF" w:rsidRPr="00A25C49" w:rsidRDefault="00A758CF" w:rsidP="00132F6F">
      <w:pPr>
        <w:spacing w:line="360" w:lineRule="auto"/>
        <w:jc w:val="both"/>
        <w:rPr>
          <w:rFonts w:ascii="Garamond" w:hAnsi="Garamond" w:cs="Times New Roman"/>
          <w:color w:val="000000" w:themeColor="text1"/>
        </w:rPr>
      </w:pPr>
    </w:p>
    <w:p w14:paraId="10AA09DC" w14:textId="377DD8A3" w:rsidR="00A758CF" w:rsidRPr="00A25C49" w:rsidRDefault="00A758CF" w:rsidP="00132F6F">
      <w:pPr>
        <w:spacing w:line="360" w:lineRule="auto"/>
        <w:jc w:val="both"/>
        <w:rPr>
          <w:rFonts w:ascii="Garamond" w:hAnsi="Garamond" w:cs="Times New Roman"/>
          <w:b/>
          <w:color w:val="000000" w:themeColor="text1"/>
          <w:lang w:val="en-US"/>
        </w:rPr>
      </w:pPr>
      <w:r w:rsidRPr="00A25C49">
        <w:rPr>
          <w:rFonts w:ascii="Garamond" w:hAnsi="Garamond" w:cs="Times New Roman"/>
          <w:b/>
          <w:color w:val="000000" w:themeColor="text1"/>
          <w:lang w:val="en-US"/>
        </w:rPr>
        <w:t>CSR- A Sound Charlatan</w:t>
      </w:r>
    </w:p>
    <w:p w14:paraId="4A3E821C" w14:textId="64EC5975" w:rsidR="00A758CF" w:rsidRDefault="00A758CF" w:rsidP="00132F6F">
      <w:pPr>
        <w:spacing w:line="360" w:lineRule="auto"/>
        <w:jc w:val="both"/>
        <w:rPr>
          <w:rFonts w:ascii="Garamond" w:hAnsi="Garamond" w:cs="Times New Roman"/>
          <w:color w:val="000000" w:themeColor="text1"/>
          <w:lang w:val="en-US"/>
        </w:rPr>
      </w:pPr>
      <w:r w:rsidRPr="00A25C49">
        <w:rPr>
          <w:rFonts w:ascii="Garamond" w:hAnsi="Garamond" w:cs="Times New Roman"/>
          <w:color w:val="000000" w:themeColor="text1"/>
          <w:lang w:val="en-US"/>
        </w:rPr>
        <w:t xml:space="preserve">Milton Friedman once stated that the only CSR a company has is to make profits. All business aim to maximize their profits and save costs. Taxes and for that matter CSR are considered to be significant added burdens. Businesses attempt </w:t>
      </w:r>
      <w:r w:rsidR="003A3B99" w:rsidRPr="00A25C49">
        <w:rPr>
          <w:rFonts w:ascii="Garamond" w:hAnsi="Garamond" w:cs="Times New Roman"/>
          <w:color w:val="000000" w:themeColor="text1"/>
          <w:lang w:val="en-US"/>
        </w:rPr>
        <w:t>reduce</w:t>
      </w:r>
      <w:r w:rsidRPr="00A25C49">
        <w:rPr>
          <w:rFonts w:ascii="Garamond" w:hAnsi="Garamond" w:cs="Times New Roman"/>
          <w:color w:val="000000" w:themeColor="text1"/>
          <w:lang w:val="en-US"/>
        </w:rPr>
        <w:t xml:space="preserve"> this burden of theirs by a variety of ways. Most of them seek</w:t>
      </w:r>
      <w:r w:rsidR="00BD014A" w:rsidRPr="00A25C49">
        <w:rPr>
          <w:rFonts w:ascii="Garamond" w:hAnsi="Garamond" w:cs="Times New Roman"/>
          <w:color w:val="000000" w:themeColor="text1"/>
          <w:lang w:val="en-US"/>
        </w:rPr>
        <w:t xml:space="preserve"> </w:t>
      </w:r>
      <w:r w:rsidRPr="00A25C49">
        <w:rPr>
          <w:rFonts w:ascii="Garamond" w:hAnsi="Garamond" w:cs="Times New Roman"/>
          <w:color w:val="000000" w:themeColor="text1"/>
          <w:lang w:val="en-US"/>
        </w:rPr>
        <w:t xml:space="preserve">course of legal means like tax planning and ethically seeking tax reductions, but many attempt to do so via illegal and immoral means. There are three umbrella terms that can be used to differentiate how companies attempt to minimize their tax payments. </w:t>
      </w:r>
      <w:hyperlink r:id="rId15" w:history="1">
        <w:r w:rsidRPr="00A25C49">
          <w:rPr>
            <w:rStyle w:val="Hyperlink"/>
            <w:rFonts w:ascii="Garamond" w:hAnsi="Garamond" w:cs="Times New Roman"/>
            <w:color w:val="000000" w:themeColor="text1"/>
            <w:lang w:val="en-US"/>
          </w:rPr>
          <w:t>Tax planning</w:t>
        </w:r>
      </w:hyperlink>
      <w:r w:rsidRPr="00A25C49">
        <w:rPr>
          <w:rFonts w:ascii="Garamond" w:hAnsi="Garamond" w:cs="Times New Roman"/>
          <w:color w:val="000000" w:themeColor="text1"/>
          <w:lang w:val="en-US"/>
        </w:rPr>
        <w:t xml:space="preserve"> is the process through which one can seek tax benefits by scrutinizing their financial activities. This Act offers various exemptions that can be sought to effective plan ones taxes. </w:t>
      </w:r>
      <w:hyperlink r:id="rId16" w:history="1">
        <w:r w:rsidRPr="00A25C49">
          <w:rPr>
            <w:rStyle w:val="Hyperlink"/>
            <w:rFonts w:ascii="Garamond" w:hAnsi="Garamond" w:cs="Times New Roman"/>
            <w:color w:val="000000" w:themeColor="text1"/>
            <w:lang w:val="en-US"/>
          </w:rPr>
          <w:t>Tax avoidance</w:t>
        </w:r>
      </w:hyperlink>
      <w:r w:rsidRPr="00A25C49">
        <w:rPr>
          <w:rFonts w:ascii="Garamond" w:hAnsi="Garamond" w:cs="Times New Roman"/>
          <w:color w:val="000000" w:themeColor="text1"/>
          <w:lang w:val="en-US"/>
        </w:rPr>
        <w:t xml:space="preserve"> as the name suggests is the practice of avoiding payment of taxes by arranging financial affairs accordingly. Loopholes are being relied upon and this act is not illegal but highly unethical. </w:t>
      </w:r>
      <w:hyperlink r:id="rId17" w:history="1">
        <w:r w:rsidRPr="00A25C49">
          <w:rPr>
            <w:rStyle w:val="Hyperlink"/>
            <w:rFonts w:ascii="Garamond" w:hAnsi="Garamond" w:cs="Times New Roman"/>
            <w:color w:val="000000" w:themeColor="text1"/>
            <w:lang w:val="en-US"/>
          </w:rPr>
          <w:t>Tax evasion</w:t>
        </w:r>
      </w:hyperlink>
      <w:r w:rsidRPr="00A25C49">
        <w:rPr>
          <w:rFonts w:ascii="Garamond" w:hAnsi="Garamond" w:cs="Times New Roman"/>
          <w:color w:val="000000" w:themeColor="text1"/>
          <w:lang w:val="en-US"/>
        </w:rPr>
        <w:t xml:space="preserve"> on the way comes under the ambit of illegal activity. When a company has the ability to pay higher amounts of taxes, but falsifies their paperwork and fabricates their invoices, they have sought to knowingly exempt themselves from paying taxes. It is a punishable offence as seen in the case of </w:t>
      </w:r>
      <w:hyperlink r:id="rId18" w:history="1">
        <w:r w:rsidRPr="00A25C49">
          <w:rPr>
            <w:rStyle w:val="Hyperlink"/>
            <w:rFonts w:ascii="Garamond" w:hAnsi="Garamond" w:cs="Times New Roman"/>
            <w:i/>
            <w:color w:val="000000" w:themeColor="text1"/>
            <w:lang w:val="en-US"/>
          </w:rPr>
          <w:t>Satyam Computers Service Limited</w:t>
        </w:r>
      </w:hyperlink>
      <w:r w:rsidRPr="00A25C49">
        <w:rPr>
          <w:rFonts w:ascii="Garamond" w:hAnsi="Garamond" w:cs="Times New Roman"/>
          <w:color w:val="000000" w:themeColor="text1"/>
          <w:lang w:val="en-US"/>
        </w:rPr>
        <w:t xml:space="preserve">. The difference between tax planning and tax avoidance </w:t>
      </w:r>
      <w:r w:rsidRPr="00A25C49">
        <w:rPr>
          <w:rFonts w:ascii="Garamond" w:hAnsi="Garamond" w:cs="Times New Roman"/>
          <w:color w:val="000000" w:themeColor="text1"/>
          <w:lang w:val="en-US"/>
        </w:rPr>
        <w:lastRenderedPageBreak/>
        <w:t xml:space="preserve">was laid down in the case of </w:t>
      </w:r>
      <w:hyperlink r:id="rId19" w:history="1">
        <w:r w:rsidRPr="00A25C49">
          <w:rPr>
            <w:rStyle w:val="Hyperlink"/>
            <w:rFonts w:ascii="Garamond" w:hAnsi="Garamond" w:cs="Times New Roman"/>
            <w:i/>
            <w:color w:val="000000" w:themeColor="text1"/>
            <w:lang w:val="en-US"/>
          </w:rPr>
          <w:t>Vodafone International Holdings v. U</w:t>
        </w:r>
        <w:r w:rsidR="00BD014A" w:rsidRPr="00A25C49">
          <w:rPr>
            <w:rStyle w:val="Hyperlink"/>
            <w:rFonts w:ascii="Garamond" w:hAnsi="Garamond" w:cs="Times New Roman"/>
            <w:i/>
            <w:color w:val="000000" w:themeColor="text1"/>
            <w:lang w:val="en-US"/>
          </w:rPr>
          <w:t xml:space="preserve">nion of </w:t>
        </w:r>
        <w:r w:rsidRPr="00A25C49">
          <w:rPr>
            <w:rStyle w:val="Hyperlink"/>
            <w:rFonts w:ascii="Garamond" w:hAnsi="Garamond" w:cs="Times New Roman"/>
            <w:i/>
            <w:color w:val="000000" w:themeColor="text1"/>
            <w:lang w:val="en-US"/>
          </w:rPr>
          <w:t>I</w:t>
        </w:r>
        <w:r w:rsidR="00BD014A" w:rsidRPr="00A25C49">
          <w:rPr>
            <w:rStyle w:val="Hyperlink"/>
            <w:rFonts w:ascii="Garamond" w:hAnsi="Garamond" w:cs="Times New Roman"/>
            <w:i/>
            <w:color w:val="000000" w:themeColor="text1"/>
            <w:lang w:val="en-US"/>
          </w:rPr>
          <w:t>ndia</w:t>
        </w:r>
      </w:hyperlink>
      <w:r w:rsidRPr="00A25C49">
        <w:rPr>
          <w:rFonts w:ascii="Garamond" w:hAnsi="Garamond" w:cs="Times New Roman"/>
          <w:color w:val="000000" w:themeColor="text1"/>
          <w:lang w:val="en-US"/>
        </w:rPr>
        <w:t xml:space="preserve"> where the Court clarified that tax planning is a completely legal and ethical process. Companies also attempt to seek tax exemptions from the Government by availing to the different exemptions provided for by Companies Act and the Income Tax Act of India.</w:t>
      </w:r>
    </w:p>
    <w:p w14:paraId="5A30C7D3" w14:textId="1C6EE031" w:rsidR="004C434F" w:rsidRDefault="004C434F" w:rsidP="00132F6F">
      <w:pPr>
        <w:spacing w:line="360" w:lineRule="auto"/>
        <w:jc w:val="both"/>
        <w:rPr>
          <w:rFonts w:ascii="Garamond" w:hAnsi="Garamond" w:cs="Times New Roman"/>
          <w:color w:val="000000" w:themeColor="text1"/>
          <w:highlight w:val="lightGray"/>
          <w:lang w:val="en-US"/>
        </w:rPr>
      </w:pPr>
    </w:p>
    <w:p w14:paraId="3B7A7CEE" w14:textId="77777777" w:rsidR="004C434F" w:rsidRPr="00A25C49" w:rsidRDefault="004C434F" w:rsidP="004C434F">
      <w:pPr>
        <w:spacing w:line="360" w:lineRule="auto"/>
        <w:jc w:val="both"/>
        <w:rPr>
          <w:rFonts w:ascii="Garamond" w:hAnsi="Garamond" w:cs="Times New Roman"/>
          <w:b/>
          <w:color w:val="000000" w:themeColor="text1"/>
          <w:lang w:val="en-US"/>
        </w:rPr>
      </w:pPr>
      <w:r w:rsidRPr="00A25C49">
        <w:rPr>
          <w:rFonts w:ascii="Garamond" w:hAnsi="Garamond" w:cs="Times New Roman"/>
          <w:b/>
          <w:color w:val="000000" w:themeColor="text1"/>
          <w:lang w:val="en-US"/>
        </w:rPr>
        <w:t>Case of Double Disallowance</w:t>
      </w:r>
    </w:p>
    <w:p w14:paraId="65177AB8" w14:textId="77777777" w:rsidR="004C434F" w:rsidRPr="00A25C49" w:rsidRDefault="004C434F" w:rsidP="004C434F">
      <w:pPr>
        <w:spacing w:line="360" w:lineRule="auto"/>
        <w:jc w:val="both"/>
        <w:rPr>
          <w:rFonts w:ascii="Garamond" w:hAnsi="Garamond" w:cs="Times New Roman"/>
          <w:color w:val="000000" w:themeColor="text1"/>
          <w:lang w:val="en-US"/>
        </w:rPr>
      </w:pPr>
      <w:r>
        <w:rPr>
          <w:rFonts w:ascii="Garamond" w:hAnsi="Garamond" w:cs="Times New Roman"/>
          <w:color w:val="000000" w:themeColor="text1"/>
          <w:lang w:val="en-US"/>
        </w:rPr>
        <w:t>T</w:t>
      </w:r>
      <w:r w:rsidRPr="00A25C49">
        <w:rPr>
          <w:rFonts w:ascii="Garamond" w:hAnsi="Garamond" w:cs="Times New Roman"/>
          <w:color w:val="000000" w:themeColor="text1"/>
          <w:lang w:val="en-US"/>
        </w:rPr>
        <w:t xml:space="preserve">here have been cases when companies that have spent on activities like skill development, agricultural projects and PM National Relief Funds have been able to avail to reductions under </w:t>
      </w:r>
      <w:hyperlink r:id="rId20" w:history="1">
        <w:r w:rsidRPr="00A25C49">
          <w:rPr>
            <w:rStyle w:val="Hyperlink"/>
            <w:rFonts w:ascii="Garamond" w:hAnsi="Garamond" w:cs="Times New Roman"/>
            <w:color w:val="000000" w:themeColor="text1"/>
            <w:lang w:val="en-US"/>
          </w:rPr>
          <w:t>Section 80G</w:t>
        </w:r>
      </w:hyperlink>
      <w:r w:rsidRPr="00A25C49">
        <w:rPr>
          <w:rFonts w:ascii="Garamond" w:hAnsi="Garamond" w:cs="Times New Roman"/>
          <w:color w:val="000000" w:themeColor="text1"/>
          <w:lang w:val="en-US"/>
        </w:rPr>
        <w:t xml:space="preserve"> and/or </w:t>
      </w:r>
      <w:hyperlink r:id="rId21" w:history="1">
        <w:r w:rsidRPr="00A25C49">
          <w:rPr>
            <w:rStyle w:val="Hyperlink"/>
            <w:rFonts w:ascii="Garamond" w:hAnsi="Garamond" w:cs="Times New Roman"/>
            <w:color w:val="000000" w:themeColor="text1"/>
            <w:lang w:val="en-US"/>
          </w:rPr>
          <w:t>Section 35AC</w:t>
        </w:r>
      </w:hyperlink>
      <w:r w:rsidRPr="00A25C49">
        <w:rPr>
          <w:rFonts w:ascii="Garamond" w:hAnsi="Garamond" w:cs="Times New Roman"/>
          <w:color w:val="000000" w:themeColor="text1"/>
          <w:lang w:val="en-US"/>
        </w:rPr>
        <w:t xml:space="preserve"> of the Income Tax Act. Authorities countered such claims stating that since CSR has been mandated under Section 135 of Companies Act it is not philanthropic in nature and cannot avail to tax reductions. However, in turn the point was contradicted in many cases stating that while the mandate for CSR fall for “income under head business or profession” it cannot be same for total income of the assesse. This point was made and accepted in the case of </w:t>
      </w:r>
      <w:hyperlink r:id="rId22" w:history="1">
        <w:r w:rsidRPr="00A25C49">
          <w:rPr>
            <w:rStyle w:val="Hyperlink"/>
            <w:rFonts w:ascii="Garamond" w:hAnsi="Garamond" w:cs="Times New Roman"/>
            <w:i/>
            <w:color w:val="000000" w:themeColor="text1"/>
            <w:lang w:val="en-US"/>
          </w:rPr>
          <w:t>Fnf India Private limited v. Assistant Commissioner of Income Tax</w:t>
        </w:r>
        <w:r w:rsidRPr="00A25C49">
          <w:rPr>
            <w:rStyle w:val="Hyperlink"/>
            <w:rFonts w:ascii="Garamond" w:hAnsi="Garamond" w:cs="Times New Roman"/>
            <w:color w:val="000000" w:themeColor="text1"/>
            <w:lang w:val="en-US"/>
          </w:rPr>
          <w:t>.</w:t>
        </w:r>
      </w:hyperlink>
      <w:r w:rsidRPr="00A25C49">
        <w:rPr>
          <w:rFonts w:ascii="Garamond" w:hAnsi="Garamond" w:cs="Times New Roman"/>
          <w:color w:val="000000" w:themeColor="text1"/>
          <w:lang w:val="en-US"/>
        </w:rPr>
        <w:t xml:space="preserve"> A case of what is known as double disallowance began to occur. Disallowances refer to expenditure that is added back to the net profit that obligates the assesse to pay taxes on them. Double Disallowance has occurred as the assesse is obligated to pay taxes on both the added expenditure and CSR.</w:t>
      </w:r>
    </w:p>
    <w:p w14:paraId="1494DF25" w14:textId="77777777" w:rsidR="00A25C49" w:rsidRPr="00A25C49" w:rsidRDefault="00A25C49" w:rsidP="00132F6F">
      <w:pPr>
        <w:spacing w:line="360" w:lineRule="auto"/>
        <w:jc w:val="both"/>
        <w:rPr>
          <w:rFonts w:ascii="Garamond" w:hAnsi="Garamond" w:cs="Times New Roman"/>
          <w:color w:val="000000" w:themeColor="text1"/>
          <w:highlight w:val="lightGray"/>
          <w:lang w:val="en-US"/>
        </w:rPr>
      </w:pPr>
    </w:p>
    <w:p w14:paraId="2C24C586" w14:textId="61671286" w:rsidR="00A758CF" w:rsidRPr="00A25C49" w:rsidRDefault="00A758CF" w:rsidP="00132F6F">
      <w:pPr>
        <w:spacing w:line="360" w:lineRule="auto"/>
        <w:jc w:val="both"/>
        <w:rPr>
          <w:rFonts w:ascii="Garamond" w:hAnsi="Garamond" w:cs="Times New Roman"/>
          <w:b/>
          <w:color w:val="000000" w:themeColor="text1"/>
          <w:lang w:val="en-US"/>
        </w:rPr>
      </w:pPr>
      <w:r w:rsidRPr="00A25C49">
        <w:rPr>
          <w:rFonts w:ascii="Garamond" w:hAnsi="Garamond" w:cs="Times New Roman"/>
          <w:b/>
          <w:color w:val="000000" w:themeColor="text1"/>
          <w:lang w:val="en-US"/>
        </w:rPr>
        <w:t xml:space="preserve">Conflicting Case of Tax Exemptions for CSR </w:t>
      </w:r>
    </w:p>
    <w:p w14:paraId="626756EE" w14:textId="3E2720DA" w:rsidR="003A3B99" w:rsidRPr="00A25C49" w:rsidRDefault="00A758CF" w:rsidP="00132F6F">
      <w:pPr>
        <w:spacing w:line="360" w:lineRule="auto"/>
        <w:jc w:val="both"/>
        <w:rPr>
          <w:rFonts w:ascii="Garamond" w:hAnsi="Garamond" w:cs="Times New Roman"/>
          <w:color w:val="000000" w:themeColor="text1"/>
        </w:rPr>
      </w:pPr>
      <w:r w:rsidRPr="00A25C49">
        <w:rPr>
          <w:rFonts w:ascii="Garamond" w:hAnsi="Garamond" w:cs="Times New Roman"/>
          <w:color w:val="000000" w:themeColor="text1"/>
          <w:lang w:val="en-US"/>
        </w:rPr>
        <w:t>The Income</w:t>
      </w:r>
      <w:r w:rsidR="00DA7E63" w:rsidRPr="00A25C49">
        <w:rPr>
          <w:rFonts w:ascii="Garamond" w:hAnsi="Garamond" w:cs="Times New Roman"/>
          <w:color w:val="000000" w:themeColor="text1"/>
          <w:lang w:val="en-US"/>
        </w:rPr>
        <w:t>-t</w:t>
      </w:r>
      <w:r w:rsidRPr="00A25C49">
        <w:rPr>
          <w:rFonts w:ascii="Garamond" w:hAnsi="Garamond" w:cs="Times New Roman"/>
          <w:color w:val="000000" w:themeColor="text1"/>
          <w:lang w:val="en-US"/>
        </w:rPr>
        <w:t xml:space="preserve">ax Act of </w:t>
      </w:r>
      <w:r w:rsidR="00DA7E63" w:rsidRPr="00A25C49">
        <w:rPr>
          <w:rFonts w:ascii="Garamond" w:hAnsi="Garamond" w:cs="Times New Roman"/>
          <w:color w:val="000000" w:themeColor="text1"/>
          <w:lang w:val="en-US"/>
        </w:rPr>
        <w:t>1961</w:t>
      </w:r>
      <w:r w:rsidRPr="00A25C49">
        <w:rPr>
          <w:rFonts w:ascii="Garamond" w:hAnsi="Garamond" w:cs="Times New Roman"/>
          <w:color w:val="000000" w:themeColor="text1"/>
          <w:lang w:val="en-US"/>
        </w:rPr>
        <w:t xml:space="preserve"> under Section 30-36 lays down specific tax deductions that can be granted. </w:t>
      </w:r>
      <w:hyperlink r:id="rId23" w:history="1">
        <w:r w:rsidRPr="00A25C49">
          <w:rPr>
            <w:rStyle w:val="Hyperlink"/>
            <w:rFonts w:ascii="Garamond" w:hAnsi="Garamond" w:cs="Times New Roman"/>
            <w:color w:val="000000" w:themeColor="text1"/>
            <w:lang w:val="en-US"/>
          </w:rPr>
          <w:t>Section 37</w:t>
        </w:r>
      </w:hyperlink>
      <w:r w:rsidRPr="00A25C49">
        <w:rPr>
          <w:rFonts w:ascii="Garamond" w:hAnsi="Garamond" w:cs="Times New Roman"/>
          <w:color w:val="000000" w:themeColor="text1"/>
          <w:lang w:val="en-US"/>
        </w:rPr>
        <w:t xml:space="preserve"> clearly states that the purpose of the act must be wholly business in nature if tax exemptions are sought. </w:t>
      </w:r>
      <w:hyperlink r:id="rId24" w:history="1">
        <w:r w:rsidRPr="00A25C49">
          <w:rPr>
            <w:rStyle w:val="Hyperlink"/>
            <w:rFonts w:ascii="Garamond" w:hAnsi="Garamond" w:cs="Times New Roman"/>
            <w:color w:val="000000" w:themeColor="text1"/>
            <w:lang w:val="en-US"/>
          </w:rPr>
          <w:t>The Central Board of Direct Taxes</w:t>
        </w:r>
      </w:hyperlink>
      <w:r w:rsidRPr="00A25C49">
        <w:rPr>
          <w:rFonts w:ascii="Garamond" w:hAnsi="Garamond" w:cs="Times New Roman"/>
          <w:color w:val="000000" w:themeColor="text1"/>
          <w:lang w:val="en-US"/>
        </w:rPr>
        <w:t xml:space="preserve"> stated that “CSR Expenditure is not incurred with the purpose of carrying on business”. CSR has a philanthropic aspect attached to it that does not make it wholly for the purposes of business or profession. Thus, it has been laid down that CSR cannot avail to tax deductions under Section 37 of Income Tax Act. However, even with the recent amendments, there have been no amendments to Section 37 of the Act that would allow businesses to seek tax exemptions for their CSR activities.</w:t>
      </w:r>
      <w:r w:rsidR="003A3B99" w:rsidRPr="00A25C49">
        <w:rPr>
          <w:rFonts w:ascii="Garamond" w:hAnsi="Garamond" w:cs="Times New Roman"/>
          <w:color w:val="000000" w:themeColor="text1"/>
        </w:rPr>
        <w:t xml:space="preserve"> </w:t>
      </w:r>
    </w:p>
    <w:p w14:paraId="6B7A2165" w14:textId="77777777" w:rsidR="003A3B99" w:rsidRPr="00A25C49" w:rsidRDefault="003A3B99" w:rsidP="00132F6F">
      <w:pPr>
        <w:spacing w:line="360" w:lineRule="auto"/>
        <w:jc w:val="both"/>
        <w:rPr>
          <w:rFonts w:ascii="Garamond" w:hAnsi="Garamond" w:cs="Times New Roman"/>
          <w:b/>
          <w:color w:val="000000" w:themeColor="text1"/>
          <w:lang w:val="en-US"/>
        </w:rPr>
      </w:pPr>
    </w:p>
    <w:p w14:paraId="13646263" w14:textId="6E4A030C" w:rsidR="003A3B99" w:rsidRPr="00A25C49" w:rsidRDefault="003A3B99" w:rsidP="00132F6F">
      <w:pPr>
        <w:spacing w:line="360" w:lineRule="auto"/>
        <w:jc w:val="both"/>
        <w:rPr>
          <w:rFonts w:ascii="Garamond" w:hAnsi="Garamond" w:cs="Times New Roman"/>
          <w:b/>
          <w:color w:val="000000" w:themeColor="text1"/>
          <w:lang w:val="en-US"/>
        </w:rPr>
      </w:pPr>
      <w:r w:rsidRPr="00A25C49">
        <w:rPr>
          <w:rFonts w:ascii="Garamond" w:hAnsi="Garamond" w:cs="Times New Roman"/>
          <w:b/>
          <w:color w:val="000000" w:themeColor="text1"/>
          <w:lang w:val="en-US"/>
        </w:rPr>
        <w:t>Conclusion</w:t>
      </w:r>
    </w:p>
    <w:p w14:paraId="1EF7FE56" w14:textId="5FFA8048" w:rsidR="003A3B99" w:rsidRPr="00A25C49" w:rsidRDefault="00506E68" w:rsidP="00132F6F">
      <w:pPr>
        <w:spacing w:line="360" w:lineRule="auto"/>
        <w:jc w:val="both"/>
        <w:rPr>
          <w:rFonts w:ascii="Garamond" w:hAnsi="Garamond" w:cs="Times New Roman"/>
          <w:b/>
          <w:color w:val="000000" w:themeColor="text1"/>
          <w:lang w:val="en-US"/>
        </w:rPr>
      </w:pPr>
      <w:r w:rsidRPr="00A25C49">
        <w:rPr>
          <w:rFonts w:ascii="Garamond" w:hAnsi="Garamond" w:cs="Times New Roman"/>
          <w:color w:val="000000" w:themeColor="text1"/>
          <w:lang w:val="en-US"/>
        </w:rPr>
        <w:t xml:space="preserve">The world is burning and we are acting as nothing more than mere spectators. In a world that runs on competition, power and success there will always remain a dispute between what is not enough and what is too much. </w:t>
      </w:r>
      <w:r w:rsidRPr="00A25C49">
        <w:rPr>
          <w:rFonts w:ascii="Garamond" w:hAnsi="Garamond"/>
          <w:color w:val="000000" w:themeColor="text1"/>
          <w:shd w:val="clear" w:color="auto" w:fill="FFFFFF"/>
        </w:rPr>
        <w:t xml:space="preserve">Companies should assess how their chosen approach to CSR applies to all elements of their operation, including the management of their tax liability, because CSR is a way of doing business rather than a "add on" to conventional business </w:t>
      </w:r>
      <w:r w:rsidR="00BA002D" w:rsidRPr="00A25C49">
        <w:rPr>
          <w:rFonts w:ascii="Garamond" w:hAnsi="Garamond"/>
          <w:color w:val="000000" w:themeColor="text1"/>
          <w:shd w:val="clear" w:color="auto" w:fill="FFFFFF"/>
        </w:rPr>
        <w:t>practices</w:t>
      </w:r>
      <w:r w:rsidRPr="00A25C49">
        <w:rPr>
          <w:rFonts w:ascii="Garamond" w:hAnsi="Garamond"/>
          <w:color w:val="000000" w:themeColor="text1"/>
          <w:shd w:val="clear" w:color="auto" w:fill="FFFFFF"/>
        </w:rPr>
        <w:t xml:space="preserve">. </w:t>
      </w:r>
      <w:r w:rsidRPr="00A25C49">
        <w:rPr>
          <w:rFonts w:ascii="Garamond" w:hAnsi="Garamond" w:cs="Times New Roman"/>
          <w:color w:val="000000" w:themeColor="text1"/>
          <w:lang w:val="en-US"/>
        </w:rPr>
        <w:t xml:space="preserve">Ethically paying taxes </w:t>
      </w:r>
      <w:r w:rsidRPr="00A25C49">
        <w:rPr>
          <w:rFonts w:ascii="Garamond" w:hAnsi="Garamond" w:cs="Times New Roman"/>
          <w:color w:val="000000" w:themeColor="text1"/>
          <w:lang w:val="en-US"/>
        </w:rPr>
        <w:lastRenderedPageBreak/>
        <w:t xml:space="preserve">is our moral and legal responsibility. But should the CSR attempts also be taxed. </w:t>
      </w:r>
      <w:r w:rsidRPr="00A25C49">
        <w:rPr>
          <w:rFonts w:ascii="Garamond" w:hAnsi="Garamond"/>
          <w:color w:val="000000" w:themeColor="text1"/>
          <w:shd w:val="clear" w:color="auto" w:fill="FFFFFF"/>
        </w:rPr>
        <w:t xml:space="preserve">To improve transparency and legitimacy, governments, particularly in developing economies like India, should make policies that define taxes as part of a company's CSR responsibilities. This will ensure that companies treat tax policies in the same way they treat other responsibilities in the eyes of the public. </w:t>
      </w:r>
      <w:r w:rsidRPr="00A25C49">
        <w:rPr>
          <w:rFonts w:ascii="Garamond" w:hAnsi="Garamond" w:cs="Times New Roman"/>
          <w:color w:val="000000" w:themeColor="text1"/>
          <w:lang w:val="en-US"/>
        </w:rPr>
        <w:t xml:space="preserve">While it is easy to say that CSR efforts must be rewarded instead of being taxed, it comes with a risk of tax frauds occurring. </w:t>
      </w:r>
    </w:p>
    <w:p w14:paraId="3C55354E" w14:textId="49998BE0" w:rsidR="00EC50C1" w:rsidRPr="00A25C49" w:rsidRDefault="00EC50C1" w:rsidP="00132F6F">
      <w:pPr>
        <w:spacing w:line="360" w:lineRule="auto"/>
        <w:jc w:val="both"/>
        <w:rPr>
          <w:rFonts w:ascii="Garamond" w:hAnsi="Garamond" w:cs="Times New Roman"/>
        </w:rPr>
      </w:pPr>
    </w:p>
    <w:p w14:paraId="4DBF1A27" w14:textId="77777777" w:rsidR="00EC50C1" w:rsidRPr="00A25C49" w:rsidRDefault="00EC50C1" w:rsidP="00132F6F">
      <w:pPr>
        <w:spacing w:line="360" w:lineRule="auto"/>
        <w:jc w:val="both"/>
        <w:rPr>
          <w:rFonts w:ascii="Garamond" w:hAnsi="Garamond"/>
        </w:rPr>
      </w:pPr>
    </w:p>
    <w:sectPr w:rsidR="00EC50C1" w:rsidRPr="00A25C49" w:rsidSect="00BF43D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E4F1AE" w14:textId="77777777" w:rsidR="00772DDC" w:rsidRDefault="00772DDC" w:rsidP="00EC50C1">
      <w:r>
        <w:separator/>
      </w:r>
    </w:p>
  </w:endnote>
  <w:endnote w:type="continuationSeparator" w:id="0">
    <w:p w14:paraId="3BCC4B54" w14:textId="77777777" w:rsidR="00772DDC" w:rsidRDefault="00772DDC" w:rsidP="00EC5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A688AF" w14:textId="77777777" w:rsidR="00772DDC" w:rsidRDefault="00772DDC" w:rsidP="00EC50C1">
      <w:r>
        <w:separator/>
      </w:r>
    </w:p>
  </w:footnote>
  <w:footnote w:type="continuationSeparator" w:id="0">
    <w:p w14:paraId="1913482B" w14:textId="77777777" w:rsidR="00772DDC" w:rsidRDefault="00772DDC" w:rsidP="00EC50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AD20BC"/>
    <w:multiLevelType w:val="hybridMultilevel"/>
    <w:tmpl w:val="E39A504A"/>
    <w:lvl w:ilvl="0" w:tplc="9ACAAD46">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0C1"/>
    <w:rsid w:val="00040796"/>
    <w:rsid w:val="0009523B"/>
    <w:rsid w:val="00132F6F"/>
    <w:rsid w:val="00165887"/>
    <w:rsid w:val="003A3B99"/>
    <w:rsid w:val="003A5BD8"/>
    <w:rsid w:val="00477B43"/>
    <w:rsid w:val="004C434F"/>
    <w:rsid w:val="00506E68"/>
    <w:rsid w:val="00527A8D"/>
    <w:rsid w:val="00670101"/>
    <w:rsid w:val="00772DDC"/>
    <w:rsid w:val="00A25C49"/>
    <w:rsid w:val="00A758CF"/>
    <w:rsid w:val="00A868C4"/>
    <w:rsid w:val="00BA002D"/>
    <w:rsid w:val="00BD014A"/>
    <w:rsid w:val="00BF43D6"/>
    <w:rsid w:val="00D4544E"/>
    <w:rsid w:val="00DA7E63"/>
    <w:rsid w:val="00EC50C1"/>
    <w:rsid w:val="00FE77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14702"/>
  <w15:chartTrackingRefBased/>
  <w15:docId w15:val="{74EC8FD8-651D-F442-8FA9-77A395A69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50C1"/>
    <w:pPr>
      <w:spacing w:after="160" w:line="259" w:lineRule="auto"/>
      <w:ind w:left="720"/>
      <w:contextualSpacing/>
    </w:pPr>
    <w:rPr>
      <w:sz w:val="22"/>
      <w:szCs w:val="22"/>
    </w:rPr>
  </w:style>
  <w:style w:type="paragraph" w:styleId="FootnoteText">
    <w:name w:val="footnote text"/>
    <w:basedOn w:val="Normal"/>
    <w:link w:val="FootnoteTextChar"/>
    <w:uiPriority w:val="99"/>
    <w:semiHidden/>
    <w:unhideWhenUsed/>
    <w:rsid w:val="00EC50C1"/>
    <w:rPr>
      <w:sz w:val="20"/>
      <w:szCs w:val="20"/>
    </w:rPr>
  </w:style>
  <w:style w:type="character" w:customStyle="1" w:styleId="FootnoteTextChar">
    <w:name w:val="Footnote Text Char"/>
    <w:basedOn w:val="DefaultParagraphFont"/>
    <w:link w:val="FootnoteText"/>
    <w:uiPriority w:val="99"/>
    <w:semiHidden/>
    <w:rsid w:val="00EC50C1"/>
    <w:rPr>
      <w:sz w:val="20"/>
      <w:szCs w:val="20"/>
    </w:rPr>
  </w:style>
  <w:style w:type="character" w:styleId="FootnoteReference">
    <w:name w:val="footnote reference"/>
    <w:basedOn w:val="DefaultParagraphFont"/>
    <w:uiPriority w:val="99"/>
    <w:semiHidden/>
    <w:unhideWhenUsed/>
    <w:rsid w:val="00EC50C1"/>
    <w:rPr>
      <w:vertAlign w:val="superscript"/>
    </w:rPr>
  </w:style>
  <w:style w:type="character" w:styleId="Hyperlink">
    <w:name w:val="Hyperlink"/>
    <w:basedOn w:val="DefaultParagraphFont"/>
    <w:uiPriority w:val="99"/>
    <w:unhideWhenUsed/>
    <w:rsid w:val="00EC50C1"/>
    <w:rPr>
      <w:color w:val="0563C1" w:themeColor="hyperlink"/>
      <w:u w:val="single"/>
    </w:rPr>
  </w:style>
  <w:style w:type="character" w:styleId="CommentReference">
    <w:name w:val="annotation reference"/>
    <w:basedOn w:val="DefaultParagraphFont"/>
    <w:uiPriority w:val="99"/>
    <w:semiHidden/>
    <w:unhideWhenUsed/>
    <w:rsid w:val="00EC50C1"/>
    <w:rPr>
      <w:sz w:val="16"/>
      <w:szCs w:val="16"/>
    </w:rPr>
  </w:style>
  <w:style w:type="paragraph" w:styleId="CommentText">
    <w:name w:val="annotation text"/>
    <w:basedOn w:val="Normal"/>
    <w:link w:val="CommentTextChar"/>
    <w:uiPriority w:val="99"/>
    <w:semiHidden/>
    <w:unhideWhenUsed/>
    <w:rsid w:val="00EC50C1"/>
    <w:pPr>
      <w:spacing w:after="160"/>
    </w:pPr>
    <w:rPr>
      <w:sz w:val="20"/>
      <w:szCs w:val="20"/>
    </w:rPr>
  </w:style>
  <w:style w:type="character" w:customStyle="1" w:styleId="CommentTextChar">
    <w:name w:val="Comment Text Char"/>
    <w:basedOn w:val="DefaultParagraphFont"/>
    <w:link w:val="CommentText"/>
    <w:uiPriority w:val="99"/>
    <w:semiHidden/>
    <w:rsid w:val="00EC50C1"/>
    <w:rPr>
      <w:sz w:val="20"/>
      <w:szCs w:val="20"/>
    </w:rPr>
  </w:style>
  <w:style w:type="paragraph" w:styleId="BalloonText">
    <w:name w:val="Balloon Text"/>
    <w:basedOn w:val="Normal"/>
    <w:link w:val="BalloonTextChar"/>
    <w:uiPriority w:val="99"/>
    <w:semiHidden/>
    <w:unhideWhenUsed/>
    <w:rsid w:val="00EC50C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C50C1"/>
    <w:rPr>
      <w:rFonts w:ascii="Times New Roman" w:hAnsi="Times New Roman" w:cs="Times New Roman"/>
      <w:sz w:val="18"/>
      <w:szCs w:val="18"/>
    </w:rPr>
  </w:style>
  <w:style w:type="character" w:customStyle="1" w:styleId="UnresolvedMention">
    <w:name w:val="Unresolved Mention"/>
    <w:basedOn w:val="DefaultParagraphFont"/>
    <w:uiPriority w:val="99"/>
    <w:semiHidden/>
    <w:unhideWhenUsed/>
    <w:rsid w:val="00A868C4"/>
    <w:rPr>
      <w:color w:val="605E5C"/>
      <w:shd w:val="clear" w:color="auto" w:fill="E1DFDD"/>
    </w:rPr>
  </w:style>
  <w:style w:type="character" w:styleId="FollowedHyperlink">
    <w:name w:val="FollowedHyperlink"/>
    <w:basedOn w:val="DefaultParagraphFont"/>
    <w:uiPriority w:val="99"/>
    <w:semiHidden/>
    <w:unhideWhenUsed/>
    <w:rsid w:val="0009523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cometaxindia.gov.in/pages/acts/income-tax-act.aspx" TargetMode="External"/><Relationship Id="rId13" Type="http://schemas.openxmlformats.org/officeDocument/2006/relationships/hyperlink" Target="https://www.mca.gov.in/Ministry/pdf/CompaniesActNotification2_2014.pdf" TargetMode="External"/><Relationship Id="rId18" Type="http://schemas.openxmlformats.org/officeDocument/2006/relationships/hyperlink" Target="https://economictimes.indiatimes.com/swaminathan-s-a-aiyar/csr-a-cloak-for-crooks/articleshow/16899060.cm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economictimes.indiatimes.com/news/economy/policy/deduction-benefit-under-section-35ac-only-till-march-31/articleshow/53770555.cms" TargetMode="External"/><Relationship Id="rId7" Type="http://schemas.openxmlformats.org/officeDocument/2006/relationships/hyperlink" Target="https://www.unido.org/our-focus/advancing-economic-competitiveness/competitive-trade-capacities-and-corporate-responsibility/corporate-social-responsibility-market-integration/what-csr" TargetMode="External"/><Relationship Id="rId12" Type="http://schemas.openxmlformats.org/officeDocument/2006/relationships/hyperlink" Target="https://www.indiacode.nic.in/show-data?actid=AC_CEN_22_29_00008_201318_1517807327856&amp;sectionId=49364&amp;sectionno=469&amp;orderno=526" TargetMode="External"/><Relationship Id="rId17" Type="http://schemas.openxmlformats.org/officeDocument/2006/relationships/hyperlink" Target="https://www.law.cornell.edu/wex/tax_evasion"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hdfcbank.com/personal/resources/learning-centre/save/difference-between-tax-planning-and-tax-avoidance" TargetMode="External"/><Relationship Id="rId20" Type="http://schemas.openxmlformats.org/officeDocument/2006/relationships/hyperlink" Target="https://www.indiafilings.com/learn/section-80g-deduction-income-tax-ac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diacode.nic.in/show-data?actid=AC_CEN_22_29_00008_201318_1517807327856&amp;sectionId=1326&amp;sectionno=135&amp;orderno=139" TargetMode="External"/><Relationship Id="rId24" Type="http://schemas.openxmlformats.org/officeDocument/2006/relationships/hyperlink" Target="https://www.incometaxindia.gov.in/communications/circular/circular1_2015.pdf" TargetMode="External"/><Relationship Id="rId5" Type="http://schemas.openxmlformats.org/officeDocument/2006/relationships/footnotes" Target="footnotes.xml"/><Relationship Id="rId15" Type="http://schemas.openxmlformats.org/officeDocument/2006/relationships/hyperlink" Target="https://www.hdfcbank.com/personal/resources/learning-centre/save/difference-between-tax-planning-and-tax-avoidance" TargetMode="External"/><Relationship Id="rId23" Type="http://schemas.openxmlformats.org/officeDocument/2006/relationships/hyperlink" Target="https://www.incometaxindia.gov.in/_layouts/15/dit/pages/viewer.aspx?grp=act&amp;cname=cmsid&amp;cval=102120000000073607&amp;searchfilter=%5B%7B%22crawledpropertykey%22:1,%22value%22:%22act%22,%22searchoperand%22:2%7D,%7B%22crawledpropertykey%22:0,%22value%22:%22income-tax+act,+1961%22,%22searchoperand%22:2%7D,%7B%22crawledpropertykey%22:29,%22value%22:%222019%22,%22searchoperand%22:2%7D%5D&amp;k=&amp;isdlg=0" TargetMode="External"/><Relationship Id="rId10" Type="http://schemas.openxmlformats.org/officeDocument/2006/relationships/hyperlink" Target="https://www.mca.gov.in/Ministry/pdf/CompaniesAct2013.pdf" TargetMode="External"/><Relationship Id="rId19" Type="http://schemas.openxmlformats.org/officeDocument/2006/relationships/hyperlink" Target="http://www.scconline.com/DocumentLink/B04fW2V0" TargetMode="External"/><Relationship Id="rId4" Type="http://schemas.openxmlformats.org/officeDocument/2006/relationships/webSettings" Target="webSettings.xml"/><Relationship Id="rId9" Type="http://schemas.openxmlformats.org/officeDocument/2006/relationships/hyperlink" Target="https://www.mca.gov.in/Ministry/latestnews/National_Voluntary_Guidelines_2011_12jul2011.pdf" TargetMode="External"/><Relationship Id="rId14" Type="http://schemas.openxmlformats.org/officeDocument/2006/relationships/hyperlink" Target="https://www.mca.gov.in/Ministry/pdf/CSRAmendmentRules_22012021.pdf" TargetMode="External"/><Relationship Id="rId22" Type="http://schemas.openxmlformats.org/officeDocument/2006/relationships/hyperlink" Target="http://www.scconline.com/DocumentLink/NV93IK7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1645</Words>
  <Characters>9380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2</cp:revision>
  <dcterms:created xsi:type="dcterms:W3CDTF">2022-04-23T10:20:00Z</dcterms:created>
  <dcterms:modified xsi:type="dcterms:W3CDTF">2022-04-23T10:20:00Z</dcterms:modified>
</cp:coreProperties>
</file>