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E08E3" w:rsidRPr="004D39E5" w:rsidRDefault="002E08E3" w:rsidP="004D39E5">
      <w:pPr>
        <w:spacing w:line="360" w:lineRule="auto"/>
        <w:rPr>
          <w:rFonts w:ascii="Times New Roman" w:hAnsi="Times New Roman" w:cs="Times New Roman"/>
          <w:b/>
          <w:bCs/>
          <w:sz w:val="28"/>
          <w:szCs w:val="28"/>
          <w:u w:val="single"/>
        </w:rPr>
      </w:pPr>
      <w:r w:rsidRPr="004D39E5">
        <w:rPr>
          <w:rFonts w:ascii="Times New Roman" w:hAnsi="Times New Roman" w:cs="Times New Roman"/>
          <w:b/>
          <w:bCs/>
          <w:sz w:val="28"/>
          <w:szCs w:val="28"/>
          <w:u w:val="single"/>
        </w:rPr>
        <w:t>A Brief Understanding of the Anti-Defection Law in India-</w:t>
      </w:r>
    </w:p>
    <w:p w:rsidR="002E08E3" w:rsidRPr="004D39E5" w:rsidRDefault="002E08E3" w:rsidP="004D39E5">
      <w:pPr>
        <w:spacing w:line="360" w:lineRule="auto"/>
        <w:rPr>
          <w:rFonts w:ascii="Times New Roman" w:hAnsi="Times New Roman" w:cs="Times New Roman"/>
          <w:sz w:val="24"/>
          <w:szCs w:val="24"/>
        </w:rPr>
      </w:pPr>
    </w:p>
    <w:p w:rsidR="002E08E3" w:rsidRPr="004D39E5" w:rsidRDefault="002E08E3" w:rsidP="004D39E5">
      <w:pPr>
        <w:spacing w:line="360" w:lineRule="auto"/>
        <w:rPr>
          <w:rFonts w:ascii="Times New Roman" w:hAnsi="Times New Roman" w:cs="Times New Roman"/>
          <w:b/>
          <w:bCs/>
          <w:sz w:val="24"/>
          <w:szCs w:val="24"/>
        </w:rPr>
      </w:pPr>
      <w:r w:rsidRPr="004D39E5">
        <w:rPr>
          <w:rFonts w:ascii="Times New Roman" w:hAnsi="Times New Roman" w:cs="Times New Roman"/>
          <w:b/>
          <w:bCs/>
          <w:sz w:val="24"/>
          <w:szCs w:val="24"/>
        </w:rPr>
        <w:t>INTRODUCTION</w:t>
      </w:r>
    </w:p>
    <w:p w:rsidR="002E08E3" w:rsidRPr="004D39E5" w:rsidRDefault="002E08E3" w:rsidP="004D39E5">
      <w:pPr>
        <w:spacing w:line="360" w:lineRule="auto"/>
        <w:rPr>
          <w:rFonts w:ascii="Times New Roman" w:hAnsi="Times New Roman" w:cs="Times New Roman"/>
          <w:sz w:val="24"/>
          <w:szCs w:val="24"/>
        </w:rPr>
      </w:pPr>
      <w:r w:rsidRPr="004D39E5">
        <w:rPr>
          <w:rFonts w:ascii="Times New Roman" w:hAnsi="Times New Roman" w:cs="Times New Roman"/>
          <w:sz w:val="24"/>
          <w:szCs w:val="24"/>
        </w:rPr>
        <w:t>Recently, the political crisis in Maharashtra has yet again thrown light upon Anti-defection law and the loopholes from which it goes through. The toppling of government has now become an ordinary issue and there have been many instances of the same in other states like Andhra Pradesh, Goa, Manipur, Nagaland, Telangana and Uttarakhand in recent years.</w:t>
      </w:r>
    </w:p>
    <w:p w:rsidR="00140FA6" w:rsidRPr="004D39E5" w:rsidRDefault="002E08E3" w:rsidP="004D39E5">
      <w:pPr>
        <w:spacing w:line="360" w:lineRule="auto"/>
        <w:rPr>
          <w:rFonts w:ascii="Times New Roman" w:hAnsi="Times New Roman" w:cs="Times New Roman"/>
          <w:sz w:val="24"/>
          <w:szCs w:val="24"/>
        </w:rPr>
      </w:pPr>
      <w:r w:rsidRPr="004D39E5">
        <w:rPr>
          <w:rFonts w:ascii="Times New Roman" w:hAnsi="Times New Roman" w:cs="Times New Roman"/>
          <w:sz w:val="24"/>
          <w:szCs w:val="24"/>
        </w:rPr>
        <w:t>Most of the democracies in the world have experienced defection, due to which instability of the cabinet occurs which is dependent on the support of elected legislators and it amounts to betrayal of the mandate by the people.</w:t>
      </w:r>
    </w:p>
    <w:p w:rsidR="002E08E3" w:rsidRPr="004D39E5" w:rsidRDefault="002E08E3" w:rsidP="004D39E5">
      <w:pPr>
        <w:spacing w:line="360" w:lineRule="auto"/>
        <w:rPr>
          <w:rFonts w:ascii="Times New Roman" w:hAnsi="Times New Roman" w:cs="Times New Roman"/>
          <w:sz w:val="24"/>
          <w:szCs w:val="24"/>
        </w:rPr>
      </w:pPr>
      <w:r w:rsidRPr="004D39E5">
        <w:rPr>
          <w:rFonts w:ascii="Times New Roman" w:hAnsi="Times New Roman" w:cs="Times New Roman"/>
          <w:sz w:val="24"/>
          <w:szCs w:val="24"/>
        </w:rPr>
        <w:t>Prior to Anti-defection law, there were many instances of legislators changing their political allegiance which resulted in uncertainty of the government formed. The Anti-defection law aims for disqualification of the legislators who switch political parties on the lure of executive office or other gains. The main purpose of Anti-defection is to bring political stability and to strengthen our democracy by discouraging legislators from changing parties and make them more responsible and loyal towards their parties.</w:t>
      </w:r>
    </w:p>
    <w:p w:rsidR="002E08E3" w:rsidRPr="004D39E5" w:rsidRDefault="002E08E3" w:rsidP="004D39E5">
      <w:pPr>
        <w:spacing w:line="360" w:lineRule="auto"/>
        <w:rPr>
          <w:rFonts w:ascii="Times New Roman" w:hAnsi="Times New Roman" w:cs="Times New Roman"/>
          <w:sz w:val="24"/>
          <w:szCs w:val="24"/>
        </w:rPr>
      </w:pPr>
      <w:r w:rsidRPr="004D39E5">
        <w:rPr>
          <w:rFonts w:ascii="Times New Roman" w:hAnsi="Times New Roman" w:cs="Times New Roman"/>
          <w:sz w:val="24"/>
          <w:szCs w:val="24"/>
        </w:rPr>
        <w:t>Anti- defection law provides that, the legislators who after being elected on a party ticket voluntarily gives up the party membership of such political party or are involved in anti-party activities can get disqualified. The conduct of a legislator will decide whether they have left the party or not. The law even applies to the independent MLAs. They are not allowed to join any political party, but if they do, they will lose their membership in the legislature. If the number of MLAs, leaving the political party constitutes 2/3rd of the party’s strength in the legislature, then the Anti-defection law would not get applied on them. They can merge with other political party or can make their own separate group.</w:t>
      </w:r>
    </w:p>
    <w:p w:rsidR="00140FA6" w:rsidRPr="004D39E5" w:rsidRDefault="002E08E3" w:rsidP="004D39E5">
      <w:pPr>
        <w:spacing w:line="360" w:lineRule="auto"/>
        <w:rPr>
          <w:rFonts w:ascii="Times New Roman" w:hAnsi="Times New Roman" w:cs="Times New Roman"/>
          <w:sz w:val="24"/>
          <w:szCs w:val="24"/>
        </w:rPr>
      </w:pPr>
      <w:r w:rsidRPr="004D39E5">
        <w:rPr>
          <w:rFonts w:ascii="Times New Roman" w:hAnsi="Times New Roman" w:cs="Times New Roman"/>
          <w:b/>
          <w:bCs/>
          <w:sz w:val="24"/>
          <w:szCs w:val="24"/>
        </w:rPr>
        <w:t>History-</w:t>
      </w:r>
    </w:p>
    <w:p w:rsidR="002E08E3" w:rsidRPr="004D39E5" w:rsidRDefault="002E08E3" w:rsidP="004D39E5">
      <w:pPr>
        <w:spacing w:line="360" w:lineRule="auto"/>
        <w:rPr>
          <w:rFonts w:ascii="Times New Roman" w:hAnsi="Times New Roman" w:cs="Times New Roman"/>
          <w:sz w:val="24"/>
          <w:szCs w:val="24"/>
        </w:rPr>
      </w:pPr>
      <w:r w:rsidRPr="004D39E5">
        <w:rPr>
          <w:rFonts w:ascii="Times New Roman" w:hAnsi="Times New Roman" w:cs="Times New Roman"/>
          <w:sz w:val="24"/>
          <w:szCs w:val="24"/>
        </w:rPr>
        <w:t>Around 1960, the increasing coalition politics also increased the process of defection as elected representatives sought to occupy a berth in the cabinet of ministers. As an example in 1967, a legislator Gaya Lal changed his allegiance 3 times in a single day and gave rise to the phrase of “Aaya Ram Gaya Ram”. He fortnight went to Janata party from Congress and then came back to Congress and again went to Janata party.</w:t>
      </w:r>
    </w:p>
    <w:p w:rsidR="00140FA6" w:rsidRPr="004D39E5" w:rsidRDefault="00140FA6" w:rsidP="004D39E5">
      <w:pPr>
        <w:spacing w:line="360" w:lineRule="auto"/>
        <w:rPr>
          <w:rFonts w:ascii="Times New Roman" w:hAnsi="Times New Roman" w:cs="Times New Roman"/>
          <w:sz w:val="24"/>
          <w:szCs w:val="24"/>
        </w:rPr>
      </w:pPr>
    </w:p>
    <w:p w:rsidR="002E08E3" w:rsidRPr="004D39E5" w:rsidRDefault="002E08E3" w:rsidP="004D39E5">
      <w:pPr>
        <w:spacing w:line="360" w:lineRule="auto"/>
        <w:rPr>
          <w:rFonts w:ascii="Times New Roman" w:hAnsi="Times New Roman" w:cs="Times New Roman"/>
          <w:sz w:val="24"/>
          <w:szCs w:val="24"/>
        </w:rPr>
      </w:pPr>
      <w:r w:rsidRPr="004D39E5">
        <w:rPr>
          <w:rFonts w:ascii="Times New Roman" w:hAnsi="Times New Roman" w:cs="Times New Roman"/>
          <w:sz w:val="24"/>
          <w:szCs w:val="24"/>
        </w:rPr>
        <w:t>In 1984, Rajiv Gandhi proposed the Anti-defection bill in the parliament. After marathon of debates, both the Lok Sabha and Rajya Sabha unanimously approved the bill on 30th and 31st January 1985 respectively. The bill received the Presidents approvals on 15th February 1985 and the Act came into effect on 18th March 1985. The law was passed to prevent ongoing defections. The Anti-defection law was added as the 10th schedule in the Indian Constitution. The Chavan committee proposed that a member who switches party affiliation for monetary gain or other kinds of greed, such as an executive office, pledge should be excluded from the parliament and shall also be barred to contest elections for a defined period of time.</w:t>
      </w:r>
    </w:p>
    <w:p w:rsidR="004D39E5" w:rsidRDefault="004D39E5" w:rsidP="004D39E5">
      <w:pPr>
        <w:spacing w:line="360" w:lineRule="auto"/>
        <w:rPr>
          <w:rFonts w:ascii="Times New Roman" w:hAnsi="Times New Roman" w:cs="Times New Roman"/>
          <w:sz w:val="24"/>
          <w:szCs w:val="24"/>
        </w:rPr>
      </w:pPr>
    </w:p>
    <w:p w:rsidR="002E08E3" w:rsidRPr="004D39E5" w:rsidRDefault="002E08E3" w:rsidP="004D39E5">
      <w:pPr>
        <w:spacing w:line="360" w:lineRule="auto"/>
        <w:rPr>
          <w:rFonts w:ascii="Times New Roman" w:hAnsi="Times New Roman" w:cs="Times New Roman"/>
          <w:b/>
          <w:bCs/>
          <w:sz w:val="24"/>
          <w:szCs w:val="24"/>
        </w:rPr>
      </w:pPr>
      <w:r w:rsidRPr="004D39E5">
        <w:rPr>
          <w:rFonts w:ascii="Times New Roman" w:hAnsi="Times New Roman" w:cs="Times New Roman"/>
          <w:b/>
          <w:bCs/>
          <w:sz w:val="24"/>
          <w:szCs w:val="24"/>
        </w:rPr>
        <w:t>Indian Constitution –</w:t>
      </w:r>
    </w:p>
    <w:p w:rsidR="002E08E3" w:rsidRPr="004D39E5" w:rsidRDefault="002E08E3" w:rsidP="004D39E5">
      <w:pPr>
        <w:spacing w:line="360" w:lineRule="auto"/>
        <w:rPr>
          <w:rFonts w:ascii="Times New Roman" w:hAnsi="Times New Roman" w:cs="Times New Roman"/>
          <w:sz w:val="24"/>
          <w:szCs w:val="24"/>
        </w:rPr>
      </w:pPr>
      <w:r w:rsidRPr="004D39E5">
        <w:rPr>
          <w:rFonts w:ascii="Times New Roman" w:hAnsi="Times New Roman" w:cs="Times New Roman"/>
          <w:sz w:val="24"/>
          <w:szCs w:val="24"/>
        </w:rPr>
        <w:t>After the famous case of “Aaya Ram, Gaya Ram”, the need for anti-defection was felt and thus in the year 1985, tenth schedule was inserted in the Indian constitution by 52nd Amendment. Anti-defection law was come into force on 1st March 1985.</w:t>
      </w:r>
    </w:p>
    <w:p w:rsidR="002E08E3" w:rsidRPr="004D39E5" w:rsidRDefault="002E08E3" w:rsidP="004D39E5">
      <w:pPr>
        <w:spacing w:line="360" w:lineRule="auto"/>
        <w:rPr>
          <w:rFonts w:ascii="Times New Roman" w:hAnsi="Times New Roman" w:cs="Times New Roman"/>
          <w:sz w:val="24"/>
          <w:szCs w:val="24"/>
        </w:rPr>
      </w:pPr>
    </w:p>
    <w:p w:rsidR="002E08E3" w:rsidRPr="004D39E5" w:rsidRDefault="002E08E3" w:rsidP="004D39E5">
      <w:pPr>
        <w:spacing w:line="360" w:lineRule="auto"/>
        <w:rPr>
          <w:rFonts w:ascii="Times New Roman" w:hAnsi="Times New Roman" w:cs="Times New Roman"/>
          <w:b/>
          <w:bCs/>
          <w:sz w:val="24"/>
          <w:szCs w:val="24"/>
        </w:rPr>
      </w:pPr>
      <w:r w:rsidRPr="004D39E5">
        <w:rPr>
          <w:rFonts w:ascii="Times New Roman" w:hAnsi="Times New Roman" w:cs="Times New Roman"/>
          <w:b/>
          <w:bCs/>
          <w:sz w:val="24"/>
          <w:szCs w:val="24"/>
        </w:rPr>
        <w:t>Grounds of Disqualification-</w:t>
      </w:r>
    </w:p>
    <w:p w:rsidR="002E08E3" w:rsidRPr="004D39E5" w:rsidRDefault="002E08E3" w:rsidP="004D39E5">
      <w:pPr>
        <w:spacing w:line="360" w:lineRule="auto"/>
        <w:rPr>
          <w:rFonts w:ascii="Times New Roman" w:hAnsi="Times New Roman" w:cs="Times New Roman"/>
          <w:sz w:val="24"/>
          <w:szCs w:val="24"/>
        </w:rPr>
      </w:pPr>
      <w:r w:rsidRPr="004D39E5">
        <w:rPr>
          <w:rFonts w:ascii="Times New Roman" w:hAnsi="Times New Roman" w:cs="Times New Roman"/>
          <w:sz w:val="24"/>
          <w:szCs w:val="24"/>
        </w:rPr>
        <w:t>Paragraph 2 of 10th schedule states the ground for disqualification of member of any state or central legislature. Following are the grounds for disqualification-</w:t>
      </w:r>
    </w:p>
    <w:p w:rsidR="002E08E3" w:rsidRPr="004D39E5" w:rsidRDefault="002E08E3" w:rsidP="004D39E5">
      <w:pPr>
        <w:spacing w:line="360" w:lineRule="auto"/>
        <w:rPr>
          <w:rFonts w:ascii="Times New Roman" w:hAnsi="Times New Roman" w:cs="Times New Roman"/>
          <w:sz w:val="24"/>
          <w:szCs w:val="24"/>
        </w:rPr>
      </w:pPr>
      <w:r w:rsidRPr="004D39E5">
        <w:rPr>
          <w:rFonts w:ascii="Times New Roman" w:hAnsi="Times New Roman" w:cs="Times New Roman"/>
          <w:sz w:val="24"/>
          <w:szCs w:val="24"/>
        </w:rPr>
        <w:t>1. If any member voluntarily gives up his membership of such political party.</w:t>
      </w:r>
    </w:p>
    <w:p w:rsidR="002E08E3" w:rsidRPr="004D39E5" w:rsidRDefault="002E08E3" w:rsidP="004D39E5">
      <w:pPr>
        <w:spacing w:line="360" w:lineRule="auto"/>
        <w:rPr>
          <w:rFonts w:ascii="Times New Roman" w:hAnsi="Times New Roman" w:cs="Times New Roman"/>
          <w:sz w:val="24"/>
          <w:szCs w:val="24"/>
        </w:rPr>
      </w:pPr>
      <w:r w:rsidRPr="004D39E5">
        <w:rPr>
          <w:rFonts w:ascii="Times New Roman" w:hAnsi="Times New Roman" w:cs="Times New Roman"/>
          <w:sz w:val="24"/>
          <w:szCs w:val="24"/>
        </w:rPr>
        <w:t>2. If he votes or abstains from voting in the house or if he disobeys or go against the directions of his political party in such house.</w:t>
      </w:r>
    </w:p>
    <w:p w:rsidR="002E08E3" w:rsidRPr="004D39E5" w:rsidRDefault="002E08E3" w:rsidP="004D39E5">
      <w:pPr>
        <w:spacing w:line="360" w:lineRule="auto"/>
        <w:rPr>
          <w:rFonts w:ascii="Times New Roman" w:hAnsi="Times New Roman" w:cs="Times New Roman"/>
          <w:sz w:val="24"/>
          <w:szCs w:val="24"/>
        </w:rPr>
      </w:pPr>
      <w:r w:rsidRPr="004D39E5">
        <w:rPr>
          <w:rFonts w:ascii="Times New Roman" w:hAnsi="Times New Roman" w:cs="Times New Roman"/>
          <w:sz w:val="24"/>
          <w:szCs w:val="24"/>
        </w:rPr>
        <w:t>3. If any independent member joins any political party.</w:t>
      </w:r>
    </w:p>
    <w:p w:rsidR="002E08E3" w:rsidRPr="004D39E5" w:rsidRDefault="002E08E3" w:rsidP="004D39E5">
      <w:pPr>
        <w:spacing w:line="360" w:lineRule="auto"/>
        <w:rPr>
          <w:rFonts w:ascii="Times New Roman" w:hAnsi="Times New Roman" w:cs="Times New Roman"/>
          <w:sz w:val="24"/>
          <w:szCs w:val="24"/>
        </w:rPr>
      </w:pPr>
      <w:r w:rsidRPr="004D39E5">
        <w:rPr>
          <w:rFonts w:ascii="Times New Roman" w:hAnsi="Times New Roman" w:cs="Times New Roman"/>
          <w:sz w:val="24"/>
          <w:szCs w:val="24"/>
        </w:rPr>
        <w:t>4. If any nominated member joins any political party after the expiry of 6 months from the day he became the member of legislature.</w:t>
      </w:r>
    </w:p>
    <w:p w:rsidR="002E08E3" w:rsidRPr="004D39E5" w:rsidRDefault="002E08E3" w:rsidP="004D39E5">
      <w:pPr>
        <w:spacing w:line="360" w:lineRule="auto"/>
        <w:rPr>
          <w:rFonts w:ascii="Times New Roman" w:hAnsi="Times New Roman" w:cs="Times New Roman"/>
          <w:sz w:val="24"/>
          <w:szCs w:val="24"/>
        </w:rPr>
      </w:pPr>
    </w:p>
    <w:p w:rsidR="002F5ED6" w:rsidRDefault="002E08E3" w:rsidP="004D39E5">
      <w:pPr>
        <w:spacing w:line="360" w:lineRule="auto"/>
        <w:rPr>
          <w:rFonts w:ascii="Times New Roman" w:hAnsi="Times New Roman" w:cs="Times New Roman"/>
          <w:b/>
          <w:bCs/>
          <w:sz w:val="24"/>
          <w:szCs w:val="24"/>
        </w:rPr>
      </w:pPr>
      <w:r w:rsidRPr="004D39E5">
        <w:rPr>
          <w:rFonts w:ascii="Times New Roman" w:hAnsi="Times New Roman" w:cs="Times New Roman"/>
          <w:b/>
          <w:bCs/>
          <w:sz w:val="24"/>
          <w:szCs w:val="24"/>
        </w:rPr>
        <w:t>Exceptions-</w:t>
      </w:r>
    </w:p>
    <w:p w:rsidR="002E08E3" w:rsidRPr="002F5ED6" w:rsidRDefault="002E08E3" w:rsidP="004D39E5">
      <w:pPr>
        <w:spacing w:line="360" w:lineRule="auto"/>
        <w:rPr>
          <w:rFonts w:ascii="Times New Roman" w:hAnsi="Times New Roman" w:cs="Times New Roman"/>
          <w:b/>
          <w:bCs/>
          <w:sz w:val="24"/>
          <w:szCs w:val="24"/>
        </w:rPr>
      </w:pPr>
      <w:r w:rsidRPr="004D39E5">
        <w:rPr>
          <w:rFonts w:ascii="Times New Roman" w:hAnsi="Times New Roman" w:cs="Times New Roman"/>
          <w:sz w:val="24"/>
          <w:szCs w:val="24"/>
        </w:rPr>
        <w:t xml:space="preserve">There are exceptions in Anti-defection law, where the legislators change their political allegiance without any risk of disqualification. Paragraph 4 of 10th schedule states the ground </w:t>
      </w:r>
      <w:r w:rsidRPr="004D39E5">
        <w:rPr>
          <w:rFonts w:ascii="Times New Roman" w:hAnsi="Times New Roman" w:cs="Times New Roman"/>
          <w:sz w:val="24"/>
          <w:szCs w:val="24"/>
        </w:rPr>
        <w:lastRenderedPageBreak/>
        <w:t>where defection would not get applied. It happens in case of ‘merger’, where law allows a party to merge with another party, when at least two-thirds of its legislators are in favor of merger. Before 91st Constitutional Amendment Act 2003, defection by one-third of elected members of political party was considered as ‘merger’, but after the amendment, now at least two-thirds of the members of the party must be in favor of ‘merger’, to gain validity in the eyes of law. If there is any ‘merger’, then disqualification would not be done.</w:t>
      </w:r>
    </w:p>
    <w:p w:rsidR="002E08E3" w:rsidRPr="004D39E5" w:rsidRDefault="002E08E3" w:rsidP="004D39E5">
      <w:pPr>
        <w:spacing w:line="360" w:lineRule="auto"/>
        <w:rPr>
          <w:rFonts w:ascii="Times New Roman" w:hAnsi="Times New Roman" w:cs="Times New Roman"/>
          <w:sz w:val="24"/>
          <w:szCs w:val="24"/>
        </w:rPr>
      </w:pPr>
    </w:p>
    <w:p w:rsidR="002E08E3" w:rsidRPr="004D39E5" w:rsidRDefault="002E08E3" w:rsidP="004D39E5">
      <w:pPr>
        <w:spacing w:line="360" w:lineRule="auto"/>
        <w:rPr>
          <w:rFonts w:ascii="Times New Roman" w:hAnsi="Times New Roman" w:cs="Times New Roman"/>
          <w:b/>
          <w:bCs/>
          <w:sz w:val="24"/>
          <w:szCs w:val="24"/>
        </w:rPr>
      </w:pPr>
      <w:r w:rsidRPr="004D39E5">
        <w:rPr>
          <w:rFonts w:ascii="Times New Roman" w:hAnsi="Times New Roman" w:cs="Times New Roman"/>
          <w:b/>
          <w:bCs/>
          <w:sz w:val="24"/>
          <w:szCs w:val="24"/>
        </w:rPr>
        <w:t>Decisions on questions as to disqualification on grounds of defection-</w:t>
      </w:r>
    </w:p>
    <w:p w:rsidR="002E08E3" w:rsidRPr="004D39E5" w:rsidRDefault="002E08E3" w:rsidP="004D39E5">
      <w:pPr>
        <w:spacing w:line="360" w:lineRule="auto"/>
        <w:rPr>
          <w:rFonts w:ascii="Times New Roman" w:hAnsi="Times New Roman" w:cs="Times New Roman"/>
          <w:sz w:val="24"/>
          <w:szCs w:val="24"/>
        </w:rPr>
      </w:pPr>
      <w:r w:rsidRPr="004D39E5">
        <w:rPr>
          <w:rFonts w:ascii="Times New Roman" w:hAnsi="Times New Roman" w:cs="Times New Roman"/>
          <w:sz w:val="24"/>
          <w:szCs w:val="24"/>
        </w:rPr>
        <w:t>Paragraph 6 of 10th schedule says that, if there is any question raised as to disqualification on the grounds of defection, then it is referred to Chairman or Speaker of such house, where their decision is final and they are considered as the ultimate decision-making authority. The proceedings of disqualification under this schedule are considered as to be proceedings in Parliament or the Legislature of a state as is the case.</w:t>
      </w:r>
    </w:p>
    <w:p w:rsidR="004D39E5" w:rsidRDefault="004D39E5" w:rsidP="004D39E5">
      <w:pPr>
        <w:spacing w:line="360" w:lineRule="auto"/>
        <w:rPr>
          <w:rFonts w:ascii="Times New Roman" w:hAnsi="Times New Roman" w:cs="Times New Roman"/>
          <w:sz w:val="24"/>
          <w:szCs w:val="24"/>
        </w:rPr>
      </w:pPr>
    </w:p>
    <w:p w:rsidR="002E08E3" w:rsidRPr="004D39E5" w:rsidRDefault="002E08E3" w:rsidP="004D39E5">
      <w:pPr>
        <w:spacing w:line="360" w:lineRule="auto"/>
        <w:rPr>
          <w:rFonts w:ascii="Times New Roman" w:hAnsi="Times New Roman" w:cs="Times New Roman"/>
          <w:b/>
          <w:bCs/>
          <w:sz w:val="24"/>
          <w:szCs w:val="24"/>
        </w:rPr>
      </w:pPr>
      <w:r w:rsidRPr="004D39E5">
        <w:rPr>
          <w:rFonts w:ascii="Times New Roman" w:hAnsi="Times New Roman" w:cs="Times New Roman"/>
          <w:b/>
          <w:bCs/>
          <w:sz w:val="24"/>
          <w:szCs w:val="24"/>
        </w:rPr>
        <w:t>Bar on jurisdiction of courts-</w:t>
      </w:r>
    </w:p>
    <w:p w:rsidR="002E08E3" w:rsidRPr="004D39E5" w:rsidRDefault="002E08E3" w:rsidP="004D39E5">
      <w:pPr>
        <w:spacing w:line="360" w:lineRule="auto"/>
        <w:rPr>
          <w:rFonts w:ascii="Times New Roman" w:hAnsi="Times New Roman" w:cs="Times New Roman"/>
          <w:sz w:val="24"/>
          <w:szCs w:val="24"/>
        </w:rPr>
      </w:pPr>
      <w:r w:rsidRPr="004D39E5">
        <w:rPr>
          <w:rFonts w:ascii="Times New Roman" w:hAnsi="Times New Roman" w:cs="Times New Roman"/>
          <w:sz w:val="24"/>
          <w:szCs w:val="24"/>
        </w:rPr>
        <w:t>Para 7 of 10th schedule puts a bar on the jurisdiction of courts in case of disqualification of a member of the house but this paragraph was declared invalid later on due to the want of ratification. The Parliament cannot alter the basic structure of the Constitution, which was developed by Supreme Court in Kesavananda Bharti case. Out of these features, one feature was altered under the 10th schedule which is ‘judicial review’. It gave review jurisdiction to the Supreme Court and High Court, to review the decision of speaker if any dispute arises. It was much needed otherwise the speaker would have never been call in question.</w:t>
      </w:r>
    </w:p>
    <w:p w:rsidR="002E08E3" w:rsidRPr="004D39E5" w:rsidRDefault="002E08E3" w:rsidP="004D39E5">
      <w:pPr>
        <w:spacing w:line="360" w:lineRule="auto"/>
        <w:rPr>
          <w:rFonts w:ascii="Times New Roman" w:hAnsi="Times New Roman" w:cs="Times New Roman"/>
          <w:sz w:val="24"/>
          <w:szCs w:val="24"/>
        </w:rPr>
      </w:pPr>
    </w:p>
    <w:p w:rsidR="002E08E3" w:rsidRPr="004D39E5" w:rsidRDefault="002E08E3" w:rsidP="004D39E5">
      <w:pPr>
        <w:spacing w:line="360" w:lineRule="auto"/>
        <w:rPr>
          <w:rFonts w:ascii="Times New Roman" w:hAnsi="Times New Roman" w:cs="Times New Roman"/>
          <w:sz w:val="24"/>
          <w:szCs w:val="24"/>
        </w:rPr>
      </w:pPr>
      <w:r w:rsidRPr="004D39E5">
        <w:rPr>
          <w:rFonts w:ascii="Times New Roman" w:hAnsi="Times New Roman" w:cs="Times New Roman"/>
          <w:sz w:val="24"/>
          <w:szCs w:val="24"/>
        </w:rPr>
        <w:t>In Kihoto Hollohon vs Zachillu case 1992, it was held by the Supreme Court that the decision of chairman and speaker regarding the disqualification is valid, but it is questionable before the court of law, means it is subject to judicial review. It was also held that any law which affects Articles 136, 226 and 227 of the Constitution needs to be ratified by the states under Article 368(2) of the Constitution.</w:t>
      </w:r>
    </w:p>
    <w:p w:rsidR="002E08E3" w:rsidRPr="004D39E5" w:rsidRDefault="002E08E3" w:rsidP="004D39E5">
      <w:pPr>
        <w:spacing w:line="360" w:lineRule="auto"/>
        <w:rPr>
          <w:rFonts w:ascii="Times New Roman" w:hAnsi="Times New Roman" w:cs="Times New Roman"/>
          <w:sz w:val="24"/>
          <w:szCs w:val="24"/>
        </w:rPr>
      </w:pPr>
    </w:p>
    <w:p w:rsidR="002E08E3" w:rsidRPr="004D39E5" w:rsidRDefault="002E08E3" w:rsidP="004D39E5">
      <w:pPr>
        <w:spacing w:line="360" w:lineRule="auto"/>
        <w:rPr>
          <w:rFonts w:ascii="Times New Roman" w:hAnsi="Times New Roman" w:cs="Times New Roman"/>
          <w:b/>
          <w:bCs/>
          <w:sz w:val="24"/>
          <w:szCs w:val="24"/>
        </w:rPr>
      </w:pPr>
      <w:r w:rsidRPr="004D39E5">
        <w:rPr>
          <w:rFonts w:ascii="Times New Roman" w:hAnsi="Times New Roman" w:cs="Times New Roman"/>
          <w:b/>
          <w:bCs/>
          <w:sz w:val="24"/>
          <w:szCs w:val="24"/>
        </w:rPr>
        <w:t>Is there any time limit within which the Presiding officer should decide?</w:t>
      </w:r>
    </w:p>
    <w:p w:rsidR="002E08E3" w:rsidRPr="004D39E5" w:rsidRDefault="002E08E3" w:rsidP="004D39E5">
      <w:pPr>
        <w:spacing w:line="360" w:lineRule="auto"/>
        <w:rPr>
          <w:rFonts w:ascii="Times New Roman" w:hAnsi="Times New Roman" w:cs="Times New Roman"/>
          <w:sz w:val="24"/>
          <w:szCs w:val="24"/>
        </w:rPr>
      </w:pPr>
      <w:r w:rsidRPr="004D39E5">
        <w:rPr>
          <w:rFonts w:ascii="Times New Roman" w:hAnsi="Times New Roman" w:cs="Times New Roman"/>
          <w:sz w:val="24"/>
          <w:szCs w:val="24"/>
        </w:rPr>
        <w:lastRenderedPageBreak/>
        <w:t>There is no time limit prescribed within which the Presiding officers should decide on a plea for disqualification. As there is no time limit, the Courts have expressed concern over the unnecessary delay in deciding such petitions. Because of the delay in making decisions by the Speaker or Chairman, there have been situations where members who had defected from their political parties continued to be House members.</w:t>
      </w:r>
    </w:p>
    <w:p w:rsidR="002E08E3" w:rsidRPr="004D39E5" w:rsidRDefault="002E08E3" w:rsidP="004D39E5">
      <w:pPr>
        <w:spacing w:line="360" w:lineRule="auto"/>
        <w:rPr>
          <w:rFonts w:ascii="Times New Roman" w:hAnsi="Times New Roman" w:cs="Times New Roman"/>
          <w:sz w:val="24"/>
          <w:szCs w:val="24"/>
        </w:rPr>
      </w:pPr>
    </w:p>
    <w:p w:rsidR="002E08E3" w:rsidRPr="004D39E5" w:rsidRDefault="002E08E3" w:rsidP="004D39E5">
      <w:pPr>
        <w:spacing w:line="360" w:lineRule="auto"/>
        <w:rPr>
          <w:rFonts w:ascii="Times New Roman" w:hAnsi="Times New Roman" w:cs="Times New Roman"/>
          <w:b/>
          <w:bCs/>
          <w:sz w:val="24"/>
          <w:szCs w:val="24"/>
        </w:rPr>
      </w:pPr>
      <w:r w:rsidRPr="004D39E5">
        <w:rPr>
          <w:rFonts w:ascii="Times New Roman" w:hAnsi="Times New Roman" w:cs="Times New Roman"/>
          <w:b/>
          <w:bCs/>
          <w:sz w:val="24"/>
          <w:szCs w:val="24"/>
        </w:rPr>
        <w:t>Burden of proof-</w:t>
      </w:r>
    </w:p>
    <w:p w:rsidR="002E08E3" w:rsidRPr="004D39E5" w:rsidRDefault="002E08E3" w:rsidP="004D39E5">
      <w:pPr>
        <w:spacing w:line="360" w:lineRule="auto"/>
        <w:rPr>
          <w:rFonts w:ascii="Times New Roman" w:hAnsi="Times New Roman" w:cs="Times New Roman"/>
          <w:sz w:val="24"/>
          <w:szCs w:val="24"/>
        </w:rPr>
      </w:pPr>
      <w:r w:rsidRPr="004D39E5">
        <w:rPr>
          <w:rFonts w:ascii="Times New Roman" w:hAnsi="Times New Roman" w:cs="Times New Roman"/>
          <w:sz w:val="24"/>
          <w:szCs w:val="24"/>
        </w:rPr>
        <w:t>It was held in, Ravi S Naik case 1994 that, to prove that there was no willingness to leave the party will always be against the legislator on whom the charges have been made. The Supreme Court in this case explained the phrase “voluntarily gives up the membership of a political party” is not synonymous with resignation and it has wider connotations.</w:t>
      </w:r>
    </w:p>
    <w:p w:rsidR="002E08E3" w:rsidRPr="004D39E5" w:rsidRDefault="002E08E3" w:rsidP="004D39E5">
      <w:pPr>
        <w:spacing w:line="360" w:lineRule="auto"/>
        <w:rPr>
          <w:rFonts w:ascii="Times New Roman" w:hAnsi="Times New Roman" w:cs="Times New Roman"/>
          <w:sz w:val="24"/>
          <w:szCs w:val="24"/>
        </w:rPr>
      </w:pPr>
    </w:p>
    <w:p w:rsidR="002E08E3" w:rsidRPr="004D39E5" w:rsidRDefault="002E08E3" w:rsidP="004D39E5">
      <w:pPr>
        <w:spacing w:line="360" w:lineRule="auto"/>
        <w:rPr>
          <w:rFonts w:ascii="Times New Roman" w:hAnsi="Times New Roman" w:cs="Times New Roman"/>
          <w:b/>
          <w:bCs/>
          <w:sz w:val="24"/>
          <w:szCs w:val="24"/>
        </w:rPr>
      </w:pPr>
      <w:r w:rsidRPr="004D39E5">
        <w:rPr>
          <w:rFonts w:ascii="Times New Roman" w:hAnsi="Times New Roman" w:cs="Times New Roman"/>
          <w:b/>
          <w:bCs/>
          <w:sz w:val="24"/>
          <w:szCs w:val="24"/>
        </w:rPr>
        <w:t>Issues-</w:t>
      </w:r>
    </w:p>
    <w:p w:rsidR="002E08E3" w:rsidRPr="004D39E5" w:rsidRDefault="002E08E3" w:rsidP="004D39E5">
      <w:pPr>
        <w:spacing w:line="360" w:lineRule="auto"/>
        <w:rPr>
          <w:rFonts w:ascii="Times New Roman" w:hAnsi="Times New Roman" w:cs="Times New Roman"/>
          <w:sz w:val="24"/>
          <w:szCs w:val="24"/>
        </w:rPr>
      </w:pPr>
      <w:r w:rsidRPr="004D39E5">
        <w:rPr>
          <w:rFonts w:ascii="Times New Roman" w:hAnsi="Times New Roman" w:cs="Times New Roman"/>
          <w:sz w:val="24"/>
          <w:szCs w:val="24"/>
        </w:rPr>
        <w:t>1. Anti-defection law has undermined Representative and Parliamentary democracy, as the MP or MLA has no freedom to vote in their judgment and has to follow party’s instruction blindly.</w:t>
      </w:r>
    </w:p>
    <w:p w:rsidR="002E08E3" w:rsidRPr="004D39E5" w:rsidRDefault="002E08E3" w:rsidP="004D39E5">
      <w:pPr>
        <w:spacing w:line="360" w:lineRule="auto"/>
        <w:rPr>
          <w:rFonts w:ascii="Times New Roman" w:hAnsi="Times New Roman" w:cs="Times New Roman"/>
          <w:sz w:val="24"/>
          <w:szCs w:val="24"/>
        </w:rPr>
      </w:pPr>
      <w:r w:rsidRPr="004D39E5">
        <w:rPr>
          <w:rFonts w:ascii="Times New Roman" w:hAnsi="Times New Roman" w:cs="Times New Roman"/>
          <w:sz w:val="24"/>
          <w:szCs w:val="24"/>
        </w:rPr>
        <w:t>2. As there is no time limit prescribed within which decisions must be taken by Speaker or Chairman, thus, few cases take six months to dispose off while others take more than three years.</w:t>
      </w:r>
    </w:p>
    <w:p w:rsidR="002E08E3" w:rsidRPr="004D39E5" w:rsidRDefault="002E08E3" w:rsidP="004D39E5">
      <w:pPr>
        <w:spacing w:line="360" w:lineRule="auto"/>
        <w:rPr>
          <w:rFonts w:ascii="Times New Roman" w:hAnsi="Times New Roman" w:cs="Times New Roman"/>
          <w:sz w:val="24"/>
          <w:szCs w:val="24"/>
        </w:rPr>
      </w:pPr>
      <w:r w:rsidRPr="004D39E5">
        <w:rPr>
          <w:rFonts w:ascii="Times New Roman" w:hAnsi="Times New Roman" w:cs="Times New Roman"/>
          <w:sz w:val="24"/>
          <w:szCs w:val="24"/>
        </w:rPr>
        <w:t>3. Due to the two-thirds exception clause, there has been the recognition of merger but the 91st amendment does not recognize a ‘split’ in a legislature party. Para 4 of 10th schedule creates a legal fiction, indicating that two-thirds members of legislature can be deemed to be a merger of political parties, even if there is no actual merger of the original political party with another party.</w:t>
      </w:r>
    </w:p>
    <w:p w:rsidR="002E08E3" w:rsidRPr="004D39E5" w:rsidRDefault="002E08E3" w:rsidP="004D39E5">
      <w:pPr>
        <w:spacing w:line="360" w:lineRule="auto"/>
        <w:rPr>
          <w:rFonts w:ascii="Times New Roman" w:hAnsi="Times New Roman" w:cs="Times New Roman"/>
          <w:sz w:val="24"/>
          <w:szCs w:val="24"/>
        </w:rPr>
      </w:pPr>
      <w:r w:rsidRPr="004D39E5">
        <w:rPr>
          <w:rFonts w:ascii="Times New Roman" w:hAnsi="Times New Roman" w:cs="Times New Roman"/>
          <w:sz w:val="24"/>
          <w:szCs w:val="24"/>
        </w:rPr>
        <w:t>4. There has been subversion of electoral mandate due to lure of ministerial berths or financial gains.</w:t>
      </w:r>
    </w:p>
    <w:p w:rsidR="002E08E3" w:rsidRPr="004D39E5" w:rsidRDefault="002E08E3" w:rsidP="004D39E5">
      <w:pPr>
        <w:spacing w:line="360" w:lineRule="auto"/>
        <w:rPr>
          <w:rFonts w:ascii="Times New Roman" w:hAnsi="Times New Roman" w:cs="Times New Roman"/>
          <w:sz w:val="24"/>
          <w:szCs w:val="24"/>
        </w:rPr>
      </w:pPr>
      <w:r w:rsidRPr="004D39E5">
        <w:rPr>
          <w:rFonts w:ascii="Times New Roman" w:hAnsi="Times New Roman" w:cs="Times New Roman"/>
          <w:sz w:val="24"/>
          <w:szCs w:val="24"/>
        </w:rPr>
        <w:t>5. There has been continuous horse-trading of legislators, which is against the democratic setup.</w:t>
      </w:r>
    </w:p>
    <w:p w:rsidR="002E08E3" w:rsidRPr="004D39E5" w:rsidRDefault="002E08E3" w:rsidP="004D39E5">
      <w:pPr>
        <w:spacing w:line="360" w:lineRule="auto"/>
        <w:rPr>
          <w:rFonts w:ascii="Times New Roman" w:hAnsi="Times New Roman" w:cs="Times New Roman"/>
          <w:sz w:val="24"/>
          <w:szCs w:val="24"/>
        </w:rPr>
      </w:pPr>
      <w:r w:rsidRPr="004D39E5">
        <w:rPr>
          <w:rFonts w:ascii="Times New Roman" w:hAnsi="Times New Roman" w:cs="Times New Roman"/>
          <w:sz w:val="24"/>
          <w:szCs w:val="24"/>
        </w:rPr>
        <w:lastRenderedPageBreak/>
        <w:t>6. Anti-defection law allows wholesale defection, but not retail defection. It is one of the loopholes which needs to be fixed.</w:t>
      </w:r>
    </w:p>
    <w:p w:rsidR="002E08E3" w:rsidRPr="004D39E5" w:rsidRDefault="002E08E3" w:rsidP="004D39E5">
      <w:pPr>
        <w:spacing w:line="360" w:lineRule="auto"/>
        <w:rPr>
          <w:rFonts w:ascii="Times New Roman" w:hAnsi="Times New Roman" w:cs="Times New Roman"/>
          <w:sz w:val="24"/>
          <w:szCs w:val="24"/>
        </w:rPr>
      </w:pPr>
      <w:r w:rsidRPr="004D39E5">
        <w:rPr>
          <w:rFonts w:ascii="Times New Roman" w:hAnsi="Times New Roman" w:cs="Times New Roman"/>
          <w:sz w:val="24"/>
          <w:szCs w:val="24"/>
        </w:rPr>
        <w:t>7. Rather than creating a democracy of debate and discussions, the anti-defection law has created a democracy of parties and numbers and there has been no differentiation between dissent and defection.</w:t>
      </w:r>
    </w:p>
    <w:p w:rsidR="002F5ED6" w:rsidRDefault="002F5ED6" w:rsidP="004D39E5">
      <w:pPr>
        <w:spacing w:line="360" w:lineRule="auto"/>
        <w:rPr>
          <w:rFonts w:ascii="Times New Roman" w:hAnsi="Times New Roman" w:cs="Times New Roman"/>
          <w:sz w:val="24"/>
          <w:szCs w:val="24"/>
        </w:rPr>
      </w:pPr>
    </w:p>
    <w:p w:rsidR="002E08E3" w:rsidRPr="004D39E5" w:rsidRDefault="002E08E3" w:rsidP="004D39E5">
      <w:pPr>
        <w:spacing w:line="360" w:lineRule="auto"/>
        <w:rPr>
          <w:rFonts w:ascii="Times New Roman" w:hAnsi="Times New Roman" w:cs="Times New Roman"/>
          <w:b/>
          <w:bCs/>
          <w:sz w:val="24"/>
          <w:szCs w:val="24"/>
        </w:rPr>
      </w:pPr>
      <w:r w:rsidRPr="004D39E5">
        <w:rPr>
          <w:rFonts w:ascii="Times New Roman" w:hAnsi="Times New Roman" w:cs="Times New Roman"/>
          <w:b/>
          <w:bCs/>
          <w:sz w:val="24"/>
          <w:szCs w:val="24"/>
        </w:rPr>
        <w:t>What can be done to make anti-defection law more effective?</w:t>
      </w:r>
    </w:p>
    <w:p w:rsidR="002E08E3" w:rsidRPr="004D39E5" w:rsidRDefault="002E08E3" w:rsidP="004D39E5">
      <w:pPr>
        <w:spacing w:line="360" w:lineRule="auto"/>
        <w:rPr>
          <w:rFonts w:ascii="Times New Roman" w:hAnsi="Times New Roman" w:cs="Times New Roman"/>
          <w:sz w:val="24"/>
          <w:szCs w:val="24"/>
        </w:rPr>
      </w:pPr>
      <w:r w:rsidRPr="004D39E5">
        <w:rPr>
          <w:rFonts w:ascii="Times New Roman" w:hAnsi="Times New Roman" w:cs="Times New Roman"/>
          <w:sz w:val="24"/>
          <w:szCs w:val="24"/>
        </w:rPr>
        <w:t>There have been suggestions by election commission that it should be the deciding authority in defection cases, even the National Commission to Review the Working of Constitution have recommended the same that rather than the Presiding officer, the decision of disqualification should be made by President or Governor, on the advice of Election Commission. The need for an independent authority has also been said by Justice Verma in Hollhan judgment. The Supreme Court have suggested that an independent tribunal headed by retired judge of higher judiciary will help in disposing off the cases impartially and swiftly.</w:t>
      </w:r>
    </w:p>
    <w:p w:rsidR="002E08E3" w:rsidRPr="004D39E5" w:rsidRDefault="002E08E3" w:rsidP="004D39E5">
      <w:pPr>
        <w:spacing w:line="360" w:lineRule="auto"/>
        <w:rPr>
          <w:rFonts w:ascii="Times New Roman" w:hAnsi="Times New Roman" w:cs="Times New Roman"/>
          <w:sz w:val="24"/>
          <w:szCs w:val="24"/>
        </w:rPr>
      </w:pPr>
      <w:r w:rsidRPr="004D39E5">
        <w:rPr>
          <w:rFonts w:ascii="Times New Roman" w:hAnsi="Times New Roman" w:cs="Times New Roman"/>
          <w:sz w:val="24"/>
          <w:szCs w:val="24"/>
        </w:rPr>
        <w:t>Also, several experts have suggested that there must be rational use of the anti-defection law and there should be promotion of interparty democracy by listening to the opinion of the members of within parties and giving them the freedom of speech and expression.</w:t>
      </w:r>
    </w:p>
    <w:p w:rsidR="00140FA6" w:rsidRPr="004D39E5" w:rsidRDefault="00140FA6" w:rsidP="004D39E5">
      <w:pPr>
        <w:spacing w:line="360" w:lineRule="auto"/>
        <w:rPr>
          <w:rFonts w:ascii="Times New Roman" w:hAnsi="Times New Roman" w:cs="Times New Roman"/>
          <w:sz w:val="24"/>
          <w:szCs w:val="24"/>
        </w:rPr>
      </w:pPr>
    </w:p>
    <w:p w:rsidR="002E08E3" w:rsidRPr="004D39E5" w:rsidRDefault="002E08E3" w:rsidP="004D39E5">
      <w:pPr>
        <w:spacing w:line="360" w:lineRule="auto"/>
        <w:rPr>
          <w:rFonts w:ascii="Times New Roman" w:hAnsi="Times New Roman" w:cs="Times New Roman"/>
          <w:b/>
          <w:bCs/>
          <w:sz w:val="24"/>
          <w:szCs w:val="24"/>
        </w:rPr>
      </w:pPr>
      <w:r w:rsidRPr="004D39E5">
        <w:rPr>
          <w:rFonts w:ascii="Times New Roman" w:hAnsi="Times New Roman" w:cs="Times New Roman"/>
          <w:b/>
          <w:bCs/>
          <w:sz w:val="24"/>
          <w:szCs w:val="24"/>
        </w:rPr>
        <w:t>Recent-</w:t>
      </w:r>
    </w:p>
    <w:p w:rsidR="002E08E3" w:rsidRPr="004D39E5" w:rsidRDefault="002E08E3" w:rsidP="004D39E5">
      <w:pPr>
        <w:spacing w:line="360" w:lineRule="auto"/>
        <w:rPr>
          <w:rFonts w:ascii="Times New Roman" w:hAnsi="Times New Roman" w:cs="Times New Roman"/>
          <w:sz w:val="24"/>
          <w:szCs w:val="24"/>
        </w:rPr>
      </w:pPr>
      <w:r w:rsidRPr="004D39E5">
        <w:rPr>
          <w:rFonts w:ascii="Times New Roman" w:hAnsi="Times New Roman" w:cs="Times New Roman"/>
          <w:sz w:val="24"/>
          <w:szCs w:val="24"/>
        </w:rPr>
        <w:t>Recently, in Maharashtra Eknath Shinde taken several MLAs from Shiv Sena and he claimed that 40 out of 55 lawmakers support him thereby causing Uddhav Thackeray to resign from his post due to losing majority. There was also resignation of 22 Congress MLAs accepted by speaker in Madhya Pradesh, which led to downfall of Kamal Nath government, major reason was Jyotiraditya Scindia parted ways with Indian National Congress. Few instances of defections by two-third of the strength of a party are of Telangana, where out of 18 MLAs, 12 quit the party and joinedTRS. In Goa, out of 15 Congress MLAs, 10 joined BJP. In Arunachal Pradesh out of 44 MLAs, 43 including the chief minister Prema Khandu, joined other party, by deserting the parent party.</w:t>
      </w:r>
    </w:p>
    <w:p w:rsidR="00D57C83" w:rsidRPr="004D39E5" w:rsidRDefault="00D57C83" w:rsidP="004D39E5">
      <w:pPr>
        <w:spacing w:line="360" w:lineRule="auto"/>
        <w:rPr>
          <w:rFonts w:ascii="Times New Roman" w:hAnsi="Times New Roman" w:cs="Times New Roman"/>
          <w:sz w:val="24"/>
          <w:szCs w:val="24"/>
        </w:rPr>
      </w:pPr>
    </w:p>
    <w:p w:rsidR="002E08E3" w:rsidRPr="004D39E5" w:rsidRDefault="002E08E3" w:rsidP="004D39E5">
      <w:pPr>
        <w:spacing w:line="360" w:lineRule="auto"/>
        <w:rPr>
          <w:rFonts w:ascii="Times New Roman" w:hAnsi="Times New Roman" w:cs="Times New Roman"/>
          <w:b/>
          <w:bCs/>
          <w:sz w:val="24"/>
          <w:szCs w:val="24"/>
        </w:rPr>
      </w:pPr>
      <w:r w:rsidRPr="004D39E5">
        <w:rPr>
          <w:rFonts w:ascii="Times New Roman" w:hAnsi="Times New Roman" w:cs="Times New Roman"/>
          <w:b/>
          <w:bCs/>
          <w:sz w:val="24"/>
          <w:szCs w:val="24"/>
        </w:rPr>
        <w:lastRenderedPageBreak/>
        <w:t>Conclusion-</w:t>
      </w:r>
    </w:p>
    <w:p w:rsidR="002E08E3" w:rsidRDefault="002E08E3" w:rsidP="004D39E5">
      <w:pPr>
        <w:spacing w:line="360" w:lineRule="auto"/>
        <w:rPr>
          <w:rFonts w:ascii="Times New Roman" w:hAnsi="Times New Roman" w:cs="Times New Roman"/>
          <w:sz w:val="24"/>
          <w:szCs w:val="24"/>
        </w:rPr>
      </w:pPr>
      <w:r w:rsidRPr="004D39E5">
        <w:rPr>
          <w:rFonts w:ascii="Times New Roman" w:hAnsi="Times New Roman" w:cs="Times New Roman"/>
          <w:sz w:val="24"/>
          <w:szCs w:val="24"/>
        </w:rPr>
        <w:t>When the Anti-defection law was passed, it focused to bring down the ongoing political defections. But due to increasing political dishonesty and corruption and discovery of a loophole the law never rewards properly. The anti-defection law does try to mitigate such instances, but it is not much sufficient. Now is the time that a watchdog must be provided to our parliament and there is also a need to revisit the issues and loopholes and the purpose of Anti-defection must get strengthened and there would be less political instability and misuse of the law.</w:t>
      </w:r>
    </w:p>
    <w:p w:rsidR="004D39E5" w:rsidRPr="004D39E5" w:rsidRDefault="004D39E5" w:rsidP="004D39E5">
      <w:pPr>
        <w:spacing w:line="360" w:lineRule="auto"/>
        <w:rPr>
          <w:rFonts w:ascii="Times New Roman" w:hAnsi="Times New Roman" w:cs="Times New Roman"/>
          <w:sz w:val="24"/>
          <w:szCs w:val="24"/>
        </w:rPr>
      </w:pPr>
      <w:r>
        <w:rPr>
          <w:rStyle w:val="EndnoteReference"/>
          <w:rFonts w:ascii="Times New Roman" w:hAnsi="Times New Roman" w:cs="Times New Roman"/>
          <w:sz w:val="24"/>
          <w:szCs w:val="24"/>
        </w:rPr>
        <w:endnoteReference w:id="2"/>
      </w:r>
    </w:p>
    <w:sectPr w:rsidR="004D39E5" w:rsidRPr="004D39E5" w:rsidSect="00CF43C4">
      <w:pgSz w:w="11906" w:h="16838"/>
      <w:pgMar w:top="1440" w:right="1440" w:bottom="1440" w:left="144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F03F3" w:rsidRDefault="003F03F3" w:rsidP="00957BA0">
      <w:pPr>
        <w:spacing w:after="0" w:line="240" w:lineRule="auto"/>
      </w:pPr>
      <w:r>
        <w:separator/>
      </w:r>
    </w:p>
  </w:endnote>
  <w:endnote w:type="continuationSeparator" w:id="1">
    <w:p w:rsidR="003F03F3" w:rsidRDefault="003F03F3" w:rsidP="00957BA0">
      <w:pPr>
        <w:spacing w:after="0" w:line="240" w:lineRule="auto"/>
      </w:pPr>
      <w:r>
        <w:continuationSeparator/>
      </w:r>
    </w:p>
  </w:endnote>
  <w:endnote w:id="2">
    <w:p w:rsidR="004D39E5" w:rsidRPr="002F5ED6" w:rsidRDefault="002F5ED6" w:rsidP="002F5ED6">
      <w:pPr>
        <w:pStyle w:val="EndnoteText"/>
        <w:rPr>
          <w:rFonts w:ascii="Times New Roman" w:hAnsi="Times New Roman" w:cs="Times New Roman"/>
          <w:lang w:val="en-US"/>
        </w:rPr>
      </w:pPr>
      <w:r w:rsidRPr="002F5ED6">
        <w:rPr>
          <w:rFonts w:ascii="Times New Roman" w:hAnsi="Times New Roman" w:cs="Times New Roman"/>
          <w:lang w:val="en-US"/>
        </w:rPr>
        <w:t xml:space="preserve">1[TENTH SCHDEULE] </w:t>
      </w:r>
      <w:hyperlink r:id="rId1" w:history="1">
        <w:r w:rsidRPr="002F5ED6">
          <w:rPr>
            <w:rStyle w:val="Hyperlink"/>
            <w:rFonts w:ascii="Times New Roman" w:hAnsi="Times New Roman" w:cs="Times New Roman"/>
            <w:lang w:val="en-US"/>
          </w:rPr>
          <w:t>https://www.mea.gov.in/Images/pdf1/S10.pdf</w:t>
        </w:r>
      </w:hyperlink>
    </w:p>
    <w:p w:rsidR="002F5ED6" w:rsidRPr="002F5ED6" w:rsidRDefault="002F5ED6" w:rsidP="002F5ED6">
      <w:pPr>
        <w:pStyle w:val="EndnoteText"/>
        <w:rPr>
          <w:rFonts w:ascii="Times New Roman" w:hAnsi="Times New Roman" w:cs="Times New Roman"/>
          <w:lang w:val="en-US"/>
        </w:rPr>
      </w:pPr>
    </w:p>
    <w:p w:rsidR="002F5ED6" w:rsidRPr="002F5ED6" w:rsidRDefault="002F5ED6" w:rsidP="002F5ED6">
      <w:pPr>
        <w:pStyle w:val="EndnoteText"/>
        <w:rPr>
          <w:rFonts w:ascii="Times New Roman" w:hAnsi="Times New Roman" w:cs="Times New Roman"/>
          <w:lang w:val="en-US"/>
        </w:rPr>
      </w:pPr>
      <w:r w:rsidRPr="002F5ED6">
        <w:rPr>
          <w:rFonts w:ascii="Times New Roman" w:hAnsi="Times New Roman" w:cs="Times New Roman"/>
          <w:lang w:val="en-US"/>
        </w:rPr>
        <w:t xml:space="preserve">The  absurdity of the anti-defection law </w:t>
      </w:r>
      <w:hyperlink r:id="rId2" w:history="1">
        <w:r w:rsidRPr="002F5ED6">
          <w:rPr>
            <w:rStyle w:val="Hyperlink"/>
            <w:rFonts w:ascii="Times New Roman" w:hAnsi="Times New Roman" w:cs="Times New Roman"/>
            <w:lang w:val="en-US"/>
          </w:rPr>
          <w:t>https://prsindia.org/articles-by-prs-team/the-absurdity-of-the-anti-defection-law</w:t>
        </w:r>
      </w:hyperlink>
    </w:p>
    <w:p w:rsidR="002F5ED6" w:rsidRPr="002F5ED6" w:rsidRDefault="002F5ED6" w:rsidP="002F5ED6">
      <w:pPr>
        <w:pStyle w:val="EndnoteText"/>
        <w:rPr>
          <w:rFonts w:ascii="Times New Roman" w:hAnsi="Times New Roman" w:cs="Times New Roman"/>
          <w:lang w:val="en-US"/>
        </w:rPr>
      </w:pPr>
    </w:p>
    <w:p w:rsidR="002F5ED6" w:rsidRPr="002F5ED6" w:rsidRDefault="002F5ED6" w:rsidP="002F5ED6">
      <w:pPr>
        <w:pStyle w:val="EndnoteText"/>
        <w:rPr>
          <w:rFonts w:ascii="Times New Roman" w:hAnsi="Times New Roman" w:cs="Times New Roman"/>
          <w:lang w:val="en-US"/>
        </w:rPr>
      </w:pPr>
      <w:r w:rsidRPr="002F5ED6">
        <w:rPr>
          <w:rFonts w:ascii="Times New Roman" w:hAnsi="Times New Roman" w:cs="Times New Roman"/>
          <w:lang w:val="en-US"/>
        </w:rPr>
        <w:t xml:space="preserve">Anti- Defection Law- Legal Service India </w:t>
      </w:r>
      <w:hyperlink r:id="rId3" w:history="1">
        <w:r w:rsidRPr="002F5ED6">
          <w:rPr>
            <w:rStyle w:val="Hyperlink"/>
            <w:rFonts w:ascii="Times New Roman" w:hAnsi="Times New Roman" w:cs="Times New Roman"/>
            <w:lang w:val="en-US"/>
          </w:rPr>
          <w:t>https://www.legalserviceindia.com/legal/article-8071-anti-defection-law.html</w:t>
        </w:r>
      </w:hyperlink>
    </w:p>
    <w:p w:rsidR="002F5ED6" w:rsidRPr="002F5ED6" w:rsidRDefault="002F5ED6" w:rsidP="002F5ED6">
      <w:pPr>
        <w:pStyle w:val="EndnoteText"/>
        <w:rPr>
          <w:rFonts w:ascii="Times New Roman" w:hAnsi="Times New Roman" w:cs="Times New Roman"/>
          <w:lang w:val="en-US"/>
        </w:rPr>
      </w:pPr>
    </w:p>
    <w:p w:rsidR="002F5ED6" w:rsidRPr="002F5ED6" w:rsidRDefault="002F5ED6" w:rsidP="002F5ED6">
      <w:pPr>
        <w:pStyle w:val="EndnoteText"/>
        <w:rPr>
          <w:rFonts w:ascii="Times New Roman" w:hAnsi="Times New Roman" w:cs="Times New Roman"/>
          <w:lang w:val="en-US"/>
        </w:rPr>
      </w:pPr>
      <w:r w:rsidRPr="002F5ED6">
        <w:rPr>
          <w:rFonts w:ascii="Times New Roman" w:hAnsi="Times New Roman" w:cs="Times New Roman"/>
          <w:lang w:val="en-US"/>
        </w:rPr>
        <w:t xml:space="preserve">EDITORIAL ANALYSIS – The anti-defection  law </w:t>
      </w:r>
      <w:hyperlink r:id="rId4" w:history="1">
        <w:r w:rsidRPr="002F5ED6">
          <w:rPr>
            <w:rStyle w:val="Hyperlink"/>
            <w:rFonts w:ascii="Times New Roman" w:hAnsi="Times New Roman" w:cs="Times New Roman"/>
            <w:lang w:val="en-US"/>
          </w:rPr>
          <w:t>https://www.insightsonindia.com/2022/06/30/editorial-analysis-the-anti-defection-law-political-facts-legal-fiction/</w:t>
        </w:r>
      </w:hyperlink>
    </w:p>
    <w:p w:rsidR="002F5ED6" w:rsidRDefault="002F5ED6" w:rsidP="002F5ED6">
      <w:pPr>
        <w:pStyle w:val="EndnoteText"/>
        <w:rPr>
          <w:rFonts w:ascii="Times New Roman" w:hAnsi="Times New Roman" w:cs="Times New Roman"/>
          <w:lang w:val="en-US"/>
        </w:rPr>
      </w:pPr>
    </w:p>
    <w:p w:rsidR="002F5ED6" w:rsidRPr="002F5ED6" w:rsidRDefault="002F5ED6" w:rsidP="002F5ED6">
      <w:pPr>
        <w:pStyle w:val="EndnoteText"/>
        <w:rPr>
          <w:rFonts w:ascii="Times New Roman" w:hAnsi="Times New Roman" w:cs="Times New Roman"/>
          <w:lang w:val="en-US"/>
        </w:rPr>
      </w:pPr>
      <w:r w:rsidRPr="002F5ED6">
        <w:rPr>
          <w:rFonts w:ascii="Times New Roman" w:hAnsi="Times New Roman" w:cs="Times New Roman"/>
          <w:lang w:val="en-US"/>
        </w:rPr>
        <w:t xml:space="preserve">A CRITICAL ANALYSIS OF ANTI-DEFECTION LAW – IJLRS </w:t>
      </w:r>
      <w:hyperlink r:id="rId5" w:history="1">
        <w:r w:rsidRPr="002F5ED6">
          <w:rPr>
            <w:rStyle w:val="Hyperlink"/>
            <w:rFonts w:ascii="Times New Roman" w:hAnsi="Times New Roman" w:cs="Times New Roman"/>
            <w:lang w:val="en-US"/>
          </w:rPr>
          <w:t>http://www.ijlrs.com/papers/vol-3-issue-1/1.pdf</w:t>
        </w:r>
      </w:hyperlink>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Mangal">
    <w:altName w:val="Cambria Math"/>
    <w:panose1 w:val="02040503050203030202"/>
    <w:charset w:val="01"/>
    <w:family w:val="roman"/>
    <w:notTrueType/>
    <w:pitch w:val="variable"/>
    <w:sig w:usb0="00002000" w:usb1="00000000" w:usb2="00000000" w:usb3="00000000" w:csb0="00000000"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F03F3" w:rsidRDefault="003F03F3" w:rsidP="00957BA0">
      <w:pPr>
        <w:spacing w:after="0" w:line="240" w:lineRule="auto"/>
      </w:pPr>
      <w:r>
        <w:separator/>
      </w:r>
    </w:p>
  </w:footnote>
  <w:footnote w:type="continuationSeparator" w:id="1">
    <w:p w:rsidR="003F03F3" w:rsidRDefault="003F03F3" w:rsidP="00957BA0">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3483C3A"/>
    <w:multiLevelType w:val="hybridMultilevel"/>
    <w:tmpl w:val="164EFD3A"/>
    <w:lvl w:ilvl="0" w:tplc="B532E698">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2881151F"/>
    <w:multiLevelType w:val="hybridMultilevel"/>
    <w:tmpl w:val="C37870B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74BF0DC8"/>
    <w:multiLevelType w:val="hybridMultilevel"/>
    <w:tmpl w:val="FC04AE90"/>
    <w:lvl w:ilvl="0" w:tplc="9764522C">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2"/>
  </w:num>
  <w:num w:numId="3">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hdrShapeDefaults>
    <o:shapedefaults v:ext="edit" spidmax="4098"/>
  </w:hdrShapeDefaults>
  <w:footnotePr>
    <w:footnote w:id="0"/>
    <w:footnote w:id="1"/>
  </w:footnotePr>
  <w:endnotePr>
    <w:endnote w:id="0"/>
    <w:endnote w:id="1"/>
  </w:endnotePr>
  <w:compat/>
  <w:rsids>
    <w:rsidRoot w:val="002E08E3"/>
    <w:rsid w:val="00140FA6"/>
    <w:rsid w:val="002934DC"/>
    <w:rsid w:val="002E08E3"/>
    <w:rsid w:val="002F5ED6"/>
    <w:rsid w:val="003F03F3"/>
    <w:rsid w:val="004D39E5"/>
    <w:rsid w:val="00957BA0"/>
    <w:rsid w:val="00C427DD"/>
    <w:rsid w:val="00CF43C4"/>
    <w:rsid w:val="00D57C83"/>
  </w:rsids>
  <m:mathPr>
    <m:mathFont m:val="Cambria Math"/>
    <m:brkBin m:val="before"/>
    <m:brkBinSub m:val="--"/>
    <m:smallFrac/>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F43C4"/>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57BA0"/>
    <w:pPr>
      <w:tabs>
        <w:tab w:val="center" w:pos="4513"/>
        <w:tab w:val="right" w:pos="9026"/>
      </w:tabs>
      <w:spacing w:after="0" w:line="240" w:lineRule="auto"/>
    </w:pPr>
  </w:style>
  <w:style w:type="character" w:customStyle="1" w:styleId="HeaderChar">
    <w:name w:val="Header Char"/>
    <w:basedOn w:val="DefaultParagraphFont"/>
    <w:link w:val="Header"/>
    <w:uiPriority w:val="99"/>
    <w:rsid w:val="00957BA0"/>
  </w:style>
  <w:style w:type="paragraph" w:styleId="Footer">
    <w:name w:val="footer"/>
    <w:basedOn w:val="Normal"/>
    <w:link w:val="FooterChar"/>
    <w:uiPriority w:val="99"/>
    <w:unhideWhenUsed/>
    <w:rsid w:val="00957BA0"/>
    <w:pPr>
      <w:tabs>
        <w:tab w:val="center" w:pos="4513"/>
        <w:tab w:val="right" w:pos="9026"/>
      </w:tabs>
      <w:spacing w:after="0" w:line="240" w:lineRule="auto"/>
    </w:pPr>
  </w:style>
  <w:style w:type="character" w:customStyle="1" w:styleId="FooterChar">
    <w:name w:val="Footer Char"/>
    <w:basedOn w:val="DefaultParagraphFont"/>
    <w:link w:val="Footer"/>
    <w:uiPriority w:val="99"/>
    <w:rsid w:val="00957BA0"/>
  </w:style>
  <w:style w:type="paragraph" w:styleId="EndnoteText">
    <w:name w:val="endnote text"/>
    <w:basedOn w:val="Normal"/>
    <w:link w:val="EndnoteTextChar"/>
    <w:uiPriority w:val="99"/>
    <w:semiHidden/>
    <w:unhideWhenUsed/>
    <w:rsid w:val="00D57C83"/>
    <w:pPr>
      <w:spacing w:after="0" w:line="240" w:lineRule="auto"/>
    </w:pPr>
    <w:rPr>
      <w:sz w:val="20"/>
      <w:szCs w:val="20"/>
    </w:rPr>
  </w:style>
  <w:style w:type="character" w:customStyle="1" w:styleId="EndnoteTextChar">
    <w:name w:val="Endnote Text Char"/>
    <w:basedOn w:val="DefaultParagraphFont"/>
    <w:link w:val="EndnoteText"/>
    <w:uiPriority w:val="99"/>
    <w:semiHidden/>
    <w:rsid w:val="00D57C83"/>
    <w:rPr>
      <w:sz w:val="20"/>
      <w:szCs w:val="20"/>
    </w:rPr>
  </w:style>
  <w:style w:type="character" w:styleId="EndnoteReference">
    <w:name w:val="endnote reference"/>
    <w:basedOn w:val="DefaultParagraphFont"/>
    <w:uiPriority w:val="99"/>
    <w:semiHidden/>
    <w:unhideWhenUsed/>
    <w:rsid w:val="00D57C83"/>
    <w:rPr>
      <w:vertAlign w:val="superscript"/>
    </w:rPr>
  </w:style>
  <w:style w:type="paragraph" w:styleId="FootnoteText">
    <w:name w:val="footnote text"/>
    <w:basedOn w:val="Normal"/>
    <w:link w:val="FootnoteTextChar"/>
    <w:uiPriority w:val="99"/>
    <w:semiHidden/>
    <w:unhideWhenUsed/>
    <w:rsid w:val="00D57C83"/>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D57C83"/>
    <w:rPr>
      <w:sz w:val="20"/>
      <w:szCs w:val="20"/>
    </w:rPr>
  </w:style>
  <w:style w:type="character" w:styleId="FootnoteReference">
    <w:name w:val="footnote reference"/>
    <w:basedOn w:val="DefaultParagraphFont"/>
    <w:uiPriority w:val="99"/>
    <w:semiHidden/>
    <w:unhideWhenUsed/>
    <w:rsid w:val="00D57C83"/>
    <w:rPr>
      <w:vertAlign w:val="superscript"/>
    </w:rPr>
  </w:style>
  <w:style w:type="character" w:styleId="Hyperlink">
    <w:name w:val="Hyperlink"/>
    <w:basedOn w:val="DefaultParagraphFont"/>
    <w:uiPriority w:val="99"/>
    <w:unhideWhenUsed/>
    <w:rsid w:val="004D39E5"/>
    <w:rPr>
      <w:color w:val="0563C1" w:themeColor="hyperlink"/>
      <w:u w:val="single"/>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_rels/endnotes.xml.rels><?xml version="1.0" encoding="UTF-8" standalone="yes"?>
<Relationships xmlns="http://schemas.openxmlformats.org/package/2006/relationships"><Relationship Id="rId3" Type="http://schemas.openxmlformats.org/officeDocument/2006/relationships/hyperlink" Target="https://www.legalserviceindia.com/legal/article-8071-anti-defection-law.html" TargetMode="External"/><Relationship Id="rId2" Type="http://schemas.openxmlformats.org/officeDocument/2006/relationships/hyperlink" Target="https://prsindia.org/articles-by-prs-team/the-absurdity-of-the-anti-defection-law" TargetMode="External"/><Relationship Id="rId1" Type="http://schemas.openxmlformats.org/officeDocument/2006/relationships/hyperlink" Target="https://www.mea.gov.in/Images/pdf1/S10.pdf" TargetMode="External"/><Relationship Id="rId5" Type="http://schemas.openxmlformats.org/officeDocument/2006/relationships/hyperlink" Target="http://www.ijlrs.com/papers/vol-3-issue-1/1.pdf" TargetMode="External"/><Relationship Id="rId4" Type="http://schemas.openxmlformats.org/officeDocument/2006/relationships/hyperlink" Target="https://www.insightsonindia.com/2022/06/30/editorial-analysis-the-anti-defection-law-political-facts-legal-fictio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0C62D00-B056-4691-B1E0-EC32E7ECF8C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6</Pages>
  <Words>1595</Words>
  <Characters>9093</Characters>
  <Application>Microsoft Office Word</Application>
  <DocSecurity>0</DocSecurity>
  <Lines>75</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10667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Ayush Gupta</dc:creator>
  <cp:lastModifiedBy>HP</cp:lastModifiedBy>
  <cp:revision>2</cp:revision>
  <dcterms:created xsi:type="dcterms:W3CDTF">2022-08-22T14:33:00Z</dcterms:created>
  <dcterms:modified xsi:type="dcterms:W3CDTF">2022-08-22T14:33:00Z</dcterms:modified>
</cp:coreProperties>
</file>